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highlight w:val="none"/>
        </w:rPr>
      </w:pPr>
    </w:p>
    <w:p>
      <w:pPr>
        <w:pStyle w:val="2"/>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bookmarkStart w:id="0" w:name="_GoBack"/>
      <w:bookmarkEnd w:id="0"/>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部门名称：</w:t>
      </w:r>
      <w:r>
        <w:rPr>
          <w:rFonts w:hint="eastAsia" w:eastAsia="仿宋_GB2312" w:cs="Times New Roman"/>
          <w:sz w:val="32"/>
          <w:szCs w:val="32"/>
          <w:highlight w:val="none"/>
          <w:u w:val="single"/>
          <w:lang w:eastAsia="zh-CN"/>
        </w:rPr>
        <w:t>岳阳市科学技术局</w:t>
      </w:r>
    </w:p>
    <w:p>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主要职责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1.贯彻创新驱动发展战略和创新引领开放崛起战略，拟订全市科技发展、引进国外及国内智力规划和政策并组织实施。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统筹推进创新型县市区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牵头建立统一的市级科技管理平台和科研项目资金协调、评估、监管机制。会同有关部门提出优化配置科技资源的政策措施建议，推动多元化科技投入体系建设，协调管理市级财政科技计划(专项、基金等)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拟订全市基础研究规划、政策和标准并组织实施，组织协调市级重大基础研究和应用基础研究。拟订重大科技创新基地建设规划并监督实施，参与编制重大科技基础设施建设规划和监督实施，牵头组织市重点实验室等重大科技创新基地建设，推动科研条件保障建设和科技资源开放共享。</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5.编制市级重大科技项目计划并监督实施，统筹关键共性技术、前沿引领技术、现代工程技术、颠覆性技术研发和创新，牵头组织重大技术攻关和成果应用示范。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6.组织拟订高新技术发展及产业化、科技促进农业农村和社会发展的规划、政策和措施。组织开展重点领域技术发展需求分析，提出重大任务并监督实施。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7.牵头市级技术转移体系建设，拟订科技成果转移转化和促进产学硏结合的相关政策措施并监督实施。指导科技服务业、技术市场、科技金融结合和科技中介组织发展。</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8.统筹区域科技创新体系建设，指导区域创新发展、科技资源合理布局和协同创新能力建设，推动科技园区建设。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9.负责科技监督评价体系建设和相关科技评信管理，指导科技评价机制改革，统筹科研诚信建设。组织实施全市创新调查和科技报告制度，指导全市科技保密工作。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10.拟订科技对外交往与创新能力开放合作的规划、政策和措施，组织开展国际和区域科技合作与科技人才交流。指导相关部门和地方对外科技合作与科技人才交流工作。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负责引进国外和国内智力工作。拟订全市重点引进外国专家总体规划、计划并组织实施，建立国外和国内顶尖科学家、团队吸引集聚机制和重点国内外专家联系服务机制。拟订出国(境)培训总体规划、政策和年度计划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12.会同有关部门拟订科技人才队伍建设规划和政策，建立健全科技人才评价和激励机制，组织实施科技人才计划，推动高端科技创新人才队伍建设。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13.负责省科学技术奖等的申报组织工作。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负责管理岳阳市自然科学基金委员会(以下简称市自然科学基金委)，依法对市自然科学基金工作进行宏观管理、统筹协调和监督评估。市自然科学基金委依法管理市自然科学基金，相对独立运行，负责资助计划、项目设置和评审、立项、监督等组织实施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15.完成市委、市政府交办的其他任务。</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职能转变。围绕贯彻实施科教兴国战略、人才强国战略、创新驱动发展战略和创新引领开放崛起战略，加强、优化、转变政府科技管理和服务职能，完善科技创新制度和组织体系，加强宏观管理、统筹协调和科研诚信建设。从研发管理向创新服务转变，深入推进科技计划管理改革，建立公开统一的市级科技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(二)内设机构</w:t>
      </w:r>
    </w:p>
    <w:p>
      <w:pPr>
        <w:keepNext w:val="0"/>
        <w:keepLines w:val="0"/>
        <w:widowControl/>
        <w:suppressLineNumbers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局机关内设科室 11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即办公室、战略规划与政策法规科、资源统筹与科技安全科、实验室与创新平台科、区域创新科、科技成果转化促进科、高新技术发展科、科技人才与技术创新科（外国专家科）、人事科（监督评估与科研诚信科、离退休人员管理服务科）机关党委、机关纪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下设直属单位 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市科技事务中心。</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lang w:val="en-US"/>
        </w:rPr>
      </w:pPr>
      <w:r>
        <w:rPr>
          <w:rFonts w:hint="eastAsia" w:ascii="仿宋_GB2312" w:hAnsi="仿宋_GB2312" w:eastAsia="仿宋_GB2312" w:cs="仿宋_GB2312"/>
          <w:color w:val="auto"/>
          <w:kern w:val="0"/>
          <w:sz w:val="32"/>
          <w:szCs w:val="32"/>
          <w:lang w:val="en-US" w:eastAsia="zh-CN" w:bidi="ar-SA"/>
        </w:rPr>
        <w:t>2024年度</w:t>
      </w:r>
      <w:r>
        <w:rPr>
          <w:rFonts w:hint="eastAsia" w:ascii="仿宋_GB2312" w:hAnsi="仿宋_GB2312" w:eastAsia="仿宋_GB2312" w:cs="仿宋_GB2312"/>
          <w:kern w:val="0"/>
          <w:sz w:val="32"/>
          <w:szCs w:val="32"/>
          <w:lang w:val="en-US" w:eastAsia="zh-CN" w:bidi="ar-SA"/>
        </w:rPr>
        <w:t>我单位基本支出855.82万元，其中：其中：科学技术支出660.35万元；社会保障和就业支出99.21万元；卫生健康支出51.84万元，住房保障支出44.42万元。</w:t>
      </w:r>
    </w:p>
    <w:p>
      <w:pPr>
        <w:pStyle w:val="9"/>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r>
        <w:rPr>
          <w:rFonts w:hint="eastAsia" w:ascii="Times New Roman" w:hAnsi="Times New Roman" w:eastAsia="楷体_GB2312" w:cs="Times New Roman"/>
          <w:b/>
          <w:sz w:val="32"/>
          <w:szCs w:val="32"/>
          <w:highlight w:val="none"/>
          <w:lang w:val="en-US" w:eastAsia="zh-CN"/>
        </w:rPr>
        <w:tab/>
      </w: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0"/>
          <w:sz w:val="32"/>
          <w:szCs w:val="32"/>
          <w:lang w:val="en-US" w:eastAsia="zh-CN" w:bidi="ar-SA"/>
        </w:rPr>
        <w:t>2024年度我单位项目支出869.24万元，其中：科学技术支出869.24万元。</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Style w:val="9"/>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pStyle w:val="9"/>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年度整体工作开展情况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一是提升科技创新实力，产业支撑能力持续提升。创新主体实现新增长。</w:t>
      </w:r>
      <w:r>
        <w:rPr>
          <w:rFonts w:hint="eastAsia" w:ascii="仿宋_GB2312" w:hAnsi="仿宋_GB2312" w:eastAsia="仿宋_GB2312" w:cs="仿宋_GB2312"/>
          <w:b w:val="0"/>
          <w:bCs w:val="0"/>
          <w:sz w:val="32"/>
          <w:szCs w:val="32"/>
          <w:lang w:val="en-US" w:eastAsia="zh-CN"/>
        </w:rPr>
        <w:t>梯队培育科技型企业，今年来共申报高新技术企业520家（含复审），预计2024年高企数有望达1000家</w:t>
      </w:r>
      <w:r>
        <w:rPr>
          <w:rFonts w:hint="default" w:ascii="仿宋_GB2312" w:hAnsi="仿宋_GB2312" w:eastAsia="仿宋_GB2312" w:cs="仿宋_GB2312"/>
          <w:b w:val="0"/>
          <w:bCs w:val="0"/>
          <w:sz w:val="32"/>
          <w:szCs w:val="32"/>
          <w:lang w:val="en-US" w:eastAsia="zh-CN"/>
        </w:rPr>
        <w:t>，入库科技型中小企业22</w:t>
      </w:r>
      <w:r>
        <w:rPr>
          <w:rFonts w:hint="eastAsia" w:ascii="仿宋_GB2312" w:hAnsi="仿宋_GB2312" w:eastAsia="仿宋_GB2312" w:cs="仿宋_GB2312"/>
          <w:b w:val="0"/>
          <w:bCs w:val="0"/>
          <w:sz w:val="32"/>
          <w:szCs w:val="32"/>
          <w:lang w:val="en-US" w:eastAsia="zh-CN"/>
        </w:rPr>
        <w:t>55</w:t>
      </w:r>
      <w:r>
        <w:rPr>
          <w:rFonts w:hint="default" w:ascii="仿宋_GB2312" w:hAnsi="仿宋_GB2312" w:eastAsia="仿宋_GB2312" w:cs="仿宋_GB2312"/>
          <w:b w:val="0"/>
          <w:bCs w:val="0"/>
          <w:sz w:val="32"/>
          <w:szCs w:val="32"/>
          <w:lang w:val="en-US" w:eastAsia="zh-CN"/>
        </w:rPr>
        <w:t>家</w:t>
      </w:r>
      <w:r>
        <w:rPr>
          <w:rFonts w:hint="eastAsia" w:ascii="仿宋_GB2312" w:hAnsi="仿宋_GB2312" w:eastAsia="仿宋_GB2312" w:cs="仿宋_GB2312"/>
          <w:b w:val="0"/>
          <w:bCs w:val="0"/>
          <w:sz w:val="32"/>
          <w:szCs w:val="32"/>
          <w:lang w:val="en-US" w:eastAsia="zh-CN"/>
        </w:rPr>
        <w:t>。三季度，全市实现高新技术产业增加值568.09亿元，排名全省第2，增速5.9%，高于全市GDP增速2.1个百分点，占全市GDP比重16.5%。持续开展加大全社会研发经费投入行动，2023年全社会研发经费投入总量达106.27亿元，是全省第3个研发经费投入过百亿元的市州（仅次于长沙472.75亿元、株洲115.49亿元），全社会研发投入强度为2.2%。</w:t>
      </w:r>
      <w:r>
        <w:rPr>
          <w:rFonts w:hint="eastAsia" w:ascii="仿宋_GB2312" w:hAnsi="仿宋_GB2312" w:eastAsia="仿宋_GB2312" w:cs="仿宋_GB2312"/>
          <w:b/>
          <w:bCs/>
          <w:sz w:val="32"/>
          <w:szCs w:val="32"/>
          <w:lang w:val="en-US" w:eastAsia="zh-CN"/>
        </w:rPr>
        <w:t>技术攻关实现新突破。</w:t>
      </w:r>
      <w:r>
        <w:rPr>
          <w:rFonts w:hint="eastAsia" w:ascii="仿宋_GB2312" w:hAnsi="仿宋_GB2312" w:eastAsia="仿宋_GB2312" w:cs="仿宋_GB2312"/>
          <w:b w:val="0"/>
          <w:bCs w:val="0"/>
          <w:sz w:val="32"/>
          <w:szCs w:val="32"/>
          <w:lang w:val="en-US" w:eastAsia="zh-CN"/>
        </w:rPr>
        <w:t>中创空天承担的2021年“省十大技术攻关”项目“空天装备新材料开发及构件流变制造”顺利通过验收。2024年“省十大技术攻关”项目湖南石化“特种环氧树脂关键技术”成功立项。10个项目获省重点研发立项支持，立项数全省排名第3。2022-2023年度，获省科学技术进步奖7项（一等奖1项、二等奖4项，三等奖2项）。我市获省自然科学基金项目立项70项，其中优秀青年基金1项、面上基金5项、青年基金1项、区域联合基金52项、部门/企业联合基金8项，基础研究能力显著提升。全市共向上争取项目132个，资金4893.13万元，其中市本级项目84个、资金3641.13万元。市本级支持中创化工“电子级碳酸丙烯酯产品的制备”等科技重大专项4项、长岭设备“现代石化环保治理关键技术攻关及应用”等十大技术攻关计划项目10项。</w:t>
      </w:r>
      <w:r>
        <w:rPr>
          <w:rFonts w:hint="eastAsia" w:ascii="仿宋_GB2312" w:hAnsi="仿宋_GB2312" w:eastAsia="仿宋_GB2312" w:cs="仿宋_GB2312"/>
          <w:b/>
          <w:bCs/>
          <w:sz w:val="32"/>
          <w:szCs w:val="32"/>
          <w:lang w:val="en-US" w:eastAsia="zh-CN"/>
        </w:rPr>
        <w:t>创新创业实现新热潮。</w:t>
      </w:r>
      <w:r>
        <w:rPr>
          <w:rFonts w:hint="eastAsia" w:ascii="仿宋_GB2312" w:hAnsi="仿宋_GB2312" w:eastAsia="仿宋_GB2312" w:cs="仿宋_GB2312"/>
          <w:b w:val="0"/>
          <w:bCs w:val="0"/>
          <w:sz w:val="32"/>
          <w:szCs w:val="32"/>
          <w:lang w:val="en-US" w:eastAsia="zh-CN"/>
        </w:rPr>
        <w:t>我市钠能时代“新一代芦苇基硬炭负极材料及产业化应用”、通新材料“超薄柔性EMI电磁屏蔽膜”、衡义材料“无铅低熔点功能玻璃材料的开发与产业化”等13家优秀企业项目获得省创新创业优秀奖，岳阳职院1项目获得大学生+创新创业大赛优秀奖，我局获得省创新创业大赛优秀组织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二是政产学研金用融合，成果转化能力持续提升。提升服务能力。</w:t>
      </w:r>
      <w:r>
        <w:rPr>
          <w:rFonts w:hint="eastAsia" w:ascii="仿宋_GB2312" w:hAnsi="仿宋_GB2312" w:eastAsia="仿宋_GB2312" w:cs="仿宋_GB2312"/>
          <w:b w:val="0"/>
          <w:bCs w:val="0"/>
          <w:sz w:val="32"/>
          <w:szCs w:val="32"/>
          <w:lang w:val="en-US" w:eastAsia="zh-CN"/>
        </w:rPr>
        <w:t>深化校地合作、产教融合，常态化开展“双高对接”活动，先后与近30名院士专家团队、省内外60余家高校院所建立合作关系，实施产学研合作项目180项。昌德新材料与中科院大连物化所成功签约“新型己内酰胺法绿色制备高品质己二胺技术”项目。中创空天“航天用超大型铝合金材料与构件制造产业化”项目获2024年湖南省示范性科技成果转化项目。</w:t>
      </w:r>
      <w:r>
        <w:rPr>
          <w:rFonts w:hint="eastAsia" w:ascii="仿宋_GB2312" w:hAnsi="仿宋_GB2312" w:eastAsia="仿宋_GB2312" w:cs="仿宋_GB2312"/>
          <w:b w:val="0"/>
          <w:bCs w:val="0"/>
          <w:sz w:val="32"/>
          <w:szCs w:val="32"/>
          <w:u w:val="none"/>
          <w:lang w:val="en-US" w:eastAsia="zh-CN"/>
        </w:rPr>
        <w:t>1-11月，全市技术合同成交额与吸纳高校技术合同登记额为502.28、3.45亿元，均排全省第2，分别同比增长50.26%、126.25%。</w:t>
      </w:r>
      <w:r>
        <w:rPr>
          <w:rFonts w:hint="eastAsia" w:ascii="仿宋_GB2312" w:hAnsi="仿宋_GB2312" w:eastAsia="仿宋_GB2312" w:cs="仿宋_GB2312"/>
          <w:b/>
          <w:bCs/>
          <w:sz w:val="32"/>
          <w:szCs w:val="32"/>
          <w:lang w:val="en-US" w:eastAsia="zh-CN"/>
        </w:rPr>
        <w:t>建设服务体系。</w:t>
      </w:r>
      <w:r>
        <w:rPr>
          <w:rFonts w:hint="eastAsia" w:ascii="仿宋_GB2312" w:hAnsi="仿宋_GB2312" w:eastAsia="仿宋_GB2312" w:cs="仿宋_GB2312"/>
          <w:b w:val="0"/>
          <w:bCs w:val="0"/>
          <w:sz w:val="32"/>
          <w:szCs w:val="32"/>
          <w:lang w:val="en-US" w:eastAsia="zh-CN"/>
        </w:rPr>
        <w:t>加强科技成果服务体系建设，新增平江、君山区、岳阳楼区、临港新区4家工作站，全市潇湘科技要素大市场岳阳分市场工作站达10家。长炼新材料入选首批省科技成果转化中试基地，聚焦产业需求，在全省范围内率先布局现代石化创新发展等市级科技成果中试基地4家、高端复杂制剂产业化技术研究等市级创新联合体4家。在岳阳职教集团成立科技创新与科技成果转化服务中心，成立市现代石化行业产教联合体，建设省级成果转化示范机构3家。临港科创中心（孵化器）获评全国优秀。</w:t>
      </w:r>
      <w:r>
        <w:rPr>
          <w:rFonts w:hint="eastAsia" w:ascii="仿宋_GB2312" w:hAnsi="仿宋_GB2312" w:eastAsia="仿宋_GB2312" w:cs="仿宋_GB2312"/>
          <w:b/>
          <w:bCs/>
          <w:sz w:val="32"/>
          <w:szCs w:val="32"/>
          <w:lang w:val="en-US" w:eastAsia="zh-CN"/>
        </w:rPr>
        <w:t>强化金融支撑。</w:t>
      </w:r>
      <w:r>
        <w:rPr>
          <w:rFonts w:hint="eastAsia" w:ascii="仿宋_GB2312" w:hAnsi="仿宋_GB2312" w:eastAsia="仿宋_GB2312" w:cs="仿宋_GB2312"/>
          <w:b w:val="0"/>
          <w:bCs w:val="0"/>
          <w:sz w:val="32"/>
          <w:szCs w:val="32"/>
          <w:lang w:val="en-US" w:eastAsia="zh-CN"/>
        </w:rPr>
        <w:t>持续推进科技型企业知识价值信用贷款改革工作，将风补资金池由4000万元扩大至7000万元，2024年发放贷款403笔、9.337亿元，累计发放873笔、23亿元。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三是聚力集聚创新要素，创新生态环境持续提升。加力推进平台创建。成功组建</w:t>
      </w:r>
      <w:r>
        <w:rPr>
          <w:rFonts w:hint="eastAsia" w:ascii="仿宋_GB2312" w:hAnsi="仿宋_GB2312" w:eastAsia="仿宋_GB2312" w:cs="仿宋_GB2312"/>
          <w:b w:val="0"/>
          <w:bCs w:val="0"/>
          <w:sz w:val="32"/>
          <w:szCs w:val="32"/>
          <w:lang w:val="en-US" w:eastAsia="zh-CN"/>
        </w:rPr>
        <w:t>严格智能省级新型研发机构1个，湖南城陵矶临港高新产业园等科技企业孵化器2个，湖南新墙河众创空间1个，石油化工等科普基地9个。</w:t>
      </w:r>
      <w:r>
        <w:rPr>
          <w:rFonts w:hint="eastAsia" w:ascii="仿宋_GB2312" w:hAnsi="仿宋_GB2312" w:eastAsia="仿宋_GB2312" w:cs="仿宋_GB2312"/>
          <w:b/>
          <w:bCs/>
          <w:sz w:val="32"/>
          <w:szCs w:val="32"/>
          <w:lang w:val="en-US" w:eastAsia="zh-CN"/>
        </w:rPr>
        <w:t>市本级组建</w:t>
      </w:r>
      <w:r>
        <w:rPr>
          <w:rFonts w:hint="eastAsia" w:ascii="仿宋_GB2312" w:hAnsi="仿宋_GB2312" w:eastAsia="仿宋_GB2312" w:cs="仿宋_GB2312"/>
          <w:b w:val="0"/>
          <w:bCs w:val="0"/>
          <w:sz w:val="32"/>
          <w:szCs w:val="32"/>
          <w:lang w:val="en-US" w:eastAsia="zh-CN"/>
        </w:rPr>
        <w:t>中南汨罗有色金属工业新质生产技术创新等重点实验室12个、岳阳市动力与数据移动传输等工程技术研究中心17个、湖南九鼎动物营养研究院有限公司新型研发机构1个。</w:t>
      </w:r>
      <w:r>
        <w:rPr>
          <w:rFonts w:hint="eastAsia" w:ascii="仿宋_GB2312" w:hAnsi="仿宋_GB2312" w:eastAsia="仿宋_GB2312" w:cs="仿宋_GB2312"/>
          <w:b/>
          <w:bCs/>
          <w:sz w:val="32"/>
          <w:szCs w:val="32"/>
          <w:lang w:val="en-US" w:eastAsia="zh-CN"/>
        </w:rPr>
        <w:t>加速引育科创人才。</w:t>
      </w:r>
      <w:r>
        <w:rPr>
          <w:rFonts w:hint="eastAsia" w:ascii="仿宋_GB2312" w:hAnsi="仿宋_GB2312" w:eastAsia="仿宋_GB2312" w:cs="仿宋_GB2312"/>
          <w:b w:val="0"/>
          <w:bCs w:val="0"/>
          <w:sz w:val="32"/>
          <w:szCs w:val="32"/>
          <w:lang w:val="en-US" w:eastAsia="zh-CN"/>
        </w:rPr>
        <w:t>引进王基铭、曹湘洪等院士专家，组建“湖南省石化新材料院士专家工作站”，助力岳阳现代石化产业高质量发展；以中南大学桂卫华院士团队为核心，在汨罗高新区组建“中南汨罗有色金属工业新质生产技术创新实验室”。培育湖南理工张晓红、湖南荞麦湖优质鱼类研究院李武辉、昌德新材罗小沅等省“三尖”创新人才</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名。联合市委人才办出台《岳阳市科技特派员管理办法》，组建科技专家团9个，其中省派、市派科技特派员分别为46名、103名。</w:t>
      </w:r>
      <w:r>
        <w:rPr>
          <w:rFonts w:hint="eastAsia" w:ascii="仿宋_GB2312" w:hAnsi="仿宋_GB2312" w:eastAsia="仿宋_GB2312" w:cs="仿宋_GB2312"/>
          <w:b/>
          <w:bCs/>
          <w:sz w:val="32"/>
          <w:szCs w:val="32"/>
          <w:lang w:val="en-US" w:eastAsia="zh-CN"/>
        </w:rPr>
        <w:t>加快推动区域共进。</w:t>
      </w:r>
      <w:r>
        <w:rPr>
          <w:rFonts w:hint="eastAsia" w:ascii="仿宋_GB2312" w:hAnsi="仿宋_GB2312" w:eastAsia="仿宋_GB2312" w:cs="仿宋_GB2312"/>
          <w:b w:val="0"/>
          <w:bCs w:val="0"/>
          <w:sz w:val="32"/>
          <w:szCs w:val="32"/>
          <w:lang w:val="en-US" w:eastAsia="zh-CN"/>
        </w:rPr>
        <w:t>目前，岳阳拥有省级高新区8个、排全省第1。汨罗通过省首批创新型县市区验收。持续推进岳阳国家农高区创建，出台《支持岳阳国家农业高新技术产业示范区创建工作的通知》，成立国家杂交水稻工程技术研究中心岳阳分中心，启动实施“十四五”国家重点研发计划“优质双季超级稻丰产增效技术研发与集成示范”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kern w:val="0"/>
          <w:sz w:val="32"/>
          <w:szCs w:val="32"/>
          <w:lang w:val="en-US" w:eastAsia="zh-CN" w:bidi="ar-SA"/>
        </w:rPr>
        <w:t>部门整体支出的管理状况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重视预算支出绩效评估工作，成立了以局领导和办公室及相关科室负责人组成的预算支出绩效评估领导小组，强化了各科室的预算管理意识。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重视财政预算资金管理方面制度的学习，不断提高各科室的业务工作能力。如及时组织局财务人员学习《行政事业单位内部控制规范》。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.提高思想认识，强化制度管理，</w:t>
      </w:r>
      <w:r>
        <w:rPr>
          <w:rFonts w:hint="default" w:ascii="仿宋_GB2312" w:hAnsi="仿宋_GB2312" w:eastAsia="仿宋_GB2312" w:cs="仿宋_GB2312"/>
          <w:b w:val="0"/>
          <w:bCs w:val="0"/>
          <w:sz w:val="32"/>
          <w:szCs w:val="32"/>
          <w:lang w:val="en-US" w:eastAsia="zh-CN"/>
        </w:rPr>
        <w:t>建立了单位整体支出管理方面的内控制度，并不断进行完善和修订</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加强单位内部控制及对</w:t>
      </w:r>
      <w:r>
        <w:rPr>
          <w:rFonts w:hint="default" w:ascii="仿宋_GB2312" w:hAnsi="仿宋_GB2312" w:eastAsia="仿宋_GB2312" w:cs="仿宋_GB2312"/>
          <w:b w:val="0"/>
          <w:bCs w:val="0"/>
          <w:sz w:val="32"/>
          <w:szCs w:val="32"/>
          <w:lang w:val="en" w:eastAsia="zh-CN"/>
        </w:rPr>
        <w:t>预算执行</w:t>
      </w:r>
      <w:r>
        <w:rPr>
          <w:rFonts w:hint="default" w:ascii="仿宋_GB2312" w:hAnsi="仿宋_GB2312" w:eastAsia="仿宋_GB2312" w:cs="仿宋_GB2312"/>
          <w:b w:val="0"/>
          <w:bCs w:val="0"/>
          <w:sz w:val="32"/>
          <w:szCs w:val="32"/>
          <w:lang w:val="en-US" w:eastAsia="zh-CN"/>
        </w:rPr>
        <w:t>的控制</w:t>
      </w:r>
      <w:r>
        <w:rPr>
          <w:rFonts w:hint="default" w:ascii="仿宋_GB2312" w:hAnsi="仿宋_GB2312" w:eastAsia="仿宋_GB2312" w:cs="仿宋_GB2312"/>
          <w:b w:val="0"/>
          <w:bCs w:val="0"/>
          <w:sz w:val="32"/>
          <w:szCs w:val="32"/>
          <w:lang w:val="en" w:eastAsia="zh-CN"/>
        </w:rPr>
        <w:t>管理</w:t>
      </w:r>
      <w:r>
        <w:rPr>
          <w:rFonts w:hint="default"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严格制度的执行，特别是三公经费的控制。通过加强对公务用车的管理，对</w:t>
      </w:r>
      <w:r>
        <w:rPr>
          <w:rFonts w:hint="eastAsia" w:ascii="仿宋_GB2312" w:hAnsi="仿宋_GB2312" w:eastAsia="仿宋_GB2312" w:cs="仿宋_GB2312"/>
          <w:b w:val="0"/>
          <w:bCs w:val="0"/>
          <w:sz w:val="32"/>
          <w:szCs w:val="32"/>
          <w:lang w:val="en-US" w:eastAsia="zh-CN"/>
        </w:rPr>
        <w:t>接待</w:t>
      </w:r>
      <w:r>
        <w:rPr>
          <w:rFonts w:hint="default" w:ascii="仿宋_GB2312" w:hAnsi="仿宋_GB2312" w:eastAsia="仿宋_GB2312" w:cs="仿宋_GB2312"/>
          <w:b w:val="0"/>
          <w:bCs w:val="0"/>
          <w:sz w:val="32"/>
          <w:szCs w:val="32"/>
          <w:lang w:val="en-US" w:eastAsia="zh-CN"/>
        </w:rPr>
        <w:t>费用审批、审核的严格控制，三公经费较好的控制在预算范围之内。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（三）</w:t>
      </w:r>
      <w:r>
        <w:rPr>
          <w:rFonts w:hint="default" w:ascii="Times New Roman" w:hAnsi="Times New Roman" w:eastAsia="楷体_GB2312" w:cs="Times New Roman"/>
          <w:b/>
          <w:kern w:val="0"/>
          <w:sz w:val="32"/>
          <w:szCs w:val="32"/>
          <w:lang w:val="en-US" w:eastAsia="zh-CN" w:bidi="ar-SA"/>
        </w:rPr>
        <w:t>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对专项资金的管理我</w:t>
      </w:r>
      <w:r>
        <w:rPr>
          <w:rFonts w:hint="eastAsia" w:ascii="仿宋_GB2312" w:hAnsi="仿宋_GB2312" w:eastAsia="仿宋_GB2312" w:cs="仿宋_GB2312"/>
          <w:b w:val="0"/>
          <w:bCs w:val="0"/>
          <w:sz w:val="32"/>
          <w:szCs w:val="32"/>
          <w:lang w:val="en-US" w:eastAsia="zh-CN"/>
        </w:rPr>
        <w:t>单位</w:t>
      </w:r>
      <w:r>
        <w:rPr>
          <w:rFonts w:hint="default" w:ascii="仿宋_GB2312" w:hAnsi="仿宋_GB2312" w:eastAsia="仿宋_GB2312" w:cs="仿宋_GB2312"/>
          <w:b w:val="0"/>
          <w:bCs w:val="0"/>
          <w:sz w:val="32"/>
          <w:szCs w:val="32"/>
          <w:lang w:val="en-US" w:eastAsia="zh-CN"/>
        </w:rPr>
        <w:t>遵循专款专用、单独核算的管理原则；专项项目的申报严格按照财政资金管理的要求进行，专项资金财政拨款到位后及时进行了项目的开展和资金的投入。对专项资金的管理按照项目支出涉及的经济科目的明细项目，根据财务管理办法的相关制度执行。</w:t>
      </w:r>
      <w:r>
        <w:rPr>
          <w:rFonts w:hint="eastAsia" w:ascii="仿宋_GB2312" w:hAnsi="仿宋_GB2312" w:eastAsia="仿宋_GB2312" w:cs="仿宋_GB2312"/>
          <w:b w:val="0"/>
          <w:bCs w:val="0"/>
          <w:sz w:val="32"/>
          <w:szCs w:val="32"/>
          <w:lang w:val="en-US" w:eastAsia="zh-CN"/>
        </w:rPr>
        <w:t xml:space="preserve"> </w:t>
      </w:r>
    </w:p>
    <w:p>
      <w:pPr>
        <w:pStyle w:val="9"/>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预算绩效管理工作稍显薄弱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我</w:t>
      </w:r>
      <w:r>
        <w:rPr>
          <w:rFonts w:hint="eastAsia" w:ascii="Times New Roman" w:hAnsi="Times New Roman" w:eastAsia="仿宋_GB2312" w:cs="Times New Roman"/>
          <w:color w:val="000000"/>
          <w:kern w:val="0"/>
          <w:sz w:val="32"/>
          <w:szCs w:val="32"/>
          <w:lang w:val="en-US" w:eastAsia="zh-CN" w:bidi="ar-SA"/>
        </w:rPr>
        <w:t>单位</w:t>
      </w:r>
      <w:r>
        <w:rPr>
          <w:rFonts w:hint="default" w:ascii="Times New Roman" w:hAnsi="Times New Roman" w:eastAsia="仿宋_GB2312" w:cs="Times New Roman"/>
          <w:color w:val="000000"/>
          <w:kern w:val="0"/>
          <w:sz w:val="32"/>
          <w:szCs w:val="32"/>
          <w:lang w:val="en-US" w:eastAsia="zh-CN" w:bidi="ar-SA"/>
        </w:rPr>
        <w:t>虽然绩效评价工作已经开展，但有待进一步提升</w:t>
      </w:r>
      <w:r>
        <w:rPr>
          <w:rFonts w:hint="eastAsia" w:ascii="Times New Roman" w:hAnsi="Times New Roman" w:eastAsia="仿宋_GB2312" w:cs="Times New Roman"/>
          <w:color w:val="000000"/>
          <w:kern w:val="0"/>
          <w:sz w:val="32"/>
          <w:szCs w:val="32"/>
          <w:lang w:val="en-US" w:eastAsia="zh-CN" w:bidi="ar-SA"/>
        </w:rPr>
        <w:t>预算</w:t>
      </w:r>
      <w:r>
        <w:rPr>
          <w:rFonts w:hint="default" w:ascii="Times New Roman" w:hAnsi="Times New Roman" w:eastAsia="仿宋_GB2312" w:cs="Times New Roman"/>
          <w:color w:val="000000"/>
          <w:kern w:val="0"/>
          <w:sz w:val="32"/>
          <w:szCs w:val="32"/>
          <w:lang w:val="en-US" w:eastAsia="zh-CN" w:bidi="ar-SA"/>
        </w:rPr>
        <w:t>绩效管理工作水平。</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_GB2312" w:cs="Times New Roman"/>
          <w:b/>
          <w:kern w:val="0"/>
          <w:sz w:val="32"/>
          <w:szCs w:val="32"/>
          <w:lang w:val="en-US" w:eastAsia="zh-CN" w:bidi="ar-SA"/>
        </w:rPr>
      </w:pPr>
      <w:r>
        <w:rPr>
          <w:rFonts w:hint="default" w:ascii="Times New Roman" w:hAnsi="Times New Roman" w:eastAsia="楷体_GB2312" w:cs="Times New Roman"/>
          <w:b/>
          <w:kern w:val="0"/>
          <w:sz w:val="32"/>
          <w:szCs w:val="32"/>
          <w:lang w:val="en-US" w:eastAsia="zh-CN" w:bidi="ar-SA"/>
        </w:rPr>
        <w:t>人员</w:t>
      </w:r>
      <w:r>
        <w:rPr>
          <w:rFonts w:hint="eastAsia" w:ascii="Times New Roman" w:hAnsi="Times New Roman" w:eastAsia="楷体_GB2312" w:cs="Times New Roman"/>
          <w:b/>
          <w:kern w:val="0"/>
          <w:sz w:val="32"/>
          <w:szCs w:val="32"/>
          <w:lang w:val="en-US" w:eastAsia="zh-CN" w:bidi="ar-SA"/>
        </w:rPr>
        <w:t>专业素养</w:t>
      </w:r>
      <w:r>
        <w:rPr>
          <w:rFonts w:hint="default" w:ascii="Times New Roman" w:hAnsi="Times New Roman" w:eastAsia="楷体_GB2312" w:cs="Times New Roman"/>
          <w:b/>
          <w:kern w:val="0"/>
          <w:sz w:val="32"/>
          <w:szCs w:val="32"/>
          <w:lang w:val="en-US" w:eastAsia="zh-CN" w:bidi="ar-SA"/>
        </w:rPr>
        <w:t>有待进</w:t>
      </w: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
        </w:rPr>
      </w:pPr>
      <w:r>
        <w:rPr>
          <w:rFonts w:hint="default" w:ascii="Times New Roman" w:hAnsi="Times New Roman" w:eastAsia="仿宋_GB2312" w:cs="Times New Roman"/>
          <w:color w:val="000000"/>
          <w:kern w:val="0"/>
          <w:sz w:val="32"/>
          <w:szCs w:val="32"/>
          <w:lang w:val="en-US" w:eastAsia="zh-CN" w:bidi="ar-SA"/>
        </w:rPr>
        <w:t>由于绩效管理工作开展时间短，我</w:t>
      </w:r>
      <w:r>
        <w:rPr>
          <w:rFonts w:hint="eastAsia" w:ascii="Times New Roman" w:hAnsi="Times New Roman" w:eastAsia="仿宋_GB2312" w:cs="Times New Roman"/>
          <w:color w:val="000000"/>
          <w:kern w:val="0"/>
          <w:sz w:val="32"/>
          <w:szCs w:val="32"/>
          <w:lang w:val="en-US" w:eastAsia="zh-CN" w:bidi="ar-SA"/>
        </w:rPr>
        <w:t>局</w:t>
      </w:r>
      <w:r>
        <w:rPr>
          <w:rFonts w:hint="default" w:ascii="Times New Roman" w:hAnsi="Times New Roman" w:eastAsia="仿宋_GB2312" w:cs="Times New Roman"/>
          <w:color w:val="000000"/>
          <w:kern w:val="0"/>
          <w:sz w:val="32"/>
          <w:szCs w:val="32"/>
          <w:lang w:val="en-US" w:eastAsia="zh-CN" w:bidi="ar-SA"/>
        </w:rPr>
        <w:t>财务人员变动大，加上缺乏系统的培训，对预算绩效管理理解不充分，对工作重点把握不到位。</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w:t>
      </w:r>
      <w:r>
        <w:rPr>
          <w:rFonts w:hint="default" w:ascii="Times New Roman" w:hAnsi="Times New Roman" w:eastAsia="仿宋_GB2312" w:cs="Times New Roman"/>
          <w:b/>
          <w:bCs/>
          <w:color w:val="000000"/>
          <w:kern w:val="0"/>
          <w:sz w:val="32"/>
          <w:szCs w:val="32"/>
          <w:lang w:val="en-US" w:eastAsia="zh-CN" w:bidi="ar-SA"/>
        </w:rPr>
        <w:t>细化预算编制工作，认真做好预算的编制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进一步加强局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积极对接项目资金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对财政资金下达时间滞后的项目，加强与财政部门的沟通联系，尽早取得资金的拨付，保障项目资金的投入进度，发挥资金的使用效益。</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加强人员业务素质的提高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采取集中学习、讲座、专题会议等方式，进一步统一认识，充实业务知识，提高预算绩效管理方面的理论、实务和具体操作水平，真正掌握预算绩效管理方法和操作规范，解决想干而不会干、任务完成质量不好、工作效率不高的问题，避免盲目工作、被动工作等现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不断提高机关管理水平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_GB2312" w:hAnsi="仿宋_GB2312" w:eastAsia="仿宋_GB2312" w:cs="仿宋_GB2312"/>
          <w:b w:val="0"/>
          <w:bCs w:val="0"/>
          <w:sz w:val="32"/>
          <w:szCs w:val="32"/>
          <w:lang w:val="en-US" w:eastAsia="zh-CN"/>
        </w:rPr>
        <w:t>机关和事务中心财务合并，预算经费统一调配使用，优化公用经费支出，提高经费使用效益，确保机关高效运行。</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仿宋_GB2312" w:hAnsi="仿宋_GB2312" w:eastAsia="仿宋_GB2312" w:cs="仿宋_GB2312"/>
          <w:b w:val="0"/>
          <w:bCs w:val="0"/>
          <w:kern w:val="0"/>
          <w:sz w:val="32"/>
          <w:szCs w:val="32"/>
          <w:lang w:val="en-US" w:eastAsia="zh-CN" w:bidi="ar-SA"/>
        </w:rPr>
        <w:t>部门整体支出绩效自评结果</w:t>
      </w:r>
      <w:r>
        <w:rPr>
          <w:rFonts w:hint="eastAsia" w:ascii="仿宋_GB2312" w:hAnsi="仿宋_GB2312" w:eastAsia="仿宋_GB2312" w:cs="仿宋_GB2312"/>
          <w:b w:val="0"/>
          <w:bCs w:val="0"/>
          <w:kern w:val="0"/>
          <w:sz w:val="32"/>
          <w:szCs w:val="32"/>
          <w:lang w:val="en-US" w:eastAsia="zh-CN" w:bidi="ar-SA"/>
        </w:rPr>
        <w:t>拟在岳阳市科技局单位官网网站上公示。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无</w:t>
      </w:r>
      <w:r>
        <w:rPr>
          <w:rFonts w:hint="default" w:ascii="Times New Roman" w:hAnsi="Times New Roman" w:eastAsia="黑体" w:cs="Times New Roman"/>
          <w:sz w:val="32"/>
          <w:szCs w:val="32"/>
          <w:highlight w:val="none"/>
        </w:rPr>
        <w:t>其他需要说明的情况</w:t>
      </w: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87.5%</w:t>
            </w:r>
          </w:p>
        </w:tc>
      </w:tr>
      <w:tr>
        <w:tblPrEx>
          <w:tblCellMar>
            <w:top w:w="0" w:type="dxa"/>
            <w:left w:w="108" w:type="dxa"/>
            <w:bottom w:w="0" w:type="dxa"/>
            <w:right w:w="108" w:type="dxa"/>
          </w:tblCellMar>
        </w:tblPrEx>
        <w:trPr>
          <w:trHeight w:val="27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4.66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1.38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2.70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1.38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1.96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411.28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869.24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869.24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401.28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774.24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774.24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95</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科技交流与合作</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科技条件与服务</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保运转工作经费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88.79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99.79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99.79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6.85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6.85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19.47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12.93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12.93</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6.76</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1.16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277.8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274.56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严控三公经费的规模和比例，严格三公经费支出和审核审批流程。　</w:t>
            </w:r>
          </w:p>
        </w:tc>
      </w:tr>
    </w:tbl>
    <w:p>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937"/>
        <w:gridCol w:w="1275"/>
        <w:gridCol w:w="1450"/>
        <w:gridCol w:w="1475"/>
        <w:gridCol w:w="637"/>
        <w:gridCol w:w="850"/>
        <w:gridCol w:w="129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岳阳市科学技术局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4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0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682.85</w:t>
            </w:r>
          </w:p>
        </w:tc>
        <w:tc>
          <w:tcPr>
            <w:tcW w:w="14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1863.29</w:t>
            </w:r>
          </w:p>
        </w:tc>
        <w:tc>
          <w:tcPr>
            <w:tcW w:w="14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1725.06</w:t>
            </w:r>
          </w:p>
        </w:tc>
        <w:tc>
          <w:tcPr>
            <w:tcW w:w="6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92.58%</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9.26</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1838.58</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855.82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869.24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5</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19.71</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4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加快科技体制改革，力争尽早创建临港国家高新区，推进国家创新型城市创建工作，组织县市区开展全社会研发投入培训，提升科技创新能力，推动科技进步。</w:t>
            </w:r>
            <w:r>
              <w:rPr>
                <w:rFonts w:hint="eastAsia" w:ascii="仿宋_GB2312" w:hAnsi="仿宋_GB2312" w:eastAsia="仿宋_GB2312" w:cs="仿宋_GB2312"/>
                <w:color w:val="000000"/>
                <w:sz w:val="20"/>
                <w:szCs w:val="20"/>
                <w:highlight w:val="none"/>
              </w:rPr>
              <w:t>　　</w:t>
            </w:r>
          </w:p>
        </w:tc>
        <w:tc>
          <w:tcPr>
            <w:tcW w:w="425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推进国家创新型城市创建工作，开展全市科技大会，组织各县市区开展全社会研发投入培训，提升了全市科技创新能力。</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1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组建科技创新平台，新增创新平台</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省级平台</w:t>
            </w:r>
            <w:r>
              <w:rPr>
                <w:rFonts w:hint="eastAsia" w:ascii="仿宋_GB2312" w:hAnsi="仿宋_GB2312" w:eastAsia="仿宋_GB2312" w:cs="仿宋_GB2312"/>
                <w:color w:val="000000"/>
                <w:sz w:val="20"/>
                <w:szCs w:val="20"/>
                <w:highlight w:val="none"/>
                <w:lang w:val="en-US" w:eastAsia="zh-CN"/>
              </w:rPr>
              <w:t>2个以上，市级平台25个以上</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省级</w:t>
            </w:r>
            <w:r>
              <w:rPr>
                <w:rFonts w:hint="eastAsia" w:ascii="仿宋_GB2312" w:hAnsi="仿宋_GB2312" w:eastAsia="仿宋_GB2312" w:cs="仿宋_GB2312"/>
                <w:color w:val="000000"/>
                <w:sz w:val="20"/>
                <w:szCs w:val="20"/>
                <w:highlight w:val="none"/>
                <w:lang w:val="en-US" w:eastAsia="zh-CN"/>
              </w:rPr>
              <w:t>15个；市级40个</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提升全市科技创新能力</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组织各县市区开展全社会研发投入培训，提升全市科技创新能力，推动科技进步。</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开展全市科技大会，组织各县市区开展全社会研发投入培训，提升了全市科技创新能力</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完成时间</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2024.12.31前</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6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成本金额</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全社会研发占GDP比重投入</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　</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争取实现全社会研发投入占GDP比重达2.35%</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实现全社会研发投入占GDP比重达2.19%</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实现技术合同成交额</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实现技术合同成交额达</w:t>
            </w:r>
            <w:r>
              <w:rPr>
                <w:rFonts w:hint="eastAsia" w:ascii="仿宋_GB2312" w:hAnsi="仿宋_GB2312" w:eastAsia="仿宋_GB2312" w:cs="仿宋_GB2312"/>
                <w:color w:val="000000"/>
                <w:sz w:val="20"/>
                <w:szCs w:val="20"/>
                <w:highlight w:val="none"/>
                <w:lang w:val="en-US" w:eastAsia="zh-CN"/>
              </w:rPr>
              <w:t>200亿元</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实现技术合同成交额</w:t>
            </w:r>
            <w:r>
              <w:rPr>
                <w:rFonts w:hint="eastAsia" w:ascii="仿宋_GB2312" w:hAnsi="仿宋_GB2312" w:eastAsia="仿宋_GB2312" w:cs="仿宋_GB2312"/>
                <w:color w:val="000000"/>
                <w:sz w:val="20"/>
                <w:szCs w:val="20"/>
                <w:highlight w:val="none"/>
                <w:lang w:val="en-US" w:eastAsia="zh-CN"/>
              </w:rPr>
              <w:t>502.28亿元</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科技活动对生态环境影响</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科技创新氛围</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营造良好科技创新氛围</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开展全市科技大会、科技活动周系列活动，营造良好科技氛围</w:t>
            </w: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3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全市科技人员满意度</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6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29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94.26</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60"/>
        <w:gridCol w:w="1061"/>
        <w:gridCol w:w="1052"/>
        <w:gridCol w:w="1198"/>
        <w:gridCol w:w="1216"/>
        <w:gridCol w:w="1216"/>
        <w:gridCol w:w="815"/>
        <w:gridCol w:w="858"/>
        <w:gridCol w:w="1375"/>
      </w:tblGrid>
      <w:tr>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r>
      <w:tr>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岳阳市科学技术局</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岳阳市科学技术局</w:t>
            </w:r>
          </w:p>
        </w:tc>
      </w:tr>
      <w:tr>
        <w:tblPrEx>
          <w:tblCellMar>
            <w:top w:w="0" w:type="dxa"/>
            <w:left w:w="108" w:type="dxa"/>
            <w:bottom w:w="0" w:type="dxa"/>
            <w:right w:w="108" w:type="dxa"/>
          </w:tblCellMar>
        </w:tblPrEx>
        <w:trPr>
          <w:jc w:val="center"/>
        </w:trPr>
        <w:tc>
          <w:tcPr>
            <w:tcW w:w="106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6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保障科技系统运转，开展科技交流活动，完善市科技平台建设的数据采集及加工。</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科技平台对科技创新起到有效支持作用，对科技平台进行运维保障；举办科技活动周系列活动、全市科技大会，营造良好科技创新氛围。</w:t>
            </w:r>
          </w:p>
        </w:tc>
      </w:tr>
      <w:tr>
        <w:tblPrEx>
          <w:tblCellMar>
            <w:top w:w="0" w:type="dxa"/>
            <w:left w:w="108" w:type="dxa"/>
            <w:bottom w:w="0" w:type="dxa"/>
            <w:right w:w="108" w:type="dxa"/>
          </w:tblCellMar>
        </w:tblPrEx>
        <w:trPr>
          <w:jc w:val="center"/>
        </w:trPr>
        <w:tc>
          <w:tcPr>
            <w:tcW w:w="106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组建科技创新平台，新增创新平台</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省级平台</w:t>
            </w:r>
            <w:r>
              <w:rPr>
                <w:rFonts w:hint="eastAsia" w:ascii="仿宋_GB2312" w:hAnsi="仿宋_GB2312" w:eastAsia="仿宋_GB2312" w:cs="仿宋_GB2312"/>
                <w:color w:val="000000"/>
                <w:sz w:val="20"/>
                <w:szCs w:val="20"/>
                <w:highlight w:val="none"/>
                <w:lang w:val="en-US" w:eastAsia="zh-CN"/>
              </w:rPr>
              <w:t>2个以上，市级平台25个以上</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省级</w:t>
            </w:r>
            <w:r>
              <w:rPr>
                <w:rFonts w:hint="eastAsia" w:ascii="仿宋_GB2312" w:hAnsi="仿宋_GB2312" w:eastAsia="仿宋_GB2312" w:cs="仿宋_GB2312"/>
                <w:color w:val="000000"/>
                <w:sz w:val="20"/>
                <w:szCs w:val="20"/>
                <w:highlight w:val="none"/>
                <w:lang w:val="en-US" w:eastAsia="zh-CN"/>
              </w:rPr>
              <w:t>15个；市级40个</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保运转</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保障科技局机关运转</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保障科技局机关运转</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3"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完成时间</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8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成本金额</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7"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实现技术合同成交额</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实现技术合同成交额达</w:t>
            </w:r>
            <w:r>
              <w:rPr>
                <w:rFonts w:hint="eastAsia" w:ascii="仿宋_GB2312" w:hAnsi="仿宋_GB2312" w:eastAsia="仿宋_GB2312" w:cs="仿宋_GB2312"/>
                <w:color w:val="000000"/>
                <w:sz w:val="20"/>
                <w:szCs w:val="20"/>
                <w:highlight w:val="none"/>
                <w:lang w:val="en-US" w:eastAsia="zh-CN"/>
              </w:rPr>
              <w:t>200亿元</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实现技术合同成交额</w:t>
            </w:r>
            <w:r>
              <w:rPr>
                <w:rFonts w:hint="eastAsia" w:ascii="仿宋_GB2312" w:hAnsi="仿宋_GB2312" w:eastAsia="仿宋_GB2312" w:cs="仿宋_GB2312"/>
                <w:color w:val="000000"/>
                <w:sz w:val="20"/>
                <w:szCs w:val="20"/>
                <w:highlight w:val="none"/>
                <w:lang w:val="en-US" w:eastAsia="zh-CN"/>
              </w:rPr>
              <w:t>502.28亿元</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0"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科技氛围</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带动全市科技学习</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开展全社会研发投入培训、科技成果路演活动</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科技活动对生态环境影响</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科技交流</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开展科技交流与合作活动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举办全市科技大会、科技活动周系列活动</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全市科技人员满意度</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5" w:hRule="atLeast"/>
          <w:jc w:val="center"/>
        </w:trPr>
        <w:tc>
          <w:tcPr>
            <w:tcW w:w="680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C685"/>
    <w:multiLevelType w:val="singleLevel"/>
    <w:tmpl w:val="9CEFC685"/>
    <w:lvl w:ilvl="0" w:tentative="0">
      <w:start w:val="2"/>
      <w:numFmt w:val="chineseCounting"/>
      <w:suff w:val="nothing"/>
      <w:lvlText w:val="（%1）"/>
      <w:lvlJc w:val="left"/>
      <w:rPr>
        <w:rFonts w:hint="eastAsia"/>
      </w:rPr>
    </w:lvl>
  </w:abstractNum>
  <w:abstractNum w:abstractNumId="1">
    <w:nsid w:val="BF2A7D72"/>
    <w:multiLevelType w:val="singleLevel"/>
    <w:tmpl w:val="BF2A7D72"/>
    <w:lvl w:ilvl="0" w:tentative="0">
      <w:start w:val="7"/>
      <w:numFmt w:val="chineseCounting"/>
      <w:suff w:val="nothing"/>
      <w:lvlText w:val="%1、"/>
      <w:lvlJc w:val="left"/>
      <w:rPr>
        <w:rFonts w:hint="eastAsia"/>
      </w:rPr>
    </w:lvl>
  </w:abstractNum>
  <w:abstractNum w:abstractNumId="2">
    <w:nsid w:val="CEFE1A66"/>
    <w:multiLevelType w:val="singleLevel"/>
    <w:tmpl w:val="CEFE1A66"/>
    <w:lvl w:ilvl="0" w:tentative="0">
      <w:start w:val="2"/>
      <w:numFmt w:val="chineseCounting"/>
      <w:suff w:val="nothing"/>
      <w:lvlText w:val="（%1）"/>
      <w:lvlJc w:val="left"/>
      <w:rPr>
        <w:rFonts w:hint="eastAsia"/>
      </w:rPr>
    </w:lvl>
  </w:abstractNum>
  <w:abstractNum w:abstractNumId="3">
    <w:nsid w:val="DF7B6E1B"/>
    <w:multiLevelType w:val="singleLevel"/>
    <w:tmpl w:val="DF7B6E1B"/>
    <w:lvl w:ilvl="0" w:tentative="0">
      <w:start w:val="1"/>
      <w:numFmt w:val="chineseCounting"/>
      <w:suff w:val="nothing"/>
      <w:lvlText w:val="%1、"/>
      <w:lvlJc w:val="left"/>
      <w:rPr>
        <w:rFonts w:hint="eastAsia"/>
      </w:rPr>
    </w:lvl>
  </w:abstractNum>
  <w:abstractNum w:abstractNumId="4">
    <w:nsid w:val="F1349952"/>
    <w:multiLevelType w:val="singleLevel"/>
    <w:tmpl w:val="F1349952"/>
    <w:lvl w:ilvl="0" w:tentative="0">
      <w:start w:val="4"/>
      <w:numFmt w:val="chineseCounting"/>
      <w:suff w:val="nothing"/>
      <w:lvlText w:val="%1、"/>
      <w:lvlJc w:val="left"/>
      <w:rPr>
        <w:rFonts w:hint="eastAsia"/>
      </w:rPr>
    </w:lvl>
  </w:abstractNum>
  <w:abstractNum w:abstractNumId="5">
    <w:nsid w:val="6FF6959A"/>
    <w:multiLevelType w:val="singleLevel"/>
    <w:tmpl w:val="6FF6959A"/>
    <w:lvl w:ilvl="0" w:tentative="0">
      <w:start w:val="1"/>
      <w:numFmt w:val="chineseCounting"/>
      <w:lvlText w:val="(%1)"/>
      <w:lvlJc w:val="left"/>
      <w:pPr>
        <w:tabs>
          <w:tab w:val="left" w:pos="312"/>
        </w:tabs>
      </w:pPr>
      <w:rPr>
        <w:rFonts w:hint="eastAsia"/>
      </w:rPr>
    </w:lvl>
  </w:abstractNum>
  <w:abstractNum w:abstractNumId="6">
    <w:nsid w:val="73F7349D"/>
    <w:multiLevelType w:val="singleLevel"/>
    <w:tmpl w:val="73F7349D"/>
    <w:lvl w:ilvl="0" w:tentative="0">
      <w:start w:val="2"/>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51AE4"/>
    <w:rsid w:val="0A7D5C23"/>
    <w:rsid w:val="0ABF0DE0"/>
    <w:rsid w:val="1387A661"/>
    <w:rsid w:val="1EDF6008"/>
    <w:rsid w:val="2DFA1755"/>
    <w:rsid w:val="3BF75D32"/>
    <w:rsid w:val="3CE8B861"/>
    <w:rsid w:val="4F87DC39"/>
    <w:rsid w:val="56EF2185"/>
    <w:rsid w:val="56FF67B7"/>
    <w:rsid w:val="5B6F9211"/>
    <w:rsid w:val="5BDF2D48"/>
    <w:rsid w:val="5D3BD0F8"/>
    <w:rsid w:val="5DDE0F93"/>
    <w:rsid w:val="5FAC885C"/>
    <w:rsid w:val="5FEDA15B"/>
    <w:rsid w:val="5FEF6A59"/>
    <w:rsid w:val="6656582E"/>
    <w:rsid w:val="7AFF91FA"/>
    <w:rsid w:val="7BE64656"/>
    <w:rsid w:val="7DDFA260"/>
    <w:rsid w:val="7FE368E8"/>
    <w:rsid w:val="7FEFF7D2"/>
    <w:rsid w:val="7FFF8E54"/>
    <w:rsid w:val="9FF537A1"/>
    <w:rsid w:val="ACFBF458"/>
    <w:rsid w:val="BBCC8164"/>
    <w:rsid w:val="BDCDD657"/>
    <w:rsid w:val="BF6D7A60"/>
    <w:rsid w:val="BFA00C42"/>
    <w:rsid w:val="CF67C87C"/>
    <w:rsid w:val="CFDC42BC"/>
    <w:rsid w:val="D8EDF022"/>
    <w:rsid w:val="D9CB57A5"/>
    <w:rsid w:val="DE634A42"/>
    <w:rsid w:val="DF77EADB"/>
    <w:rsid w:val="E755CF51"/>
    <w:rsid w:val="E7B129A0"/>
    <w:rsid w:val="E7EFDB68"/>
    <w:rsid w:val="EDF7E4F5"/>
    <w:rsid w:val="EF3E75AD"/>
    <w:rsid w:val="F6EFDD15"/>
    <w:rsid w:val="F6FD6931"/>
    <w:rsid w:val="F777445C"/>
    <w:rsid w:val="FA3D0DD1"/>
    <w:rsid w:val="FBA33CD0"/>
    <w:rsid w:val="FEBDDCDA"/>
    <w:rsid w:val="FEF51AE4"/>
    <w:rsid w:val="FF8F7723"/>
    <w:rsid w:val="FFFF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2025-06-22T03:37:00Z</dcterms:created>
  <dc:creator>xjkp</dc:creator>
  <cp:lastModifiedBy>xjkp</cp:lastModifiedBy>
  <cp:lastPrinted>2025-07-18T01:28:00Z</cp:lastPrinted>
  <dcterms:modified xsi:type="dcterms:W3CDTF">2025-07-21T15:13:04Z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