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jc w:val="center"/>
        <w:rPr>
          <w:sz w:val="56"/>
          <w:szCs w:val="56"/>
        </w:rPr>
      </w:pPr>
    </w:p>
    <w:p>
      <w:pPr>
        <w:pStyle w:val="13"/>
        <w:jc w:val="center"/>
        <w:rPr>
          <w:sz w:val="56"/>
          <w:szCs w:val="56"/>
        </w:rPr>
      </w:pPr>
    </w:p>
    <w:p>
      <w:pPr>
        <w:pStyle w:val="13"/>
        <w:jc w:val="center"/>
        <w:rPr>
          <w:sz w:val="84"/>
          <w:szCs w:val="84"/>
        </w:rPr>
      </w:pPr>
    </w:p>
    <w:p>
      <w:pPr>
        <w:pStyle w:val="13"/>
        <w:jc w:val="center"/>
        <w:rPr>
          <w:sz w:val="84"/>
          <w:szCs w:val="84"/>
        </w:rPr>
      </w:pPr>
    </w:p>
    <w:p>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3</w:t>
      </w:r>
      <w:r>
        <w:rPr>
          <w:rFonts w:hint="eastAsia" w:ascii="方正小标宋_GBK" w:hAnsi="方正小标宋_GBK" w:eastAsia="方正小标宋_GBK" w:cs="方正小标宋_GBK"/>
          <w:sz w:val="84"/>
          <w:szCs w:val="84"/>
        </w:rPr>
        <w:t>年度</w:t>
      </w:r>
    </w:p>
    <w:p>
      <w:pPr>
        <w:pStyle w:val="13"/>
        <w:jc w:val="center"/>
        <w:rPr>
          <w:rFonts w:hint="eastAsia" w:ascii="方正小标宋_GBK" w:hAnsi="方正小标宋_GBK" w:eastAsia="方正小标宋_GBK" w:cs="方正小标宋_GBK"/>
          <w:sz w:val="56"/>
          <w:szCs w:val="56"/>
        </w:rPr>
      </w:pPr>
      <w:r>
        <w:rPr>
          <w:rFonts w:hint="eastAsia" w:ascii="方正小标宋_GBK" w:hAnsi="方正小标宋_GBK" w:eastAsia="方正小标宋_GBK" w:cs="方正小标宋_GBK"/>
          <w:sz w:val="84"/>
          <w:szCs w:val="84"/>
        </w:rPr>
        <w:t>岳阳市市场监管综合行政执法支队部门决算</w:t>
      </w:r>
    </w:p>
    <w:p>
      <w:pPr>
        <w:pStyle w:val="13"/>
        <w:jc w:val="center"/>
        <w:rPr>
          <w:rFonts w:hint="eastAsia" w:ascii="方正小标宋_GBK" w:hAnsi="方正小标宋_GBK" w:eastAsia="方正小标宋_GBK" w:cs="方正小标宋_GBK"/>
          <w:sz w:val="84"/>
          <w:szCs w:val="84"/>
        </w:rPr>
      </w:pPr>
    </w:p>
    <w:p>
      <w:pPr>
        <w:pStyle w:val="13"/>
        <w:jc w:val="center"/>
        <w:rPr>
          <w:rFonts w:hint="eastAsia" w:ascii="方正小标宋_GBK" w:hAnsi="方正小标宋_GBK" w:eastAsia="方正小标宋_GBK" w:cs="方正小标宋_GBK"/>
          <w:sz w:val="56"/>
          <w:szCs w:val="56"/>
        </w:rPr>
      </w:pPr>
    </w:p>
    <w:p>
      <w:pPr>
        <w:pStyle w:val="13"/>
        <w:jc w:val="center"/>
        <w:rPr>
          <w:sz w:val="56"/>
          <w:szCs w:val="56"/>
        </w:rPr>
      </w:pPr>
    </w:p>
    <w:p>
      <w:pPr>
        <w:pStyle w:val="13"/>
        <w:jc w:val="center"/>
        <w:rPr>
          <w:sz w:val="56"/>
          <w:szCs w:val="56"/>
        </w:rPr>
      </w:pPr>
    </w:p>
    <w:p>
      <w:pPr>
        <w:pStyle w:val="13"/>
        <w:jc w:val="center"/>
        <w:rPr>
          <w:sz w:val="56"/>
          <w:szCs w:val="56"/>
        </w:rPr>
      </w:pPr>
    </w:p>
    <w:p>
      <w:pPr>
        <w:pStyle w:val="13"/>
        <w:spacing w:line="540" w:lineRule="exact"/>
        <w:jc w:val="both"/>
        <w:rPr>
          <w:sz w:val="56"/>
          <w:szCs w:val="56"/>
        </w:rPr>
      </w:pPr>
    </w:p>
    <w:p>
      <w:pPr>
        <w:pStyle w:val="13"/>
        <w:spacing w:line="500" w:lineRule="exact"/>
        <w:jc w:val="both"/>
        <w:rPr>
          <w:b/>
          <w:sz w:val="36"/>
          <w:szCs w:val="28"/>
        </w:rPr>
      </w:pPr>
    </w:p>
    <w:p>
      <w:pPr>
        <w:pStyle w:val="13"/>
        <w:spacing w:line="500" w:lineRule="exact"/>
        <w:jc w:val="center"/>
        <w:rPr>
          <w:b/>
          <w:sz w:val="36"/>
          <w:szCs w:val="28"/>
        </w:rPr>
      </w:pPr>
      <w:r>
        <w:rPr>
          <w:rFonts w:hint="eastAsia"/>
          <w:b/>
          <w:sz w:val="36"/>
          <w:szCs w:val="28"/>
        </w:rPr>
        <w:t>目录</w:t>
      </w:r>
    </w:p>
    <w:p>
      <w:pPr>
        <w:pStyle w:val="13"/>
        <w:keepNext w:val="0"/>
        <w:keepLines w:val="0"/>
        <w:pageBreakBefore w:val="0"/>
        <w:widowControl w:val="0"/>
        <w:kinsoku/>
        <w:wordWrap/>
        <w:overflowPunct/>
        <w:topLinePunct w:val="0"/>
        <w:bidi w:val="0"/>
        <w:snapToGrid/>
        <w:spacing w:line="480" w:lineRule="exact"/>
        <w:textAlignment w:val="auto"/>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岳阳市市场监管综合行政执法支队</w:t>
      </w:r>
      <w:r>
        <w:rPr>
          <w:rFonts w:hint="eastAsia" w:ascii="黑体" w:hAnsi="黑体" w:eastAsia="黑体" w:cs="黑体"/>
          <w:b w:val="0"/>
          <w:bCs/>
          <w:sz w:val="28"/>
          <w:szCs w:val="28"/>
          <w:lang w:eastAsia="zh-CN"/>
        </w:rPr>
        <w:t>部门</w:t>
      </w:r>
      <w:r>
        <w:rPr>
          <w:rFonts w:hint="eastAsia" w:ascii="黑体" w:hAnsi="黑体" w:eastAsia="黑体" w:cs="黑体"/>
          <w:b w:val="0"/>
          <w:bCs/>
          <w:sz w:val="28"/>
          <w:szCs w:val="28"/>
        </w:rPr>
        <w:t>概况</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二、机构设置</w:t>
      </w:r>
      <w:r>
        <w:rPr>
          <w:rFonts w:hint="eastAsia" w:ascii="仿宋_GB2312" w:hAnsi="仿宋_GB2312" w:eastAsia="仿宋_GB2312" w:cs="仿宋_GB2312"/>
          <w:sz w:val="28"/>
          <w:szCs w:val="28"/>
          <w:lang w:eastAsia="zh-CN"/>
        </w:rPr>
        <w:t>及决算单位构成</w:t>
      </w:r>
    </w:p>
    <w:p>
      <w:pPr>
        <w:pStyle w:val="13"/>
        <w:keepNext w:val="0"/>
        <w:keepLines w:val="0"/>
        <w:pageBreakBefore w:val="0"/>
        <w:widowControl w:val="0"/>
        <w:kinsoku/>
        <w:wordWrap/>
        <w:overflowPunct/>
        <w:topLinePunct w:val="0"/>
        <w:bidi w:val="0"/>
        <w:snapToGrid/>
        <w:spacing w:line="480" w:lineRule="exact"/>
        <w:textAlignment w:val="auto"/>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黑体" w:hAnsi="黑体" w:eastAsia="黑体" w:cs="黑体"/>
          <w:b w:val="0"/>
          <w:bCs/>
          <w:sz w:val="28"/>
          <w:szCs w:val="28"/>
        </w:rPr>
      </w:pPr>
      <w:r>
        <w:rPr>
          <w:rFonts w:hint="eastAsia" w:ascii="仿宋_GB2312" w:hAnsi="仿宋_GB2312" w:eastAsia="仿宋_GB2312" w:cs="仿宋_GB2312"/>
          <w:sz w:val="28"/>
          <w:szCs w:val="28"/>
        </w:rPr>
        <w:t>九、财政拨款“三公”经费支出决算表</w:t>
      </w:r>
    </w:p>
    <w:p>
      <w:pPr>
        <w:pStyle w:val="13"/>
        <w:keepNext w:val="0"/>
        <w:keepLines w:val="0"/>
        <w:pageBreakBefore w:val="0"/>
        <w:widowControl w:val="0"/>
        <w:kinsoku/>
        <w:wordWrap/>
        <w:overflowPunct/>
        <w:topLinePunct w:val="0"/>
        <w:bidi w:val="0"/>
        <w:snapToGrid/>
        <w:spacing w:line="480" w:lineRule="exact"/>
        <w:textAlignment w:val="auto"/>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keepNext w:val="0"/>
        <w:keepLines w:val="0"/>
        <w:pageBreakBefore w:val="0"/>
        <w:widowControl w:val="0"/>
        <w:kinsoku/>
        <w:wordWrap/>
        <w:overflowPunct/>
        <w:topLinePunct w:val="0"/>
        <w:bidi w:val="0"/>
        <w:snapToGrid/>
        <w:spacing w:line="480" w:lineRule="exact"/>
        <w:ind w:firstLine="700" w:firstLineChars="25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w:t>
      </w:r>
      <w:r>
        <w:rPr>
          <w:rFonts w:hint="eastAsia" w:ascii="仿宋_GB2312" w:hAnsi="仿宋_GB2312" w:eastAsia="仿宋_GB2312" w:cs="仿宋_GB2312"/>
          <w:sz w:val="28"/>
          <w:szCs w:val="28"/>
        </w:rPr>
        <w:t>国有资本经营预算财政拨款支出决算</w:t>
      </w:r>
      <w:r>
        <w:rPr>
          <w:rFonts w:hint="eastAsia" w:ascii="仿宋_GB2312" w:hAnsi="仿宋_GB2312" w:eastAsia="仿宋_GB2312" w:cs="仿宋_GB2312"/>
          <w:sz w:val="28"/>
          <w:szCs w:val="28"/>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十三、关于国有资产占用情况说明</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SA"/>
        </w:rPr>
        <w:t>十四、</w:t>
      </w:r>
      <w:r>
        <w:rPr>
          <w:rFonts w:hint="eastAsia" w:ascii="仿宋_GB2312" w:hAnsi="仿宋_GB2312" w:eastAsia="仿宋_GB2312" w:cs="仿宋_GB2312"/>
          <w:sz w:val="28"/>
          <w:szCs w:val="28"/>
        </w:rPr>
        <w:t>关于</w:t>
      </w:r>
      <w:r>
        <w:rPr>
          <w:rFonts w:hint="default" w:ascii="Times New Roman" w:hAnsi="Times New Roman" w:eastAsia="仿宋_GB2312" w:cs="Times New Roman"/>
          <w:sz w:val="28"/>
          <w:szCs w:val="28"/>
        </w:rPr>
        <w:t>202</w:t>
      </w:r>
      <w:r>
        <w:rPr>
          <w:rFonts w:hint="default" w:ascii="Times New Roman" w:hAnsi="Times New Roman" w:eastAsia="仿宋_GB2312" w:cs="Times New Roman"/>
          <w:sz w:val="28"/>
          <w:szCs w:val="28"/>
          <w:lang w:val="en-US" w:eastAsia="zh-CN"/>
        </w:rPr>
        <w:t>3</w:t>
      </w:r>
      <w:r>
        <w:rPr>
          <w:rFonts w:hint="eastAsia" w:ascii="仿宋_GB2312" w:hAnsi="仿宋_GB2312" w:eastAsia="仿宋_GB2312" w:cs="仿宋_GB2312"/>
          <w:sz w:val="28"/>
          <w:szCs w:val="28"/>
        </w:rPr>
        <w:t>年度</w:t>
      </w:r>
      <w:r>
        <w:rPr>
          <w:rFonts w:hint="eastAsia" w:ascii="仿宋_GB2312" w:hAnsi="仿宋_GB2312" w:eastAsia="仿宋_GB2312" w:cs="仿宋_GB2312"/>
          <w:sz w:val="28"/>
          <w:szCs w:val="28"/>
          <w:lang w:eastAsia="zh-CN"/>
        </w:rPr>
        <w:t>预算</w:t>
      </w:r>
      <w:r>
        <w:rPr>
          <w:rFonts w:hint="eastAsia" w:ascii="仿宋_GB2312" w:hAnsi="仿宋_GB2312" w:eastAsia="仿宋_GB2312" w:cs="仿宋_GB2312"/>
          <w:sz w:val="28"/>
          <w:szCs w:val="28"/>
        </w:rPr>
        <w:t>绩效情况的说明</w:t>
      </w:r>
    </w:p>
    <w:p>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pPr>
        <w:pStyle w:val="13"/>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pPr>
        <w:pStyle w:val="13"/>
        <w:jc w:val="center"/>
        <w:rPr>
          <w:rFonts w:hint="eastAsia" w:ascii="方正小标宋_GBK" w:hAnsi="方正小标宋_GBK" w:eastAsia="方正小标宋_GBK" w:cs="方正小标宋_GBK"/>
          <w:sz w:val="84"/>
          <w:szCs w:val="84"/>
        </w:rPr>
      </w:pPr>
    </w:p>
    <w:p>
      <w:pPr>
        <w:pStyle w:val="13"/>
        <w:jc w:val="center"/>
        <w:rPr>
          <w:rFonts w:hint="eastAsia" w:ascii="方正小标宋_GBK" w:hAnsi="方正小标宋_GBK" w:eastAsia="方正小标宋_GBK" w:cs="方正小标宋_GBK"/>
          <w:sz w:val="84"/>
          <w:szCs w:val="84"/>
        </w:rPr>
      </w:pPr>
    </w:p>
    <w:p>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13"/>
        <w:jc w:val="center"/>
        <w:rPr>
          <w:rFonts w:hint="eastAsia" w:ascii="方正小标宋_GBK" w:hAnsi="方正小标宋_GBK" w:eastAsia="方正小标宋_GBK" w:cs="方正小标宋_GBK"/>
          <w:sz w:val="84"/>
          <w:szCs w:val="84"/>
        </w:rPr>
      </w:pPr>
    </w:p>
    <w:p>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岳阳市市场监管综合行政执法支队</w:t>
      </w:r>
      <w:r>
        <w:rPr>
          <w:rFonts w:hint="eastAsia" w:ascii="方正小标宋_GBK" w:hAnsi="方正小标宋_GBK" w:eastAsia="方正小标宋_GBK" w:cs="方正小标宋_GBK"/>
          <w:sz w:val="84"/>
          <w:szCs w:val="84"/>
          <w:lang w:eastAsia="zh-CN"/>
        </w:rPr>
        <w:t>部门</w:t>
      </w:r>
      <w:r>
        <w:rPr>
          <w:rFonts w:hint="eastAsia" w:ascii="方正小标宋_GBK" w:hAnsi="方正小标宋_GBK" w:eastAsia="方正小标宋_GBK" w:cs="方正小标宋_GBK"/>
          <w:sz w:val="84"/>
          <w:szCs w:val="84"/>
        </w:rPr>
        <w:t>概况</w:t>
      </w:r>
    </w:p>
    <w:p>
      <w:pPr>
        <w:pStyle w:val="8"/>
        <w:rPr>
          <w:rFonts w:hint="eastAsia" w:ascii="方正小标宋_GBK" w:hAnsi="方正小标宋_GBK" w:eastAsia="方正小标宋_GBK" w:cs="方正小标宋_GBK"/>
          <w:sz w:val="84"/>
          <w:szCs w:val="84"/>
        </w:rPr>
      </w:pPr>
    </w:p>
    <w:p>
      <w:pPr>
        <w:pStyle w:val="4"/>
        <w:rPr>
          <w:rFonts w:hint="eastAsia" w:ascii="方正小标宋_GBK" w:hAnsi="方正小标宋_GBK" w:eastAsia="方正小标宋_GBK" w:cs="方正小标宋_GBK"/>
          <w:sz w:val="84"/>
          <w:szCs w:val="84"/>
        </w:rPr>
      </w:pPr>
    </w:p>
    <w:p>
      <w:pPr>
        <w:rPr>
          <w:rFonts w:hint="eastAsia" w:ascii="方正小标宋_GBK" w:hAnsi="方正小标宋_GBK" w:eastAsia="方正小标宋_GBK" w:cs="方正小标宋_GBK"/>
          <w:sz w:val="84"/>
          <w:szCs w:val="84"/>
        </w:rPr>
      </w:pPr>
    </w:p>
    <w:p>
      <w:pPr>
        <w:pStyle w:val="8"/>
        <w:rPr>
          <w:rFonts w:hint="eastAsia" w:ascii="方正小标宋_GBK" w:hAnsi="方正小标宋_GBK" w:eastAsia="方正小标宋_GBK" w:cs="方正小标宋_GBK"/>
          <w:sz w:val="84"/>
          <w:szCs w:val="84"/>
        </w:rPr>
      </w:pP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val="0"/>
          <w:sz w:val="32"/>
          <w:szCs w:val="32"/>
        </w:rPr>
      </w:pPr>
      <w:r>
        <w:rPr>
          <w:rFonts w:hint="eastAsia" w:hAnsi="黑体" w:cs="黑体"/>
          <w:b w:val="0"/>
          <w:bCs w:val="0"/>
          <w:sz w:val="32"/>
          <w:szCs w:val="32"/>
          <w:lang w:eastAsia="zh-CN"/>
        </w:rPr>
        <w:t>一、</w:t>
      </w:r>
      <w:r>
        <w:rPr>
          <w:rFonts w:hint="eastAsia" w:ascii="黑体" w:hAnsi="黑体" w:eastAsia="黑体" w:cs="黑体"/>
          <w:b w:val="0"/>
          <w:bCs w:val="0"/>
          <w:sz w:val="32"/>
          <w:szCs w:val="32"/>
        </w:rPr>
        <w:t>部门</w:t>
      </w:r>
      <w:r>
        <w:rPr>
          <w:rFonts w:hint="eastAsia" w:ascii="黑体" w:hAnsi="黑体" w:eastAsia="黑体" w:cs="黑体"/>
          <w:b w:val="0"/>
          <w:bCs/>
          <w:sz w:val="32"/>
          <w:szCs w:val="32"/>
        </w:rPr>
        <w:t>职责</w:t>
      </w:r>
    </w:p>
    <w:p>
      <w:pPr>
        <w:pStyle w:val="13"/>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（一）履行法律、法规及规章赋予市场监管行政强制、行政处罚及与执法相关的行政检查等职能。</w:t>
      </w:r>
    </w:p>
    <w:p>
      <w:pPr>
        <w:pStyle w:val="13"/>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二）依法查处和纠正食品、药品、化妆品、保健食品、医疗器械、特种设备、工业产品、价格收费、商务粮食、商标专利、知识产权、市场计量、市场交易、网络商品交易、不正当竞争、直销、传销、合同、广告等相关领域违法行为。</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pPr>
        <w:pStyle w:val="13"/>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一）内设机构设置。岳阳市市场监管综合行政执法支队内设机构包括：综合科、后勤装备科、协调科、财务科、人事科五个机构，法制大队、直属一大队、直属二大队、直属三大队、直属四大队、直属五大队、直属六大队、直属七大队、直属八大队九个大队。</w:t>
      </w:r>
    </w:p>
    <w:p>
      <w:pPr>
        <w:pStyle w:val="13"/>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（二）决算单位构成。岳阳市市场监管综合行政执法支队202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年部门决算汇总公开单位构成包括：岳阳市市场监管综合行政执法支队本级</w:t>
      </w:r>
      <w:r>
        <w:rPr>
          <w:rFonts w:hint="eastAsia" w:ascii="Times New Roman" w:hAnsi="Times New Roman" w:eastAsia="仿宋_GB2312"/>
          <w:sz w:val="32"/>
          <w:szCs w:val="32"/>
          <w:lang w:eastAsia="zh-CN"/>
        </w:rPr>
        <w:t>，不包含下属单位和机构。本单位无独立核算的下属单位，</w:t>
      </w:r>
      <w:r>
        <w:rPr>
          <w:rFonts w:hint="eastAsia" w:ascii="Times New Roman" w:hAnsi="Times New Roman" w:eastAsia="仿宋_GB2312"/>
          <w:sz w:val="32"/>
          <w:szCs w:val="32"/>
          <w:lang w:val="en-US" w:eastAsia="zh-CN"/>
        </w:rPr>
        <w:t>2023年度部门决算汇总公开单位仅包括</w:t>
      </w:r>
      <w:r>
        <w:rPr>
          <w:rFonts w:hint="eastAsia" w:ascii="Times New Roman" w:hAnsi="Times New Roman" w:eastAsia="仿宋_GB2312"/>
          <w:sz w:val="32"/>
          <w:szCs w:val="32"/>
        </w:rPr>
        <w:t>岳阳市市场监管综合行政执法支队</w:t>
      </w:r>
      <w:r>
        <w:rPr>
          <w:rFonts w:hint="eastAsia" w:ascii="Times New Roman" w:hAnsi="Times New Roman" w:eastAsia="仿宋_GB2312"/>
          <w:sz w:val="32"/>
          <w:szCs w:val="32"/>
          <w:lang w:val="en-US" w:eastAsia="zh-CN"/>
        </w:rPr>
        <w:t>本级。</w:t>
      </w:r>
    </w:p>
    <w:p>
      <w:pPr>
        <w:pStyle w:val="13"/>
        <w:ind w:firstLine="640" w:firstLineChars="200"/>
        <w:rPr>
          <w:rFonts w:hint="eastAsia" w:ascii="Times New Roman" w:hAnsi="Times New Roman" w:eastAsia="仿宋_GB2312"/>
          <w:sz w:val="32"/>
          <w:szCs w:val="32"/>
        </w:rPr>
      </w:pPr>
    </w:p>
    <w:p>
      <w:pPr>
        <w:pStyle w:val="4"/>
        <w:rPr>
          <w:rFonts w:hint="eastAsia" w:ascii="方正小标宋_GBK" w:hAnsi="方正小标宋_GBK" w:eastAsia="方正小标宋_GBK" w:cs="方正小标宋_GBK"/>
          <w:sz w:val="84"/>
          <w:szCs w:val="84"/>
        </w:rPr>
      </w:pPr>
    </w:p>
    <w:p>
      <w:pPr>
        <w:jc w:val="left"/>
        <w:rPr>
          <w:rFonts w:ascii="仿宋_GB2312" w:eastAsia="仿宋_GB2312" w:hAnsiTheme="minorEastAsia"/>
          <w:sz w:val="28"/>
          <w:szCs w:val="32"/>
        </w:rPr>
      </w:pPr>
    </w:p>
    <w:p/>
    <w:p>
      <w:pPr>
        <w:pStyle w:val="8"/>
      </w:pPr>
    </w:p>
    <w:p>
      <w:pPr>
        <w:pStyle w:val="4"/>
      </w:pPr>
    </w:p>
    <w:p/>
    <w:p>
      <w:pPr>
        <w:pStyle w:val="8"/>
      </w:pPr>
    </w:p>
    <w:p>
      <w:pPr>
        <w:pStyle w:val="4"/>
      </w:pPr>
    </w:p>
    <w:p/>
    <w:p>
      <w:pPr>
        <w:pStyle w:val="8"/>
      </w:pPr>
    </w:p>
    <w:p>
      <w:pPr>
        <w:pStyle w:val="4"/>
      </w:pPr>
    </w:p>
    <w:p/>
    <w:p>
      <w:pPr>
        <w:pStyle w:val="8"/>
      </w:pPr>
    </w:p>
    <w:p>
      <w:pPr>
        <w:pStyle w:val="4"/>
      </w:pPr>
    </w:p>
    <w:p/>
    <w:p>
      <w:pPr>
        <w:pStyle w:val="8"/>
      </w:pPr>
    </w:p>
    <w:p>
      <w:pPr>
        <w:pStyle w:val="13"/>
        <w:jc w:val="both"/>
        <w:rPr>
          <w:rFonts w:hint="eastAsia" w:ascii="方正小标宋_GBK" w:hAnsi="方正小标宋_GBK" w:eastAsia="方正小标宋_GBK" w:cs="方正小标宋_GBK"/>
          <w:sz w:val="84"/>
          <w:szCs w:val="84"/>
        </w:rPr>
      </w:pPr>
    </w:p>
    <w:p>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3"/>
        <w:jc w:val="center"/>
        <w:rPr>
          <w:rFonts w:hint="eastAsia" w:ascii="方正小标宋_GBK" w:hAnsi="方正小标宋_GBK" w:eastAsia="方正小标宋_GBK" w:cs="方正小标宋_GBK"/>
          <w:sz w:val="84"/>
          <w:szCs w:val="84"/>
        </w:rPr>
      </w:pPr>
    </w:p>
    <w:p>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pStyle w:val="13"/>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pPr>
        <w:pStyle w:val="13"/>
        <w:jc w:val="center"/>
        <w:rPr>
          <w:rFonts w:hint="eastAsia" w:ascii="仿宋_GB2312" w:hAnsi="仿宋_GB2312" w:eastAsia="仿宋_GB2312" w:cs="仿宋_GB2312"/>
          <w:b w:val="0"/>
          <w:bCs w:val="0"/>
          <w:sz w:val="72"/>
          <w:szCs w:val="72"/>
          <w:lang w:eastAsia="zh-CN"/>
        </w:rPr>
      </w:pPr>
    </w:p>
    <w:p>
      <w:pPr>
        <w:pStyle w:val="13"/>
        <w:jc w:val="center"/>
        <w:rPr>
          <w:rFonts w:hint="eastAsia" w:ascii="仿宋_GB2312" w:hAnsi="仿宋_GB2312" w:eastAsia="仿宋_GB2312" w:cs="仿宋_GB2312"/>
          <w:b w:val="0"/>
          <w:bCs w:val="0"/>
          <w:sz w:val="72"/>
          <w:szCs w:val="72"/>
          <w:lang w:eastAsia="zh-CN"/>
        </w:rPr>
      </w:pPr>
    </w:p>
    <w:p>
      <w:pPr>
        <w:pStyle w:val="13"/>
        <w:jc w:val="center"/>
        <w:rPr>
          <w:rFonts w:hint="eastAsia" w:ascii="仿宋_GB2312" w:hAnsi="仿宋_GB2312" w:eastAsia="仿宋_GB2312" w:cs="仿宋_GB2312"/>
          <w:b w:val="0"/>
          <w:bCs w:val="0"/>
          <w:sz w:val="72"/>
          <w:szCs w:val="72"/>
          <w:lang w:eastAsia="zh-CN"/>
        </w:rPr>
      </w:pPr>
    </w:p>
    <w:p>
      <w:pPr>
        <w:pStyle w:val="13"/>
        <w:jc w:val="center"/>
        <w:rPr>
          <w:rFonts w:hint="eastAsia" w:ascii="仿宋_GB2312" w:hAnsi="仿宋_GB2312" w:eastAsia="仿宋_GB2312" w:cs="仿宋_GB2312"/>
          <w:b w:val="0"/>
          <w:bCs w:val="0"/>
          <w:sz w:val="72"/>
          <w:szCs w:val="72"/>
          <w:lang w:eastAsia="zh-CN"/>
        </w:rPr>
      </w:pPr>
    </w:p>
    <w:p>
      <w:pPr>
        <w:pStyle w:val="13"/>
        <w:jc w:val="center"/>
        <w:rPr>
          <w:rFonts w:hint="eastAsia" w:ascii="仿宋_GB2312" w:hAnsi="仿宋_GB2312" w:eastAsia="仿宋_GB2312" w:cs="仿宋_GB2312"/>
          <w:b w:val="0"/>
          <w:bCs w:val="0"/>
          <w:sz w:val="72"/>
          <w:szCs w:val="72"/>
          <w:lang w:eastAsia="zh-CN"/>
        </w:rPr>
      </w:pPr>
    </w:p>
    <w:p>
      <w:pPr>
        <w:pStyle w:val="13"/>
        <w:jc w:val="center"/>
        <w:rPr>
          <w:rFonts w:hint="eastAsia" w:ascii="仿宋_GB2312" w:hAnsi="仿宋_GB2312" w:eastAsia="仿宋_GB2312" w:cs="仿宋_GB2312"/>
          <w:b w:val="0"/>
          <w:bCs w:val="0"/>
          <w:sz w:val="72"/>
          <w:szCs w:val="72"/>
          <w:lang w:eastAsia="zh-CN"/>
        </w:rPr>
      </w:pPr>
    </w:p>
    <w:p>
      <w:pPr>
        <w:pStyle w:val="13"/>
        <w:jc w:val="center"/>
        <w:rPr>
          <w:rFonts w:hint="eastAsia" w:ascii="仿宋_GB2312" w:hAnsi="仿宋_GB2312" w:eastAsia="仿宋_GB2312" w:cs="仿宋_GB2312"/>
          <w:b w:val="0"/>
          <w:bCs w:val="0"/>
          <w:sz w:val="72"/>
          <w:szCs w:val="72"/>
          <w:lang w:eastAsia="zh-CN"/>
        </w:rPr>
      </w:pPr>
    </w:p>
    <w:p>
      <w:pPr>
        <w:pStyle w:val="13"/>
        <w:jc w:val="center"/>
        <w:rPr>
          <w:rFonts w:hint="eastAsia" w:ascii="方正小标宋_GBK" w:hAnsi="方正小标宋_GBK" w:eastAsia="方正小标宋_GBK" w:cs="方正小标宋_GBK"/>
          <w:sz w:val="72"/>
          <w:szCs w:val="72"/>
        </w:rPr>
      </w:pPr>
    </w:p>
    <w:p>
      <w:pPr>
        <w:pStyle w:val="13"/>
        <w:jc w:val="center"/>
        <w:rPr>
          <w:rFonts w:hint="eastAsia" w:ascii="方正小标宋_GBK" w:hAnsi="方正小标宋_GBK" w:eastAsia="方正小标宋_GBK" w:cs="方正小标宋_GBK"/>
          <w:sz w:val="72"/>
          <w:szCs w:val="72"/>
        </w:rPr>
      </w:pPr>
    </w:p>
    <w:p>
      <w:pPr>
        <w:pStyle w:val="13"/>
        <w:jc w:val="both"/>
        <w:rPr>
          <w:rFonts w:hint="eastAsia" w:ascii="方正小标宋_GBK" w:hAnsi="方正小标宋_GBK" w:eastAsia="方正小标宋_GBK" w:cs="方正小标宋_GBK"/>
          <w:sz w:val="72"/>
          <w:szCs w:val="72"/>
        </w:rPr>
      </w:pPr>
    </w:p>
    <w:p>
      <w:pPr>
        <w:pStyle w:val="13"/>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3"/>
        <w:jc w:val="center"/>
        <w:rPr>
          <w:rFonts w:hint="eastAsia" w:ascii="方正小标宋_GBK" w:hAnsi="方正小标宋_GBK" w:eastAsia="方正小标宋_GBK" w:cs="方正小标宋_GBK"/>
          <w:sz w:val="70"/>
          <w:szCs w:val="70"/>
        </w:rPr>
      </w:pPr>
    </w:p>
    <w:p>
      <w:pPr>
        <w:pStyle w:val="13"/>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3</w:t>
      </w:r>
      <w:r>
        <w:rPr>
          <w:rFonts w:hint="eastAsia" w:ascii="方正小标宋_GBK" w:hAnsi="方正小标宋_GBK" w:eastAsia="方正小标宋_GBK" w:cs="方正小标宋_GBK"/>
          <w:sz w:val="70"/>
          <w:szCs w:val="70"/>
        </w:rPr>
        <w:t>年度部门决算情况说明</w:t>
      </w:r>
    </w:p>
    <w:p>
      <w:pPr>
        <w:pStyle w:val="13"/>
        <w:jc w:val="center"/>
        <w:rPr>
          <w:rFonts w:hint="eastAsia" w:ascii="方正小标宋_GBK" w:hAnsi="方正小标宋_GBK" w:eastAsia="方正小标宋_GBK" w:cs="方正小标宋_GBK"/>
          <w:sz w:val="70"/>
          <w:szCs w:val="70"/>
        </w:rPr>
      </w:pPr>
    </w:p>
    <w:p>
      <w:pPr>
        <w:pStyle w:val="13"/>
        <w:jc w:val="center"/>
        <w:rPr>
          <w:rFonts w:hint="eastAsia" w:ascii="方正小标宋_GBK" w:hAnsi="方正小标宋_GBK" w:eastAsia="方正小标宋_GBK" w:cs="方正小标宋_GBK"/>
          <w:sz w:val="70"/>
          <w:szCs w:val="70"/>
        </w:rPr>
      </w:pPr>
    </w:p>
    <w:p>
      <w:pPr>
        <w:pStyle w:val="13"/>
        <w:jc w:val="center"/>
        <w:rPr>
          <w:rFonts w:hint="eastAsia" w:ascii="方正小标宋_GBK" w:hAnsi="方正小标宋_GBK" w:eastAsia="方正小标宋_GBK" w:cs="方正小标宋_GBK"/>
          <w:sz w:val="70"/>
          <w:szCs w:val="70"/>
        </w:rPr>
      </w:pPr>
    </w:p>
    <w:p>
      <w:pPr>
        <w:pStyle w:val="13"/>
        <w:jc w:val="both"/>
        <w:rPr>
          <w:rFonts w:hint="eastAsia" w:ascii="方正小标宋_GBK" w:hAnsi="方正小标宋_GBK" w:eastAsia="方正小标宋_GBK" w:cs="方正小标宋_GBK"/>
          <w:sz w:val="70"/>
          <w:szCs w:val="70"/>
        </w:rPr>
      </w:pPr>
    </w:p>
    <w:p>
      <w:pPr>
        <w:widowControl/>
        <w:jc w:val="left"/>
        <w:rPr>
          <w:rFonts w:ascii="宋体" w:hAnsi="宋体" w:eastAsia="宋体"/>
          <w:sz w:val="32"/>
          <w:szCs w:val="32"/>
        </w:rPr>
      </w:pPr>
      <w:r>
        <w:rPr>
          <w:rFonts w:hint="eastAsia" w:ascii="方正小标宋_GBK" w:hAnsi="方正小标宋_GBK" w:eastAsia="方正小标宋_GBK" w:cs="方正小标宋_GBK"/>
          <w:sz w:val="70"/>
          <w:szCs w:val="70"/>
          <w:lang w:val="en-US" w:eastAsia="zh-CN"/>
        </w:rPr>
        <w:t xml:space="preserve"> </w:t>
      </w:r>
    </w:p>
    <w:p>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完成年初预算的XX%</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2023年度收、支总计2148.50万元,与上年相比，增加0.37万元，增长0.02%，主要是因为2023年度一般公共预算财政拨款收入有所增加。</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2023年度收入合计2147.05万元，其中：财政拨款收入2136.73万元，占99.52%；上级补助收入0万元，占0%；事业收入0万元，占0%；经营收入0万元，占0%；附属单位上缴收入0万元，占0%；其他收入10.31万元，占0.48%。</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2023年度支出合计2148.51万元，其中：基本支出1729.65万元，占80.50%；项目支出418.86万元，占19.50%；上缴上级支出0万元，占0%；经营支出0万元，占0%；对附属单位补助支出0万元，占0%。</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2023年度财政拨款收、支总计2137.75万元，与上年相比，增加22.31万元,增长1.05%，主要是因为2023年度进档晋级人员经费预算增加。</w:t>
      </w:r>
    </w:p>
    <w:p>
      <w:pPr>
        <w:pStyle w:val="13"/>
        <w:keepNext w:val="0"/>
        <w:keepLines w:val="0"/>
        <w:pageBreakBefore w:val="0"/>
        <w:widowControl w:val="0"/>
        <w:numPr>
          <w:ilvl w:val="0"/>
          <w:numId w:val="1"/>
        </w:numPr>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一般公共预算财政拨款支出决算情况说明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（一）一般公共预算财政拨款支出决算总体情况</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2023年度财政拨款支出2137.75万元，占本年支出合计的99.50%，与上年相比，财政拨款支出增加23.33万元，增长1.10%，主要是因为进档晋级人员经费增加。</w:t>
      </w:r>
    </w:p>
    <w:p>
      <w:pPr>
        <w:pStyle w:val="13"/>
        <w:keepNext w:val="0"/>
        <w:keepLines w:val="0"/>
        <w:pageBreakBefore w:val="0"/>
        <w:widowControl w:val="0"/>
        <w:numPr>
          <w:ilvl w:val="0"/>
          <w:numId w:val="2"/>
        </w:numPr>
        <w:kinsoku/>
        <w:wordWrap/>
        <w:overflowPunct/>
        <w:topLinePunct w:val="0"/>
        <w:bidi w:val="0"/>
        <w:snapToGrid/>
        <w:spacing w:line="600" w:lineRule="exact"/>
        <w:ind w:firstLine="640" w:firstLineChars="200"/>
        <w:textAlignment w:val="auto"/>
        <w:rPr>
          <w:rFonts w:hint="default" w:ascii="楷体" w:hAnsi="楷体" w:eastAsia="楷体" w:cs="楷体"/>
          <w:b w:val="0"/>
          <w:bCs/>
          <w:sz w:val="32"/>
          <w:szCs w:val="32"/>
          <w:lang w:val="en-US" w:eastAsia="zh-CN"/>
        </w:rPr>
      </w:pPr>
      <w:r>
        <w:rPr>
          <w:rFonts w:hint="eastAsia" w:ascii="楷体" w:hAnsi="楷体" w:eastAsia="楷体" w:cs="楷体"/>
          <w:b w:val="0"/>
          <w:bCs/>
          <w:sz w:val="32"/>
          <w:szCs w:val="32"/>
        </w:rPr>
        <w:t>一般公共预算财政拨款支出决算结构情况</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 xml:space="preserve"> 2023年度财政拨款支出2137.75万元，主要用于以下方面：一般公共服务（类）支出1819.04万元，占85.09%；社会保障和就业（类）支出130.13万元，占6.09%；卫生健康（类）支出86.10万元，占4.03%；住房保障（类）支出102.49万元，占4.79%。</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（三）财政拨款支出决算具体情况</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2023年度财政拨款支出年初预算数为1560.93万元，支出决算数为2137.75万元，完成年初预算的136.95%，其中：</w:t>
      </w:r>
    </w:p>
    <w:p>
      <w:pPr>
        <w:pStyle w:val="13"/>
        <w:keepNext w:val="0"/>
        <w:keepLines w:val="0"/>
        <w:pageBreakBefore w:val="0"/>
        <w:widowControl w:val="0"/>
        <w:numPr>
          <w:ilvl w:val="0"/>
          <w:numId w:val="3"/>
        </w:numPr>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一般公共服务支出（类）市场监督管理事务（款）行政运行（项）。</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年初预算为1166.8万元，支出决算为1293.57元，完成年初预算的110.86%，决算数大于年初预算数的主要原因是：财政统一追加预算。</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rPr>
      </w:pPr>
      <w:r>
        <w:rPr>
          <w:rFonts w:hint="eastAsia" w:ascii="仿宋_GB2312" w:hAnsi="仿宋_GB2312" w:eastAsia="仿宋_GB2312" w:cs="仿宋_GB2312"/>
          <w:color w:val="auto"/>
          <w:kern w:val="2"/>
          <w:sz w:val="32"/>
          <w:szCs w:val="32"/>
          <w:lang w:val="en-US" w:eastAsia="zh-CN" w:bidi="ar-SA"/>
        </w:rPr>
        <w:t>2、一般公共服务支出（类）市场监督管理事务（款）一般行政管理事务（项）。</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年初预算为38.71万元，支出决算为73.66万元，</w:t>
      </w:r>
      <w:r>
        <w:rPr>
          <w:rFonts w:hint="eastAsia" w:ascii="Times New Roman" w:hAnsi="Times New Roman" w:eastAsia="仿宋_GB2312"/>
          <w:sz w:val="32"/>
          <w:szCs w:val="32"/>
          <w:highlight w:val="none"/>
        </w:rPr>
        <w:t>完成年初预算的</w:t>
      </w:r>
      <w:r>
        <w:rPr>
          <w:rFonts w:hint="eastAsia" w:ascii="Times New Roman" w:hAnsi="Times New Roman" w:eastAsia="仿宋_GB2312"/>
          <w:sz w:val="32"/>
          <w:szCs w:val="32"/>
          <w:highlight w:val="none"/>
          <w:lang w:val="en-US" w:eastAsia="zh-CN"/>
        </w:rPr>
        <w:t>190.29</w:t>
      </w:r>
      <w:r>
        <w:rPr>
          <w:rFonts w:hint="eastAsia" w:ascii="Times New Roman" w:hAnsi="Times New Roman" w:eastAsia="仿宋_GB2312"/>
          <w:sz w:val="32"/>
          <w:szCs w:val="32"/>
          <w:highlight w:val="none"/>
        </w:rPr>
        <w:t>%，决</w:t>
      </w:r>
      <w:r>
        <w:rPr>
          <w:rFonts w:hint="eastAsia" w:ascii="仿宋_GB2312" w:hAnsi="仿宋_GB2312" w:eastAsia="仿宋_GB2312" w:cs="仿宋_GB2312"/>
          <w:color w:val="auto"/>
          <w:kern w:val="2"/>
          <w:sz w:val="32"/>
          <w:szCs w:val="32"/>
          <w:lang w:val="en-US" w:eastAsia="zh-CN" w:bidi="ar-SA"/>
        </w:rPr>
        <w:t>算数大于年初</w:t>
      </w:r>
      <w:r>
        <w:rPr>
          <w:rFonts w:hint="eastAsia" w:ascii="Times New Roman" w:hAnsi="Times New Roman" w:eastAsia="仿宋_GB2312"/>
          <w:sz w:val="32"/>
          <w:szCs w:val="32"/>
          <w:highlight w:val="none"/>
        </w:rPr>
        <w:t>预算数的主要原</w:t>
      </w:r>
      <w:r>
        <w:rPr>
          <w:rFonts w:hint="eastAsia" w:ascii="仿宋_GB2312" w:hAnsi="仿宋_GB2312" w:eastAsia="仿宋_GB2312" w:cs="仿宋_GB2312"/>
          <w:color w:val="auto"/>
          <w:kern w:val="2"/>
          <w:sz w:val="32"/>
          <w:szCs w:val="32"/>
          <w:lang w:val="en-US" w:eastAsia="zh-CN" w:bidi="ar-SA"/>
        </w:rPr>
        <w:t>因是：财政统一追加预算。</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rPr>
        <w:t>3、一般公共服务支出（类）市场监督管理事务（款）市场秩序执法（项）。</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年初预算为0万元，支出决算为365.32万元，由于预算数为0，无法计算百分比，决算数大于年初预算数的主要原因是：市局统一拨款。</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rPr>
        <w:t>4、一般公共服务支出（类）市场监督管理事务（款）药品事务（项）。</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年初预算为0万元，支出决算为11.77万元，由于预算数为0，无法计算百分比，决算数大于年初预算数的主要原因是：市局统一拨款。</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rPr>
        <w:t>5、一般公共服务支出（类）市场监督管理事务（款）</w:t>
      </w:r>
      <w:r>
        <w:rPr>
          <w:rFonts w:hint="eastAsia" w:ascii="Times New Roman" w:hAnsi="Times New Roman" w:eastAsia="仿宋_GB2312"/>
          <w:sz w:val="32"/>
          <w:szCs w:val="32"/>
          <w:highlight w:val="none"/>
          <w:lang w:eastAsia="zh-CN"/>
        </w:rPr>
        <w:t>食品安全监管</w:t>
      </w:r>
      <w:r>
        <w:rPr>
          <w:rFonts w:hint="eastAsia" w:ascii="Times New Roman" w:hAnsi="Times New Roman" w:eastAsia="仿宋_GB2312"/>
          <w:sz w:val="32"/>
          <w:szCs w:val="32"/>
          <w:highlight w:val="none"/>
        </w:rPr>
        <w:t>（项）。</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年初预算为0万元，支出决算为1.58万元，由于预算数为0，无法计算百分比，决算数大于年初预算数的主要原因是：市局统一拨款。</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lang w:val="en-US" w:eastAsia="zh-CN"/>
        </w:rPr>
        <w:t>6</w:t>
      </w:r>
      <w:r>
        <w:rPr>
          <w:rFonts w:hint="eastAsia" w:ascii="Times New Roman" w:hAnsi="Times New Roman" w:eastAsia="仿宋_GB2312"/>
          <w:sz w:val="32"/>
          <w:szCs w:val="32"/>
          <w:highlight w:val="none"/>
        </w:rPr>
        <w:t>、一般公共服务支出（类）市场监督管理事务（款）事业运行（项）。</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rPr>
        <w:t>年初预算为</w:t>
      </w:r>
      <w:r>
        <w:rPr>
          <w:rFonts w:hint="eastAsia" w:ascii="Times New Roman" w:hAnsi="Times New Roman" w:eastAsia="仿宋_GB2312"/>
          <w:sz w:val="32"/>
          <w:szCs w:val="32"/>
          <w:highlight w:val="none"/>
          <w:lang w:val="en-US" w:eastAsia="zh-CN"/>
        </w:rPr>
        <w:t>48.28</w:t>
      </w:r>
      <w:r>
        <w:rPr>
          <w:rFonts w:hint="eastAsia" w:ascii="Times New Roman" w:hAnsi="Times New Roman" w:eastAsia="仿宋_GB2312"/>
          <w:sz w:val="32"/>
          <w:szCs w:val="32"/>
          <w:highlight w:val="none"/>
        </w:rPr>
        <w:t>万元，支出决算为</w:t>
      </w:r>
      <w:r>
        <w:rPr>
          <w:rFonts w:hint="eastAsia" w:ascii="Times New Roman" w:hAnsi="Times New Roman" w:eastAsia="仿宋_GB2312"/>
          <w:sz w:val="32"/>
          <w:szCs w:val="32"/>
          <w:highlight w:val="none"/>
          <w:lang w:val="en-US" w:eastAsia="zh-CN"/>
        </w:rPr>
        <w:t>38.64</w:t>
      </w:r>
      <w:r>
        <w:rPr>
          <w:rFonts w:hint="eastAsia" w:ascii="Times New Roman" w:hAnsi="Times New Roman" w:eastAsia="仿宋_GB2312"/>
          <w:sz w:val="32"/>
          <w:szCs w:val="32"/>
          <w:highlight w:val="none"/>
        </w:rPr>
        <w:t>万元，完成年初预算的</w:t>
      </w:r>
      <w:r>
        <w:rPr>
          <w:rFonts w:hint="eastAsia" w:ascii="Times New Roman" w:hAnsi="Times New Roman" w:eastAsia="仿宋_GB2312"/>
          <w:sz w:val="32"/>
          <w:szCs w:val="32"/>
          <w:highlight w:val="none"/>
          <w:lang w:val="en-US" w:eastAsia="zh-CN"/>
        </w:rPr>
        <w:t>80.03</w:t>
      </w:r>
      <w:r>
        <w:rPr>
          <w:rFonts w:hint="eastAsia" w:ascii="Times New Roman" w:hAnsi="Times New Roman" w:eastAsia="仿宋_GB2312"/>
          <w:sz w:val="32"/>
          <w:szCs w:val="32"/>
          <w:highlight w:val="none"/>
        </w:rPr>
        <w:t>%</w:t>
      </w:r>
      <w:r>
        <w:rPr>
          <w:rFonts w:hint="eastAsia" w:ascii="Times New Roman" w:hAnsi="Times New Roman" w:eastAsia="仿宋_GB2312"/>
          <w:sz w:val="32"/>
          <w:szCs w:val="32"/>
          <w:highlight w:val="none"/>
          <w:lang w:val="en-US" w:eastAsia="zh-CN"/>
        </w:rPr>
        <w:t>,</w:t>
      </w:r>
      <w:r>
        <w:rPr>
          <w:rFonts w:hint="eastAsia" w:ascii="Times New Roman" w:hAnsi="Times New Roman" w:eastAsia="仿宋_GB2312"/>
          <w:sz w:val="32"/>
          <w:szCs w:val="32"/>
          <w:highlight w:val="none"/>
        </w:rPr>
        <w:t>决算数</w:t>
      </w:r>
      <w:r>
        <w:rPr>
          <w:rFonts w:hint="eastAsia" w:ascii="Times New Roman" w:hAnsi="Times New Roman" w:eastAsia="仿宋_GB2312"/>
          <w:sz w:val="32"/>
          <w:szCs w:val="32"/>
          <w:highlight w:val="none"/>
          <w:lang w:eastAsia="zh-CN"/>
        </w:rPr>
        <w:t>小于</w:t>
      </w:r>
      <w:r>
        <w:rPr>
          <w:rFonts w:hint="eastAsia" w:ascii="Times New Roman" w:hAnsi="Times New Roman" w:eastAsia="仿宋_GB2312"/>
          <w:sz w:val="32"/>
          <w:szCs w:val="32"/>
          <w:highlight w:val="none"/>
        </w:rPr>
        <w:t>年初预算数的主要原因是</w:t>
      </w:r>
      <w:r>
        <w:rPr>
          <w:rFonts w:hint="eastAsia" w:ascii="Times New Roman" w:hAnsi="Times New Roman" w:eastAsia="仿宋_GB2312"/>
          <w:sz w:val="32"/>
          <w:szCs w:val="32"/>
          <w:highlight w:val="none"/>
          <w:lang w:eastAsia="zh-CN"/>
        </w:rPr>
        <w:t>：</w:t>
      </w:r>
      <w:r>
        <w:rPr>
          <w:rFonts w:hint="eastAsia" w:ascii="Times New Roman" w:hAnsi="Times New Roman" w:eastAsia="仿宋_GB2312"/>
          <w:sz w:val="32"/>
          <w:szCs w:val="32"/>
          <w:highlight w:val="none"/>
          <w:lang w:val="en-US" w:eastAsia="zh-CN"/>
        </w:rPr>
        <w:t>2023年度有多名事业人员退休</w:t>
      </w:r>
      <w:r>
        <w:rPr>
          <w:rFonts w:hint="eastAsia" w:ascii="Times New Roman" w:hAnsi="Times New Roman" w:eastAsia="仿宋_GB2312"/>
          <w:sz w:val="32"/>
          <w:szCs w:val="32"/>
          <w:highlight w:val="none"/>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lang w:val="en-US" w:eastAsia="zh-CN"/>
        </w:rPr>
        <w:t>7</w:t>
      </w:r>
      <w:r>
        <w:rPr>
          <w:rFonts w:hint="eastAsia" w:ascii="Times New Roman" w:hAnsi="Times New Roman" w:eastAsia="仿宋_GB2312"/>
          <w:sz w:val="32"/>
          <w:szCs w:val="32"/>
          <w:highlight w:val="none"/>
        </w:rPr>
        <w:t>、一般公共服务支出（类）市场监督管理事务（款）其他市场监督管理事务（项）。</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rPr>
        <w:t>年初预算为</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万元，支出决算为</w:t>
      </w:r>
      <w:r>
        <w:rPr>
          <w:rFonts w:hint="eastAsia" w:ascii="Times New Roman" w:hAnsi="Times New Roman" w:eastAsia="仿宋_GB2312"/>
          <w:sz w:val="32"/>
          <w:szCs w:val="32"/>
          <w:highlight w:val="none"/>
          <w:lang w:val="en-US" w:eastAsia="zh-CN"/>
        </w:rPr>
        <w:t>34.50</w:t>
      </w:r>
      <w:r>
        <w:rPr>
          <w:rFonts w:hint="eastAsia" w:ascii="Times New Roman" w:hAnsi="Times New Roman" w:eastAsia="仿宋_GB2312"/>
          <w:sz w:val="32"/>
          <w:szCs w:val="32"/>
          <w:highlight w:val="none"/>
        </w:rPr>
        <w:t>万元，</w:t>
      </w:r>
      <w:r>
        <w:rPr>
          <w:rFonts w:hint="eastAsia" w:ascii="Times New Roman" w:hAnsi="Times New Roman" w:eastAsia="仿宋_GB2312"/>
          <w:sz w:val="32"/>
          <w:szCs w:val="32"/>
          <w:highlight w:val="none"/>
          <w:lang w:eastAsia="zh-CN"/>
        </w:rPr>
        <w:t>由于预算数为</w:t>
      </w:r>
      <w:r>
        <w:rPr>
          <w:rFonts w:hint="eastAsia" w:ascii="Times New Roman" w:hAnsi="Times New Roman" w:eastAsia="仿宋_GB2312"/>
          <w:sz w:val="32"/>
          <w:szCs w:val="32"/>
          <w:highlight w:val="none"/>
          <w:lang w:val="en-US" w:eastAsia="zh-CN"/>
        </w:rPr>
        <w:t>0，无法计算百分比，</w:t>
      </w:r>
      <w:r>
        <w:rPr>
          <w:rFonts w:hint="eastAsia" w:ascii="Times New Roman" w:hAnsi="Times New Roman" w:eastAsia="仿宋_GB2312"/>
          <w:sz w:val="32"/>
          <w:szCs w:val="32"/>
          <w:highlight w:val="none"/>
        </w:rPr>
        <w:t>决算数大于年初预算数的主要原因是：市局统一拨款。</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8、社会保障和就业支出（类）行政事业单位养老支出（款）机关事业单位基本养老保险缴费支出（项）。</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年初预算为</w:t>
      </w:r>
      <w:r>
        <w:rPr>
          <w:rFonts w:hint="eastAsia" w:ascii="Times New Roman" w:hAnsi="Times New Roman" w:eastAsia="仿宋_GB2312"/>
          <w:color w:val="auto"/>
          <w:sz w:val="32"/>
          <w:szCs w:val="32"/>
          <w:highlight w:val="none"/>
          <w:lang w:val="en-US" w:eastAsia="zh-CN"/>
        </w:rPr>
        <w:t>109.5</w:t>
      </w:r>
      <w:r>
        <w:rPr>
          <w:rFonts w:hint="eastAsia" w:ascii="Times New Roman" w:hAnsi="Times New Roman" w:eastAsia="仿宋_GB2312"/>
          <w:color w:val="auto"/>
          <w:sz w:val="32"/>
          <w:szCs w:val="32"/>
          <w:highlight w:val="none"/>
        </w:rPr>
        <w:t>万元，支出决算为</w:t>
      </w:r>
      <w:r>
        <w:rPr>
          <w:rFonts w:hint="eastAsia" w:ascii="Times New Roman" w:hAnsi="Times New Roman" w:eastAsia="仿宋_GB2312"/>
          <w:color w:val="auto"/>
          <w:sz w:val="32"/>
          <w:szCs w:val="32"/>
          <w:highlight w:val="none"/>
          <w:lang w:val="en-US" w:eastAsia="zh-CN"/>
        </w:rPr>
        <w:t>109.5</w:t>
      </w:r>
      <w:r>
        <w:rPr>
          <w:rFonts w:hint="eastAsia" w:ascii="Times New Roman" w:hAnsi="Times New Roman" w:eastAsia="仿宋_GB2312"/>
          <w:color w:val="auto"/>
          <w:sz w:val="32"/>
          <w:szCs w:val="32"/>
          <w:highlight w:val="none"/>
        </w:rPr>
        <w:t>万元，完成年初预算的</w:t>
      </w:r>
      <w:r>
        <w:rPr>
          <w:rFonts w:hint="eastAsia" w:ascii="Times New Roman" w:hAnsi="Times New Roman" w:eastAsia="仿宋_GB2312"/>
          <w:color w:val="auto"/>
          <w:sz w:val="32"/>
          <w:szCs w:val="32"/>
          <w:highlight w:val="none"/>
          <w:lang w:val="en-US" w:eastAsia="zh-CN"/>
        </w:rPr>
        <w:t>100</w:t>
      </w:r>
      <w:r>
        <w:rPr>
          <w:rFonts w:hint="eastAsia" w:ascii="Times New Roman" w:hAnsi="Times New Roman" w:eastAsia="仿宋_GB2312"/>
          <w:color w:val="auto"/>
          <w:sz w:val="32"/>
          <w:szCs w:val="32"/>
          <w:highlight w:val="none"/>
        </w:rPr>
        <w:t>%</w:t>
      </w:r>
      <w:r>
        <w:rPr>
          <w:rFonts w:hint="eastAsia" w:ascii="Times New Roman" w:hAnsi="Times New Roman" w:eastAsia="仿宋_GB2312"/>
          <w:color w:val="auto"/>
          <w:sz w:val="32"/>
          <w:szCs w:val="32"/>
          <w:highlight w:val="none"/>
          <w:lang w:eastAsia="zh-CN"/>
        </w:rPr>
        <w:t>，</w:t>
      </w:r>
      <w:r>
        <w:rPr>
          <w:rFonts w:hint="eastAsia" w:ascii="Times New Roman" w:hAnsi="Times New Roman" w:eastAsia="仿宋_GB2312"/>
          <w:color w:val="auto"/>
          <w:sz w:val="32"/>
          <w:szCs w:val="32"/>
          <w:highlight w:val="none"/>
        </w:rPr>
        <w:t>决算数</w:t>
      </w:r>
      <w:r>
        <w:rPr>
          <w:rFonts w:hint="eastAsia" w:ascii="Times New Roman" w:hAnsi="Times New Roman" w:eastAsia="仿宋_GB2312"/>
          <w:color w:val="auto"/>
          <w:sz w:val="32"/>
          <w:szCs w:val="32"/>
          <w:highlight w:val="none"/>
          <w:lang w:eastAsia="zh-CN"/>
        </w:rPr>
        <w:t>等于</w:t>
      </w:r>
      <w:r>
        <w:rPr>
          <w:rFonts w:hint="eastAsia" w:ascii="Times New Roman" w:hAnsi="Times New Roman" w:eastAsia="仿宋_GB2312"/>
          <w:color w:val="auto"/>
          <w:sz w:val="32"/>
          <w:szCs w:val="32"/>
          <w:highlight w:val="none"/>
        </w:rPr>
        <w:t>年初预算数的主要原因是</w:t>
      </w:r>
      <w:r>
        <w:rPr>
          <w:rFonts w:hint="eastAsia" w:ascii="Times New Roman" w:hAnsi="Times New Roman" w:eastAsia="仿宋_GB2312"/>
          <w:color w:val="auto"/>
          <w:sz w:val="32"/>
          <w:szCs w:val="32"/>
          <w:highlight w:val="none"/>
          <w:lang w:eastAsia="zh-CN"/>
        </w:rPr>
        <w:t>：</w:t>
      </w:r>
      <w:r>
        <w:rPr>
          <w:rFonts w:hint="eastAsia" w:ascii="仿宋_GB2312" w:hAnsi="仿宋_GB2312" w:eastAsia="仿宋_GB2312" w:cs="仿宋_GB2312"/>
          <w:b w:val="0"/>
          <w:bCs/>
          <w:color w:val="auto"/>
          <w:sz w:val="32"/>
          <w:szCs w:val="32"/>
          <w:lang w:eastAsia="zh-CN"/>
        </w:rPr>
        <w:t>我单位严格按预算执行决算</w:t>
      </w:r>
      <w:r>
        <w:rPr>
          <w:rFonts w:hint="eastAsia" w:ascii="Times New Roman" w:hAnsi="Times New Roman" w:eastAsia="仿宋_GB2312"/>
          <w:color w:val="auto"/>
          <w:sz w:val="32"/>
          <w:szCs w:val="32"/>
          <w:highlight w:val="none"/>
        </w:rPr>
        <w:t>。</w:t>
      </w:r>
    </w:p>
    <w:p>
      <w:pPr>
        <w:pStyle w:val="13"/>
        <w:keepNext w:val="0"/>
        <w:keepLines w:val="0"/>
        <w:pageBreakBefore w:val="0"/>
        <w:widowControl w:val="0"/>
        <w:numPr>
          <w:ilvl w:val="0"/>
          <w:numId w:val="4"/>
        </w:numPr>
        <w:kinsoku/>
        <w:wordWrap/>
        <w:overflowPunct/>
        <w:topLinePunct w:val="0"/>
        <w:bidi w:val="0"/>
        <w:snapToGrid/>
        <w:spacing w:line="600" w:lineRule="exact"/>
        <w:ind w:firstLine="640" w:firstLineChars="200"/>
        <w:textAlignment w:val="auto"/>
        <w:rPr>
          <w:rFonts w:hint="eastAsia"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社会保障和就业支出（类）</w:t>
      </w:r>
      <w:r>
        <w:rPr>
          <w:rFonts w:hint="eastAsia" w:ascii="Times New Roman" w:hAnsi="Times New Roman" w:eastAsia="仿宋_GB2312"/>
          <w:color w:val="auto"/>
          <w:sz w:val="32"/>
          <w:szCs w:val="32"/>
          <w:highlight w:val="none"/>
          <w:lang w:eastAsia="zh-CN"/>
        </w:rPr>
        <w:t>抚恤</w:t>
      </w:r>
      <w:r>
        <w:rPr>
          <w:rFonts w:hint="eastAsia" w:ascii="Times New Roman" w:hAnsi="Times New Roman" w:eastAsia="仿宋_GB2312"/>
          <w:color w:val="auto"/>
          <w:sz w:val="32"/>
          <w:szCs w:val="32"/>
          <w:highlight w:val="none"/>
        </w:rPr>
        <w:t>支出（款）</w:t>
      </w:r>
      <w:r>
        <w:rPr>
          <w:rFonts w:hint="eastAsia" w:ascii="Times New Roman" w:hAnsi="Times New Roman" w:eastAsia="仿宋_GB2312"/>
          <w:color w:val="auto"/>
          <w:sz w:val="32"/>
          <w:szCs w:val="32"/>
          <w:highlight w:val="none"/>
          <w:lang w:eastAsia="zh-CN"/>
        </w:rPr>
        <w:t>其他优抚支出</w:t>
      </w:r>
      <w:r>
        <w:rPr>
          <w:rFonts w:hint="eastAsia" w:ascii="Times New Roman" w:hAnsi="Times New Roman" w:eastAsia="仿宋_GB2312"/>
          <w:color w:val="auto"/>
          <w:sz w:val="32"/>
          <w:szCs w:val="32"/>
          <w:highlight w:val="none"/>
        </w:rPr>
        <w:t>（项）。</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rPr>
        <w:t>年初预算为</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万元，支出决算为</w:t>
      </w:r>
      <w:r>
        <w:rPr>
          <w:rFonts w:hint="eastAsia" w:ascii="Times New Roman" w:hAnsi="Times New Roman" w:eastAsia="仿宋_GB2312"/>
          <w:sz w:val="32"/>
          <w:szCs w:val="32"/>
          <w:highlight w:val="none"/>
          <w:lang w:val="en-US" w:eastAsia="zh-CN"/>
        </w:rPr>
        <w:t>16.82</w:t>
      </w:r>
      <w:r>
        <w:rPr>
          <w:rFonts w:hint="eastAsia" w:ascii="Times New Roman" w:hAnsi="Times New Roman" w:eastAsia="仿宋_GB2312"/>
          <w:sz w:val="32"/>
          <w:szCs w:val="32"/>
          <w:highlight w:val="none"/>
        </w:rPr>
        <w:t>万元，</w:t>
      </w:r>
      <w:r>
        <w:rPr>
          <w:rFonts w:hint="eastAsia" w:ascii="Times New Roman" w:hAnsi="Times New Roman" w:eastAsia="仿宋_GB2312"/>
          <w:sz w:val="32"/>
          <w:szCs w:val="32"/>
          <w:highlight w:val="none"/>
          <w:lang w:eastAsia="zh-CN"/>
        </w:rPr>
        <w:t>由于预算数为</w:t>
      </w:r>
      <w:r>
        <w:rPr>
          <w:rFonts w:hint="eastAsia" w:ascii="Times New Roman" w:hAnsi="Times New Roman" w:eastAsia="仿宋_GB2312"/>
          <w:sz w:val="32"/>
          <w:szCs w:val="32"/>
          <w:highlight w:val="none"/>
          <w:lang w:val="en-US" w:eastAsia="zh-CN"/>
        </w:rPr>
        <w:t>0，无法计算百分比，</w:t>
      </w:r>
      <w:r>
        <w:rPr>
          <w:rFonts w:hint="eastAsia" w:ascii="Times New Roman" w:hAnsi="Times New Roman" w:eastAsia="仿宋_GB2312"/>
          <w:sz w:val="32"/>
          <w:szCs w:val="32"/>
          <w:highlight w:val="none"/>
        </w:rPr>
        <w:t>决算数大于年初预算数的主要原因是：市局统一拨款。</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color w:val="auto"/>
          <w:sz w:val="32"/>
          <w:szCs w:val="32"/>
          <w:highlight w:val="none"/>
          <w:lang w:val="en-US" w:eastAsia="zh-CN"/>
        </w:rPr>
        <w:t>10</w:t>
      </w:r>
      <w:r>
        <w:rPr>
          <w:rFonts w:hint="eastAsia" w:ascii="Times New Roman" w:hAnsi="Times New Roman" w:eastAsia="仿宋_GB2312"/>
          <w:color w:val="auto"/>
          <w:sz w:val="32"/>
          <w:szCs w:val="32"/>
          <w:highlight w:val="none"/>
        </w:rPr>
        <w:t>、</w:t>
      </w:r>
      <w:r>
        <w:rPr>
          <w:rFonts w:hint="eastAsia" w:ascii="Times New Roman" w:hAnsi="Times New Roman" w:eastAsia="仿宋_GB2312"/>
          <w:sz w:val="32"/>
          <w:szCs w:val="32"/>
          <w:highlight w:val="none"/>
        </w:rPr>
        <w:t>社会保障和就业支出（类）残疾人事业（款）其他残疾人事业支出（项）。</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年初预算为</w:t>
      </w:r>
      <w:r>
        <w:rPr>
          <w:rFonts w:hint="eastAsia" w:ascii="Times New Roman" w:hAnsi="Times New Roman" w:eastAsia="仿宋_GB2312"/>
          <w:color w:val="auto"/>
          <w:sz w:val="32"/>
          <w:szCs w:val="32"/>
          <w:highlight w:val="none"/>
          <w:lang w:val="en-US" w:eastAsia="zh-CN"/>
        </w:rPr>
        <w:t>3.81</w:t>
      </w:r>
      <w:r>
        <w:rPr>
          <w:rFonts w:hint="eastAsia" w:ascii="Times New Roman" w:hAnsi="Times New Roman" w:eastAsia="仿宋_GB2312"/>
          <w:color w:val="auto"/>
          <w:sz w:val="32"/>
          <w:szCs w:val="32"/>
          <w:highlight w:val="none"/>
        </w:rPr>
        <w:t>万元，支出决算为3.81万元，完成年初预算的</w:t>
      </w:r>
      <w:r>
        <w:rPr>
          <w:rFonts w:hint="eastAsia" w:ascii="Times New Roman" w:hAnsi="Times New Roman" w:eastAsia="仿宋_GB2312"/>
          <w:color w:val="auto"/>
          <w:sz w:val="32"/>
          <w:szCs w:val="32"/>
          <w:highlight w:val="none"/>
          <w:lang w:val="en-US" w:eastAsia="zh-CN"/>
        </w:rPr>
        <w:t>100</w:t>
      </w:r>
      <w:r>
        <w:rPr>
          <w:rFonts w:hint="eastAsia" w:ascii="Times New Roman" w:hAnsi="Times New Roman" w:eastAsia="仿宋_GB2312"/>
          <w:color w:val="auto"/>
          <w:sz w:val="32"/>
          <w:szCs w:val="32"/>
          <w:highlight w:val="none"/>
        </w:rPr>
        <w:t>%</w:t>
      </w:r>
      <w:r>
        <w:rPr>
          <w:rFonts w:hint="eastAsia" w:ascii="Times New Roman" w:hAnsi="Times New Roman" w:eastAsia="仿宋_GB2312"/>
          <w:color w:val="auto"/>
          <w:sz w:val="32"/>
          <w:szCs w:val="32"/>
          <w:highlight w:val="none"/>
          <w:lang w:eastAsia="zh-CN"/>
        </w:rPr>
        <w:t>，</w:t>
      </w:r>
      <w:r>
        <w:rPr>
          <w:rFonts w:hint="eastAsia" w:ascii="Times New Roman" w:hAnsi="Times New Roman" w:eastAsia="仿宋_GB2312"/>
          <w:color w:val="auto"/>
          <w:sz w:val="32"/>
          <w:szCs w:val="32"/>
          <w:highlight w:val="none"/>
        </w:rPr>
        <w:t>决算数</w:t>
      </w:r>
      <w:r>
        <w:rPr>
          <w:rFonts w:hint="eastAsia" w:ascii="Times New Roman" w:hAnsi="Times New Roman" w:eastAsia="仿宋_GB2312"/>
          <w:color w:val="auto"/>
          <w:sz w:val="32"/>
          <w:szCs w:val="32"/>
          <w:highlight w:val="none"/>
          <w:lang w:eastAsia="zh-CN"/>
        </w:rPr>
        <w:t>等于</w:t>
      </w:r>
      <w:r>
        <w:rPr>
          <w:rFonts w:hint="eastAsia" w:ascii="Times New Roman" w:hAnsi="Times New Roman" w:eastAsia="仿宋_GB2312"/>
          <w:color w:val="auto"/>
          <w:sz w:val="32"/>
          <w:szCs w:val="32"/>
          <w:highlight w:val="none"/>
        </w:rPr>
        <w:t>年初预算数的主要原因是</w:t>
      </w:r>
      <w:r>
        <w:rPr>
          <w:rFonts w:hint="eastAsia" w:ascii="Times New Roman" w:hAnsi="Times New Roman" w:eastAsia="仿宋_GB2312"/>
          <w:color w:val="auto"/>
          <w:sz w:val="32"/>
          <w:szCs w:val="32"/>
          <w:highlight w:val="none"/>
          <w:lang w:eastAsia="zh-CN"/>
        </w:rPr>
        <w:t>：</w:t>
      </w:r>
      <w:r>
        <w:rPr>
          <w:rFonts w:hint="eastAsia" w:ascii="仿宋_GB2312" w:hAnsi="仿宋_GB2312" w:eastAsia="仿宋_GB2312" w:cs="仿宋_GB2312"/>
          <w:b w:val="0"/>
          <w:bCs/>
          <w:color w:val="auto"/>
          <w:sz w:val="32"/>
          <w:szCs w:val="32"/>
          <w:lang w:eastAsia="zh-CN"/>
        </w:rPr>
        <w:t>我单位严格按预算执行决算</w:t>
      </w:r>
      <w:r>
        <w:rPr>
          <w:rFonts w:hint="eastAsia" w:ascii="Times New Roman" w:hAnsi="Times New Roman" w:eastAsia="仿宋_GB2312"/>
          <w:color w:val="auto"/>
          <w:sz w:val="32"/>
          <w:szCs w:val="32"/>
          <w:highlight w:val="none"/>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lang w:val="en-US" w:eastAsia="zh-CN"/>
        </w:rPr>
        <w:t>11</w:t>
      </w:r>
      <w:r>
        <w:rPr>
          <w:rFonts w:hint="eastAsia" w:ascii="Times New Roman" w:hAnsi="Times New Roman" w:eastAsia="仿宋_GB2312"/>
          <w:sz w:val="32"/>
          <w:szCs w:val="32"/>
          <w:highlight w:val="none"/>
        </w:rPr>
        <w:t>、卫生健康支出（类）行政事业单位医疗（款） 行政单位医疗（项）。</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rPr>
        <w:t>年初预算为</w:t>
      </w:r>
      <w:r>
        <w:rPr>
          <w:rFonts w:hint="eastAsia" w:ascii="Times New Roman" w:hAnsi="Times New Roman" w:eastAsia="仿宋_GB2312"/>
          <w:sz w:val="32"/>
          <w:szCs w:val="32"/>
          <w:highlight w:val="none"/>
          <w:lang w:val="en-US" w:eastAsia="zh-CN"/>
        </w:rPr>
        <w:t>86.10</w:t>
      </w:r>
      <w:r>
        <w:rPr>
          <w:rFonts w:hint="eastAsia" w:ascii="Times New Roman" w:hAnsi="Times New Roman" w:eastAsia="仿宋_GB2312"/>
          <w:sz w:val="32"/>
          <w:szCs w:val="32"/>
          <w:highlight w:val="none"/>
        </w:rPr>
        <w:t>万元，支出决算为</w:t>
      </w:r>
      <w:r>
        <w:rPr>
          <w:rFonts w:hint="eastAsia" w:ascii="Times New Roman" w:hAnsi="Times New Roman" w:eastAsia="仿宋_GB2312"/>
          <w:sz w:val="32"/>
          <w:szCs w:val="32"/>
          <w:highlight w:val="none"/>
          <w:lang w:val="en-US" w:eastAsia="zh-CN"/>
        </w:rPr>
        <w:t>86.10</w:t>
      </w:r>
      <w:r>
        <w:rPr>
          <w:rFonts w:hint="eastAsia" w:ascii="Times New Roman" w:hAnsi="Times New Roman" w:eastAsia="仿宋_GB2312"/>
          <w:sz w:val="32"/>
          <w:szCs w:val="32"/>
          <w:highlight w:val="none"/>
        </w:rPr>
        <w:t>万元，完成年初预算的</w:t>
      </w:r>
      <w:r>
        <w:rPr>
          <w:rFonts w:hint="eastAsia" w:ascii="Times New Roman" w:hAnsi="Times New Roman" w:eastAsia="仿宋_GB2312"/>
          <w:sz w:val="32"/>
          <w:szCs w:val="32"/>
          <w:highlight w:val="none"/>
          <w:lang w:val="en-US" w:eastAsia="zh-CN"/>
        </w:rPr>
        <w:t>100</w:t>
      </w:r>
      <w:r>
        <w:rPr>
          <w:rFonts w:hint="eastAsia" w:ascii="Times New Roman" w:hAnsi="Times New Roman" w:eastAsia="仿宋_GB2312"/>
          <w:sz w:val="32"/>
          <w:szCs w:val="32"/>
          <w:highlight w:val="none"/>
        </w:rPr>
        <w:t>%</w:t>
      </w:r>
      <w:r>
        <w:rPr>
          <w:rFonts w:hint="eastAsia" w:ascii="Times New Roman" w:hAnsi="Times New Roman" w:eastAsia="仿宋_GB2312"/>
          <w:sz w:val="32"/>
          <w:szCs w:val="32"/>
          <w:highlight w:val="none"/>
          <w:lang w:eastAsia="zh-CN"/>
        </w:rPr>
        <w:t>，</w:t>
      </w:r>
      <w:r>
        <w:rPr>
          <w:rFonts w:hint="eastAsia" w:ascii="Times New Roman" w:hAnsi="Times New Roman" w:eastAsia="仿宋_GB2312"/>
          <w:sz w:val="32"/>
          <w:szCs w:val="32"/>
          <w:highlight w:val="none"/>
        </w:rPr>
        <w:t>决算数</w:t>
      </w:r>
      <w:r>
        <w:rPr>
          <w:rFonts w:hint="eastAsia" w:ascii="Times New Roman" w:hAnsi="Times New Roman" w:eastAsia="仿宋_GB2312"/>
          <w:sz w:val="32"/>
          <w:szCs w:val="32"/>
          <w:highlight w:val="none"/>
          <w:lang w:eastAsia="zh-CN"/>
        </w:rPr>
        <w:t>等于</w:t>
      </w:r>
      <w:r>
        <w:rPr>
          <w:rFonts w:hint="eastAsia" w:ascii="Times New Roman" w:hAnsi="Times New Roman" w:eastAsia="仿宋_GB2312"/>
          <w:sz w:val="32"/>
          <w:szCs w:val="32"/>
          <w:highlight w:val="none"/>
        </w:rPr>
        <w:t>年初预算数的主要原因是</w:t>
      </w:r>
      <w:r>
        <w:rPr>
          <w:rFonts w:hint="eastAsia" w:ascii="Times New Roman" w:hAnsi="Times New Roman" w:eastAsia="仿宋_GB2312"/>
          <w:sz w:val="32"/>
          <w:szCs w:val="32"/>
          <w:highlight w:val="none"/>
          <w:lang w:eastAsia="zh-CN"/>
        </w:rPr>
        <w:t>：</w:t>
      </w:r>
      <w:r>
        <w:rPr>
          <w:rFonts w:hint="eastAsia" w:ascii="仿宋_GB2312" w:hAnsi="仿宋_GB2312" w:eastAsia="仿宋_GB2312" w:cs="仿宋_GB2312"/>
          <w:b w:val="0"/>
          <w:bCs/>
          <w:color w:val="auto"/>
          <w:sz w:val="32"/>
          <w:szCs w:val="32"/>
          <w:lang w:eastAsia="zh-CN"/>
        </w:rPr>
        <w:t>我单位严格按预算执行决算</w:t>
      </w:r>
      <w:r>
        <w:rPr>
          <w:rFonts w:hint="eastAsia" w:ascii="Times New Roman" w:hAnsi="Times New Roman" w:eastAsia="仿宋_GB2312"/>
          <w:sz w:val="32"/>
          <w:szCs w:val="32"/>
          <w:highlight w:val="none"/>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12、</w:t>
      </w:r>
      <w:r>
        <w:rPr>
          <w:rFonts w:hint="eastAsia" w:ascii="Times New Roman" w:hAnsi="Times New Roman" w:eastAsia="仿宋_GB2312"/>
          <w:sz w:val="32"/>
          <w:szCs w:val="32"/>
          <w:highlight w:val="none"/>
          <w:lang w:eastAsia="zh-CN"/>
        </w:rPr>
        <w:t>住房保障支出</w:t>
      </w:r>
      <w:r>
        <w:rPr>
          <w:rFonts w:hint="eastAsia" w:ascii="Times New Roman" w:hAnsi="Times New Roman" w:eastAsia="仿宋_GB2312"/>
          <w:sz w:val="32"/>
          <w:szCs w:val="32"/>
          <w:highlight w:val="none"/>
        </w:rPr>
        <w:t>（类）</w:t>
      </w:r>
      <w:r>
        <w:rPr>
          <w:rFonts w:hint="eastAsia" w:ascii="Times New Roman" w:hAnsi="Times New Roman" w:eastAsia="仿宋_GB2312"/>
          <w:sz w:val="32"/>
          <w:szCs w:val="32"/>
          <w:highlight w:val="none"/>
          <w:lang w:eastAsia="zh-CN"/>
        </w:rPr>
        <w:t>住房改革支出</w:t>
      </w:r>
      <w:r>
        <w:rPr>
          <w:rFonts w:hint="eastAsia" w:ascii="Times New Roman" w:hAnsi="Times New Roman" w:eastAsia="仿宋_GB2312"/>
          <w:sz w:val="32"/>
          <w:szCs w:val="32"/>
          <w:highlight w:val="none"/>
        </w:rPr>
        <w:t>（款）</w:t>
      </w:r>
      <w:r>
        <w:rPr>
          <w:rFonts w:hint="eastAsia" w:ascii="Times New Roman" w:hAnsi="Times New Roman" w:eastAsia="仿宋_GB2312"/>
          <w:sz w:val="32"/>
          <w:szCs w:val="32"/>
          <w:highlight w:val="none"/>
          <w:lang w:eastAsia="zh-CN"/>
        </w:rPr>
        <w:t>住房公积金</w:t>
      </w:r>
      <w:r>
        <w:rPr>
          <w:rFonts w:hint="eastAsia" w:ascii="Times New Roman" w:hAnsi="Times New Roman" w:eastAsia="仿宋_GB2312"/>
          <w:sz w:val="32"/>
          <w:szCs w:val="32"/>
          <w:highlight w:val="none"/>
        </w:rPr>
        <w:t>（项）</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i/>
          <w:color w:val="FF0000"/>
          <w:kern w:val="0"/>
          <w:sz w:val="32"/>
          <w:szCs w:val="32"/>
          <w:lang w:val="en-US" w:eastAsia="zh-CN" w:bidi="ar-SA"/>
        </w:rPr>
      </w:pPr>
      <w:r>
        <w:rPr>
          <w:rFonts w:hint="eastAsia" w:ascii="Times New Roman" w:hAnsi="Times New Roman" w:eastAsia="仿宋_GB2312"/>
          <w:sz w:val="32"/>
          <w:szCs w:val="32"/>
          <w:highlight w:val="none"/>
        </w:rPr>
        <w:t>年初预算为</w:t>
      </w:r>
      <w:r>
        <w:rPr>
          <w:rFonts w:hint="eastAsia" w:ascii="Times New Roman" w:hAnsi="Times New Roman" w:eastAsia="仿宋_GB2312"/>
          <w:sz w:val="32"/>
          <w:szCs w:val="32"/>
          <w:highlight w:val="none"/>
          <w:lang w:val="en-US" w:eastAsia="zh-CN"/>
        </w:rPr>
        <w:t>107.73</w:t>
      </w:r>
      <w:r>
        <w:rPr>
          <w:rFonts w:hint="eastAsia" w:ascii="Times New Roman" w:hAnsi="Times New Roman" w:eastAsia="仿宋_GB2312"/>
          <w:sz w:val="32"/>
          <w:szCs w:val="32"/>
          <w:highlight w:val="none"/>
        </w:rPr>
        <w:t>万元，支出决算为</w:t>
      </w:r>
      <w:r>
        <w:rPr>
          <w:rFonts w:hint="eastAsia" w:ascii="Times New Roman" w:hAnsi="Times New Roman" w:eastAsia="仿宋_GB2312"/>
          <w:sz w:val="32"/>
          <w:szCs w:val="32"/>
          <w:highlight w:val="none"/>
          <w:lang w:val="en-US" w:eastAsia="zh-CN"/>
        </w:rPr>
        <w:t>102.49</w:t>
      </w:r>
      <w:r>
        <w:rPr>
          <w:rFonts w:hint="eastAsia" w:ascii="Times New Roman" w:hAnsi="Times New Roman" w:eastAsia="仿宋_GB2312"/>
          <w:sz w:val="32"/>
          <w:szCs w:val="32"/>
          <w:highlight w:val="none"/>
        </w:rPr>
        <w:t>万元，完成年初预算的</w:t>
      </w:r>
      <w:r>
        <w:rPr>
          <w:rFonts w:hint="eastAsia" w:ascii="Times New Roman" w:hAnsi="Times New Roman" w:eastAsia="仿宋_GB2312"/>
          <w:sz w:val="32"/>
          <w:szCs w:val="32"/>
          <w:highlight w:val="none"/>
          <w:lang w:val="en-US" w:eastAsia="zh-CN"/>
        </w:rPr>
        <w:t>95.14</w:t>
      </w:r>
      <w:r>
        <w:rPr>
          <w:rFonts w:hint="eastAsia" w:ascii="Times New Roman" w:hAnsi="Times New Roman" w:eastAsia="仿宋_GB2312"/>
          <w:sz w:val="32"/>
          <w:szCs w:val="32"/>
          <w:highlight w:val="none"/>
        </w:rPr>
        <w:t>%</w:t>
      </w:r>
      <w:r>
        <w:rPr>
          <w:rFonts w:hint="eastAsia" w:ascii="Times New Roman" w:hAnsi="Times New Roman" w:eastAsia="仿宋_GB2312"/>
          <w:sz w:val="32"/>
          <w:szCs w:val="32"/>
          <w:highlight w:val="none"/>
          <w:lang w:eastAsia="zh-CN"/>
        </w:rPr>
        <w:t>，</w:t>
      </w:r>
      <w:r>
        <w:rPr>
          <w:rFonts w:hint="eastAsia" w:ascii="Times New Roman" w:hAnsi="Times New Roman" w:eastAsia="仿宋_GB2312"/>
          <w:sz w:val="32"/>
          <w:szCs w:val="32"/>
          <w:highlight w:val="none"/>
        </w:rPr>
        <w:t>决算数</w:t>
      </w:r>
      <w:r>
        <w:rPr>
          <w:rFonts w:hint="eastAsia" w:ascii="Times New Roman" w:hAnsi="Times New Roman" w:eastAsia="仿宋_GB2312"/>
          <w:sz w:val="32"/>
          <w:szCs w:val="32"/>
          <w:highlight w:val="none"/>
          <w:lang w:eastAsia="zh-CN"/>
        </w:rPr>
        <w:t>小于</w:t>
      </w:r>
      <w:r>
        <w:rPr>
          <w:rFonts w:hint="eastAsia" w:ascii="Times New Roman" w:hAnsi="Times New Roman" w:eastAsia="仿宋_GB2312"/>
          <w:sz w:val="32"/>
          <w:szCs w:val="32"/>
          <w:highlight w:val="none"/>
        </w:rPr>
        <w:t>年初预算数的主要原因是</w:t>
      </w:r>
      <w:r>
        <w:rPr>
          <w:rFonts w:hint="eastAsia" w:ascii="Times New Roman" w:hAnsi="Times New Roman" w:eastAsia="仿宋_GB2312"/>
          <w:sz w:val="32"/>
          <w:szCs w:val="32"/>
          <w:highlight w:val="none"/>
          <w:lang w:eastAsia="zh-CN"/>
        </w:rPr>
        <w:t>：</w:t>
      </w:r>
      <w:r>
        <w:rPr>
          <w:rFonts w:hint="eastAsia" w:ascii="Times New Roman" w:hAnsi="Times New Roman" w:eastAsia="仿宋_GB2312"/>
          <w:sz w:val="32"/>
          <w:szCs w:val="32"/>
          <w:highlight w:val="none"/>
          <w:lang w:val="en-US" w:eastAsia="zh-CN"/>
        </w:rPr>
        <w:t>2023年度有多名人员退休</w:t>
      </w:r>
      <w:r>
        <w:rPr>
          <w:rFonts w:hint="eastAsia" w:ascii="Times New Roman" w:hAnsi="Times New Roman" w:eastAsia="仿宋_GB2312"/>
          <w:sz w:val="32"/>
          <w:szCs w:val="32"/>
          <w:highlight w:val="none"/>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rPr>
      </w:pPr>
      <w:r>
        <w:rPr>
          <w:rFonts w:hint="eastAsia" w:ascii="黑体" w:hAnsi="黑体" w:eastAsia="黑体" w:cs="黑体"/>
          <w:b w:val="0"/>
          <w:bCs/>
          <w:sz w:val="32"/>
          <w:szCs w:val="32"/>
        </w:rPr>
        <w:t>六、一般公共预算财政拨款基本支出决算情况说明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年度财政拨款基本支出</w:t>
      </w:r>
      <w:r>
        <w:rPr>
          <w:rFonts w:hint="eastAsia" w:ascii="仿宋_GB2312" w:hAnsi="仿宋_GB2312" w:eastAsia="仿宋_GB2312" w:cs="仿宋_GB2312"/>
          <w:sz w:val="32"/>
          <w:szCs w:val="32"/>
          <w:lang w:val="en-US" w:eastAsia="zh-CN"/>
        </w:rPr>
        <w:t>1718.9</w:t>
      </w:r>
      <w:r>
        <w:rPr>
          <w:rFonts w:hint="eastAsia" w:ascii="仿宋_GB2312" w:hAnsi="仿宋_GB2312" w:eastAsia="仿宋_GB2312" w:cs="仿宋_GB2312"/>
          <w:sz w:val="32"/>
          <w:szCs w:val="32"/>
        </w:rPr>
        <w:t>万元，其中：</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b/>
          <w:bCs/>
          <w:sz w:val="32"/>
          <w:szCs w:val="32"/>
        </w:rPr>
        <w:t>人员经费</w:t>
      </w:r>
      <w:r>
        <w:rPr>
          <w:rFonts w:hint="eastAsia" w:ascii="Times New Roman" w:hAnsi="Times New Roman" w:eastAsia="仿宋_GB2312"/>
          <w:sz w:val="32"/>
          <w:szCs w:val="32"/>
        </w:rPr>
        <w:t>1470.87万元，占基本支出的</w:t>
      </w:r>
      <w:r>
        <w:rPr>
          <w:rFonts w:hint="eastAsia" w:ascii="Times New Roman" w:hAnsi="Times New Roman" w:eastAsia="仿宋_GB2312"/>
          <w:sz w:val="32"/>
          <w:szCs w:val="32"/>
          <w:lang w:val="en-US" w:eastAsia="zh-CN"/>
        </w:rPr>
        <w:t>85.57</w:t>
      </w:r>
      <w:r>
        <w:rPr>
          <w:rFonts w:hint="eastAsia" w:ascii="Times New Roman" w:hAnsi="Times New Roman" w:eastAsia="仿宋_GB2312"/>
          <w:sz w:val="32"/>
          <w:szCs w:val="32"/>
        </w:rPr>
        <w:t>%,主要包括基本工资、津贴补贴、</w:t>
      </w:r>
      <w:r>
        <w:rPr>
          <w:rFonts w:hint="eastAsia" w:ascii="Times New Roman" w:hAnsi="Times New Roman" w:eastAsia="仿宋_GB2312"/>
          <w:sz w:val="32"/>
          <w:szCs w:val="32"/>
          <w:lang w:val="zh-CN"/>
        </w:rPr>
        <w:t>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r>
        <w:rPr>
          <w:rFonts w:hint="eastAsia" w:ascii="Times New Roman" w:hAnsi="Times New Roman" w:eastAsia="仿宋_GB2312"/>
          <w:sz w:val="32"/>
          <w:szCs w:val="32"/>
          <w:lang w:eastAsia="zh-CN"/>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b/>
          <w:bCs/>
          <w:sz w:val="32"/>
          <w:szCs w:val="32"/>
        </w:rPr>
        <w:t>公用经费</w:t>
      </w:r>
      <w:r>
        <w:rPr>
          <w:rFonts w:hint="eastAsia" w:ascii="Times New Roman" w:hAnsi="Times New Roman" w:eastAsia="仿宋_GB2312"/>
          <w:sz w:val="32"/>
          <w:szCs w:val="32"/>
        </w:rPr>
        <w:t>248.03万元，占基本支出的</w:t>
      </w:r>
      <w:r>
        <w:rPr>
          <w:rFonts w:hint="eastAsia" w:ascii="Times New Roman" w:hAnsi="Times New Roman" w:eastAsia="仿宋_GB2312"/>
          <w:sz w:val="32"/>
          <w:szCs w:val="32"/>
          <w:lang w:val="en-US" w:eastAsia="zh-CN"/>
        </w:rPr>
        <w:t>14.43</w:t>
      </w:r>
      <w:r>
        <w:rPr>
          <w:rFonts w:hint="eastAsia" w:ascii="Times New Roman" w:hAnsi="Times New Roman" w:eastAsia="仿宋_GB2312"/>
          <w:sz w:val="32"/>
          <w:szCs w:val="32"/>
        </w:rPr>
        <w:t>%，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公务用车购置、其他交通工具购置、文物和陈列品购置、无形资产购置、其他资本性支出、赠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lang w:eastAsia="zh-CN"/>
        </w:rPr>
        <w:t>七、</w:t>
      </w:r>
      <w:r>
        <w:rPr>
          <w:rFonts w:hint="eastAsia" w:ascii="黑体" w:hAnsi="黑体" w:eastAsia="黑体" w:cs="黑体"/>
          <w:b w:val="0"/>
          <w:bCs/>
          <w:sz w:val="32"/>
          <w:szCs w:val="32"/>
        </w:rPr>
        <w:t>政府性基金预算收入支出决算情况</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lang w:val="en-US" w:eastAsia="zh-CN"/>
        </w:rPr>
        <w:t>2023年度</w:t>
      </w:r>
      <w:r>
        <w:rPr>
          <w:rFonts w:hint="eastAsia" w:ascii="Times New Roman" w:hAnsi="Times New Roman" w:eastAsia="仿宋_GB2312"/>
          <w:sz w:val="32"/>
          <w:szCs w:val="32"/>
        </w:rPr>
        <w:t>本单位无政府性基金收支。202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年度政府性基金预算财政拨款收入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万元；年初结转和结余</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万元，其中基本支出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万元，项目支出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万元；年末结转和结余</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pPr>
        <w:pStyle w:val="2"/>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rPr>
        <w:t>本单位无国有资本经营预算财政拨款支出。202</w:t>
      </w:r>
      <w:r>
        <w:rPr>
          <w:rFonts w:hint="eastAsia" w:ascii="Times New Roman" w:hAnsi="Times New Roman" w:eastAsia="仿宋_GB2312"/>
          <w:sz w:val="32"/>
          <w:szCs w:val="32"/>
          <w:highlight w:val="none"/>
          <w:lang w:val="en-US" w:eastAsia="zh-CN"/>
        </w:rPr>
        <w:t>3</w:t>
      </w:r>
      <w:r>
        <w:rPr>
          <w:rFonts w:hint="eastAsia" w:ascii="Times New Roman" w:hAnsi="Times New Roman" w:eastAsia="仿宋_GB2312"/>
          <w:sz w:val="32"/>
          <w:szCs w:val="32"/>
          <w:highlight w:val="none"/>
        </w:rPr>
        <w:t>年度国有资本经营预算财政拨款</w:t>
      </w:r>
      <w:r>
        <w:rPr>
          <w:rFonts w:hint="eastAsia" w:ascii="Times New Roman" w:hAnsi="Times New Roman" w:eastAsia="仿宋_GB2312"/>
          <w:sz w:val="32"/>
          <w:szCs w:val="32"/>
          <w:highlight w:val="none"/>
          <w:lang w:eastAsia="zh-CN"/>
        </w:rPr>
        <w:t>收入</w:t>
      </w:r>
      <w:r>
        <w:rPr>
          <w:rFonts w:hint="eastAsia" w:ascii="Times New Roman" w:hAnsi="Times New Roman" w:eastAsia="仿宋_GB2312"/>
          <w:sz w:val="32"/>
          <w:szCs w:val="32"/>
          <w:highlight w:val="none"/>
          <w:lang w:val="en-US" w:eastAsia="zh-CN"/>
        </w:rPr>
        <w:t>0万元；年初结转和结余0万；</w:t>
      </w:r>
      <w:r>
        <w:rPr>
          <w:rFonts w:hint="eastAsia" w:ascii="Times New Roman" w:hAnsi="Times New Roman" w:eastAsia="仿宋_GB2312"/>
          <w:sz w:val="32"/>
          <w:szCs w:val="32"/>
          <w:highlight w:val="none"/>
          <w:lang w:eastAsia="zh-CN"/>
        </w:rPr>
        <w:t>支出</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w:t>
      </w:r>
      <w:r>
        <w:rPr>
          <w:rFonts w:hint="eastAsia" w:ascii="Times New Roman" w:hAnsi="Times New Roman" w:eastAsia="仿宋_GB2312"/>
          <w:sz w:val="32"/>
          <w:szCs w:val="32"/>
          <w:highlight w:val="none"/>
          <w:lang w:eastAsia="zh-CN"/>
        </w:rPr>
        <w:t>，</w:t>
      </w:r>
      <w:r>
        <w:rPr>
          <w:rFonts w:hint="eastAsia" w:ascii="Times New Roman" w:hAnsi="Times New Roman" w:eastAsia="仿宋_GB2312"/>
          <w:sz w:val="32"/>
          <w:szCs w:val="32"/>
          <w:highlight w:val="none"/>
        </w:rPr>
        <w:t>其中基本支出</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万元，项目支出</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w:t>
      </w:r>
      <w:r>
        <w:rPr>
          <w:rFonts w:hint="eastAsia" w:ascii="Times New Roman" w:hAnsi="Times New Roman" w:eastAsia="仿宋_GB2312"/>
          <w:sz w:val="32"/>
          <w:szCs w:val="32"/>
          <w:highlight w:val="none"/>
          <w:lang w:eastAsia="zh-CN"/>
        </w:rPr>
        <w:t>年末结转和结余</w:t>
      </w:r>
      <w:r>
        <w:rPr>
          <w:rFonts w:hint="eastAsia" w:ascii="Times New Roman" w:hAnsi="Times New Roman" w:eastAsia="仿宋_GB2312"/>
          <w:sz w:val="32"/>
          <w:szCs w:val="32"/>
          <w:highlight w:val="none"/>
          <w:lang w:val="en-US" w:eastAsia="zh-CN"/>
        </w:rPr>
        <w:t>0万元</w:t>
      </w:r>
      <w:r>
        <w:rPr>
          <w:rFonts w:hint="eastAsia" w:ascii="Times New Roman" w:hAnsi="Times New Roman" w:eastAsia="仿宋_GB2312"/>
          <w:sz w:val="32"/>
          <w:szCs w:val="32"/>
          <w:highlight w:val="none"/>
        </w:rPr>
        <w:t>。</w:t>
      </w:r>
    </w:p>
    <w:p>
      <w:pPr>
        <w:pStyle w:val="13"/>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九、财政拨款三公经费支出决算情况说明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“三公”经费财政拨款支出预算为</w:t>
      </w:r>
      <w:r>
        <w:rPr>
          <w:rFonts w:hint="eastAsia" w:ascii="Times New Roman" w:hAnsi="Times New Roman" w:eastAsia="仿宋_GB2312"/>
          <w:sz w:val="32"/>
          <w:szCs w:val="32"/>
          <w:lang w:val="en-US" w:eastAsia="zh-CN"/>
        </w:rPr>
        <w:t>53.50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48.00</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89.72</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决算数小于预算数的主要原因是</w:t>
      </w:r>
      <w:r>
        <w:rPr>
          <w:rFonts w:hint="eastAsia" w:ascii="Times New Roman" w:hAnsi="Times New Roman" w:eastAsia="仿宋_GB2312"/>
          <w:sz w:val="32"/>
          <w:szCs w:val="32"/>
          <w:lang w:eastAsia="zh-CN"/>
        </w:rPr>
        <w:t>我单位按有关政策厉行节约，严控控制“三公”经费支出，</w:t>
      </w:r>
      <w:r>
        <w:rPr>
          <w:rFonts w:hint="eastAsia" w:ascii="Times New Roman" w:hAnsi="Times New Roman" w:eastAsia="仿宋_GB2312"/>
          <w:sz w:val="32"/>
          <w:szCs w:val="32"/>
        </w:rPr>
        <w:t>与上年相比增加</w:t>
      </w:r>
      <w:r>
        <w:rPr>
          <w:rFonts w:hint="eastAsia" w:ascii="Times New Roman" w:hAnsi="Times New Roman" w:eastAsia="仿宋_GB2312"/>
          <w:sz w:val="32"/>
          <w:szCs w:val="32"/>
          <w:lang w:val="en-US" w:eastAsia="zh-CN"/>
        </w:rPr>
        <w:t>24.24</w:t>
      </w:r>
      <w:r>
        <w:rPr>
          <w:rFonts w:hint="eastAsia" w:ascii="Times New Roman" w:hAnsi="Times New Roman" w:eastAsia="仿宋_GB2312"/>
          <w:sz w:val="32"/>
          <w:szCs w:val="32"/>
        </w:rPr>
        <w:t>万元，增长</w:t>
      </w:r>
      <w:r>
        <w:rPr>
          <w:rFonts w:hint="eastAsia" w:ascii="Times New Roman" w:hAnsi="Times New Roman" w:eastAsia="仿宋_GB2312"/>
          <w:sz w:val="32"/>
          <w:szCs w:val="32"/>
          <w:lang w:val="en-US" w:eastAsia="zh-CN"/>
        </w:rPr>
        <w:t>102.02</w:t>
      </w:r>
      <w:r>
        <w:rPr>
          <w:rFonts w:hint="eastAsia" w:ascii="Times New Roman" w:hAnsi="Times New Roman" w:eastAsia="仿宋_GB2312"/>
          <w:sz w:val="32"/>
          <w:szCs w:val="32"/>
        </w:rPr>
        <w:t>%,增长的主要原因是</w:t>
      </w:r>
      <w:r>
        <w:rPr>
          <w:rFonts w:hint="eastAsia" w:ascii="Times New Roman" w:hAnsi="Times New Roman" w:eastAsia="仿宋_GB2312"/>
          <w:sz w:val="32"/>
          <w:szCs w:val="32"/>
          <w:lang w:eastAsia="zh-CN"/>
        </w:rPr>
        <w:t>单位因执法需要购置了</w:t>
      </w:r>
      <w:r>
        <w:rPr>
          <w:rFonts w:hint="eastAsia" w:ascii="Times New Roman" w:hAnsi="Times New Roman" w:eastAsia="仿宋_GB2312"/>
          <w:sz w:val="32"/>
          <w:szCs w:val="32"/>
          <w:lang w:val="en-US" w:eastAsia="zh-CN"/>
        </w:rPr>
        <w:t>2台新能源公务车</w:t>
      </w:r>
      <w:r>
        <w:rPr>
          <w:rFonts w:hint="eastAsia" w:ascii="Times New Roman" w:hAnsi="Times New Roman" w:eastAsia="仿宋_GB2312"/>
          <w:sz w:val="32"/>
          <w:szCs w:val="32"/>
        </w:rPr>
        <w:t>。其中：</w:t>
      </w:r>
    </w:p>
    <w:p>
      <w:pPr>
        <w:pStyle w:val="13"/>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ascii="Times New Roman" w:hAnsi="Times New Roman" w:eastAsia="仿宋_GB2312"/>
          <w:color w:val="auto"/>
          <w:sz w:val="32"/>
          <w:szCs w:val="32"/>
        </w:rPr>
      </w:pPr>
      <w:r>
        <w:rPr>
          <w:rFonts w:hint="eastAsia" w:ascii="Times New Roman" w:hAnsi="Times New Roman" w:eastAsia="仿宋_GB2312"/>
          <w:sz w:val="32"/>
          <w:szCs w:val="32"/>
        </w:rPr>
        <w:t>因公出国（境）费支出预算为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万元，由于决算数为0，无法计算完成百分比。</w:t>
      </w:r>
      <w:r>
        <w:rPr>
          <w:rFonts w:hint="eastAsia" w:ascii="Times New Roman" w:hAnsi="Times New Roman" w:eastAsia="仿宋_GB2312"/>
          <w:sz w:val="32"/>
          <w:szCs w:val="32"/>
          <w:lang w:eastAsia="zh-CN"/>
        </w:rPr>
        <w:t>决</w:t>
      </w:r>
      <w:r>
        <w:rPr>
          <w:rFonts w:hint="eastAsia" w:ascii="仿宋_GB2312" w:hAnsi="仿宋_GB2312" w:eastAsia="仿宋_GB2312" w:cs="仿宋_GB2312"/>
          <w:b w:val="0"/>
          <w:bCs/>
          <w:color w:val="auto"/>
          <w:sz w:val="32"/>
          <w:szCs w:val="32"/>
          <w:lang w:eastAsia="zh-CN"/>
        </w:rPr>
        <w:t>算数等于预算数，主要原因是我单位严格按预算执行决算；与上年一致，无增减变动，主要原因是未安排因公出国（境）活动。</w:t>
      </w:r>
    </w:p>
    <w:p>
      <w:pPr>
        <w:pStyle w:val="13"/>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公务接待费支出预算为</w:t>
      </w:r>
      <w:r>
        <w:rPr>
          <w:rFonts w:hint="eastAsia" w:ascii="Times New Roman" w:hAnsi="Times New Roman" w:eastAsia="仿宋_GB2312"/>
          <w:sz w:val="32"/>
          <w:szCs w:val="32"/>
          <w:lang w:val="en-US" w:eastAsia="zh-CN"/>
        </w:rPr>
        <w:t>3.50</w:t>
      </w:r>
      <w:r>
        <w:rPr>
          <w:rFonts w:hint="eastAsia" w:ascii="Times New Roman" w:hAnsi="Times New Roman" w:eastAsia="仿宋_GB2312"/>
          <w:sz w:val="32"/>
          <w:szCs w:val="32"/>
          <w:lang w:eastAsia="zh-CN"/>
        </w:rPr>
        <w:t>万元，支出决算为</w:t>
      </w:r>
      <w:r>
        <w:rPr>
          <w:rFonts w:hint="eastAsia" w:ascii="Times New Roman" w:hAnsi="Times New Roman" w:eastAsia="仿宋_GB2312"/>
          <w:sz w:val="32"/>
          <w:szCs w:val="32"/>
          <w:lang w:val="en-US" w:eastAsia="zh-CN"/>
        </w:rPr>
        <w:t>2.94</w:t>
      </w:r>
      <w:r>
        <w:rPr>
          <w:rFonts w:hint="eastAsia" w:ascii="Times New Roman" w:hAnsi="Times New Roman" w:eastAsia="仿宋_GB2312"/>
          <w:sz w:val="32"/>
          <w:szCs w:val="32"/>
          <w:lang w:eastAsia="zh-CN"/>
        </w:rPr>
        <w:t>万元，完成预算的</w:t>
      </w:r>
      <w:r>
        <w:rPr>
          <w:rFonts w:hint="eastAsia" w:ascii="Times New Roman" w:hAnsi="Times New Roman" w:eastAsia="仿宋_GB2312"/>
          <w:sz w:val="32"/>
          <w:szCs w:val="32"/>
          <w:lang w:val="en-US" w:eastAsia="zh-CN"/>
        </w:rPr>
        <w:t>84.00</w:t>
      </w:r>
      <w:r>
        <w:rPr>
          <w:rFonts w:hint="eastAsia" w:ascii="Times New Roman" w:hAnsi="Times New Roman" w:eastAsia="仿宋_GB2312"/>
          <w:sz w:val="32"/>
          <w:szCs w:val="32"/>
          <w:lang w:eastAsia="zh-CN"/>
        </w:rPr>
        <w:t>%。决算数小于预算数的主要原因是我单位按有关政策厉行节约，严控公务接待支出；与上年相比减少</w:t>
      </w:r>
      <w:r>
        <w:rPr>
          <w:rFonts w:hint="eastAsia" w:ascii="Times New Roman" w:hAnsi="Times New Roman" w:eastAsia="仿宋_GB2312"/>
          <w:sz w:val="32"/>
          <w:szCs w:val="32"/>
          <w:lang w:val="en-US" w:eastAsia="zh-CN"/>
        </w:rPr>
        <w:t>0.71</w:t>
      </w:r>
      <w:r>
        <w:rPr>
          <w:rFonts w:hint="eastAsia" w:ascii="Times New Roman" w:hAnsi="Times New Roman" w:eastAsia="仿宋_GB2312"/>
          <w:sz w:val="32"/>
          <w:szCs w:val="32"/>
          <w:lang w:eastAsia="zh-CN"/>
        </w:rPr>
        <w:t>万元，减少</w:t>
      </w:r>
      <w:r>
        <w:rPr>
          <w:rFonts w:hint="eastAsia" w:ascii="Times New Roman" w:hAnsi="Times New Roman" w:eastAsia="仿宋_GB2312"/>
          <w:sz w:val="32"/>
          <w:szCs w:val="32"/>
          <w:lang w:val="en-US" w:eastAsia="zh-CN"/>
        </w:rPr>
        <w:t>19.45</w:t>
      </w:r>
      <w:r>
        <w:rPr>
          <w:rFonts w:hint="eastAsia" w:ascii="Times New Roman" w:hAnsi="Times New Roman" w:eastAsia="仿宋_GB2312"/>
          <w:sz w:val="32"/>
          <w:szCs w:val="32"/>
          <w:lang w:eastAsia="zh-CN"/>
        </w:rPr>
        <w:t>%，减少的主要原因是我单位按有关政策厉行节约，严控公务接待支出。</w:t>
      </w:r>
    </w:p>
    <w:p>
      <w:pPr>
        <w:pStyle w:val="13"/>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公务用车购置费支出预算为</w:t>
      </w:r>
      <w:r>
        <w:rPr>
          <w:rFonts w:hint="eastAsia" w:ascii="Times New Roman" w:hAnsi="Times New Roman" w:eastAsia="仿宋_GB2312"/>
          <w:sz w:val="32"/>
          <w:szCs w:val="32"/>
          <w:lang w:val="en-US" w:eastAsia="zh-CN"/>
        </w:rPr>
        <w:t>30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29.82</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完成预算的</w:t>
      </w:r>
      <w:r>
        <w:rPr>
          <w:rFonts w:hint="eastAsia" w:ascii="Times New Roman" w:hAnsi="Times New Roman" w:eastAsia="仿宋_GB2312"/>
          <w:sz w:val="32"/>
          <w:szCs w:val="32"/>
          <w:lang w:val="en-US" w:eastAsia="zh-CN"/>
        </w:rPr>
        <w:t>99.40</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决算数小于预算数的主要原因是我单位按有关政策严控采购程序，严控采购</w:t>
      </w:r>
      <w:r>
        <w:rPr>
          <w:rFonts w:hint="eastAsia" w:ascii="Times New Roman" w:hAnsi="Times New Roman" w:eastAsia="仿宋_GB2312"/>
          <w:sz w:val="32"/>
          <w:szCs w:val="32"/>
          <w:lang w:val="en-US" w:eastAsia="zh-CN"/>
        </w:rPr>
        <w:t>标准支出</w:t>
      </w:r>
      <w:r>
        <w:rPr>
          <w:rFonts w:hint="eastAsia" w:ascii="Times New Roman" w:hAnsi="Times New Roman" w:eastAsia="仿宋_GB2312"/>
          <w:sz w:val="32"/>
          <w:szCs w:val="32"/>
          <w:lang w:eastAsia="zh-CN"/>
        </w:rPr>
        <w:t>；与上年相比增加</w:t>
      </w:r>
      <w:r>
        <w:rPr>
          <w:rFonts w:hint="eastAsia" w:ascii="Times New Roman" w:hAnsi="Times New Roman" w:eastAsia="仿宋_GB2312"/>
          <w:sz w:val="32"/>
          <w:szCs w:val="32"/>
          <w:lang w:val="en-US" w:eastAsia="zh-CN"/>
        </w:rPr>
        <w:t>27.7</w:t>
      </w:r>
      <w:r>
        <w:rPr>
          <w:rFonts w:hint="eastAsia" w:ascii="Times New Roman" w:hAnsi="Times New Roman" w:eastAsia="仿宋_GB2312"/>
          <w:sz w:val="32"/>
          <w:szCs w:val="32"/>
          <w:lang w:eastAsia="zh-CN"/>
        </w:rPr>
        <w:t>万元，增加的主要原因是我单位因执法需要购置两台公务车。</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公务用车运行维护费支出预算为</w:t>
      </w:r>
      <w:r>
        <w:rPr>
          <w:rFonts w:hint="eastAsia" w:ascii="Times New Roman" w:hAnsi="Times New Roman" w:eastAsia="仿宋_GB2312"/>
          <w:sz w:val="32"/>
          <w:szCs w:val="32"/>
          <w:lang w:val="en-US" w:eastAsia="zh-CN"/>
        </w:rPr>
        <w:t>20.00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15.24</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76.20</w:t>
      </w:r>
      <w:r>
        <w:rPr>
          <w:rFonts w:hint="eastAsia" w:ascii="Times New Roman" w:hAnsi="Times New Roman" w:eastAsia="仿宋_GB2312"/>
          <w:sz w:val="32"/>
          <w:szCs w:val="32"/>
        </w:rPr>
        <w:t>%</w:t>
      </w:r>
      <w:r>
        <w:rPr>
          <w:rFonts w:hint="eastAsia" w:ascii="Times New Roman" w:hAnsi="Times New Roman" w:eastAsia="仿宋_GB2312"/>
          <w:color w:val="auto"/>
          <w:sz w:val="32"/>
          <w:szCs w:val="32"/>
        </w:rPr>
        <w:t>。</w:t>
      </w:r>
      <w:r>
        <w:rPr>
          <w:rFonts w:hint="eastAsia" w:ascii="仿宋_GB2312" w:hAnsi="仿宋_GB2312" w:eastAsia="仿宋_GB2312" w:cs="仿宋_GB2312"/>
          <w:b w:val="0"/>
          <w:bCs/>
          <w:color w:val="auto"/>
          <w:sz w:val="32"/>
          <w:szCs w:val="32"/>
          <w:lang w:eastAsia="zh-CN"/>
        </w:rPr>
        <w:t>决算数小于预算数的主要原因是</w:t>
      </w:r>
      <w:r>
        <w:rPr>
          <w:rFonts w:hint="eastAsia" w:ascii="Times New Roman" w:hAnsi="Times New Roman" w:eastAsia="仿宋_GB2312"/>
          <w:sz w:val="32"/>
          <w:szCs w:val="32"/>
          <w:lang w:eastAsia="zh-CN"/>
        </w:rPr>
        <w:t>我单位按有关政策厉行节约，严控</w:t>
      </w:r>
      <w:r>
        <w:rPr>
          <w:rFonts w:hint="eastAsia" w:ascii="Times New Roman" w:hAnsi="Times New Roman" w:eastAsia="仿宋_GB2312"/>
          <w:sz w:val="32"/>
          <w:szCs w:val="32"/>
        </w:rPr>
        <w:t>公务用车运行维护</w:t>
      </w:r>
      <w:r>
        <w:rPr>
          <w:rFonts w:hint="eastAsia" w:ascii="Times New Roman" w:hAnsi="Times New Roman" w:eastAsia="仿宋_GB2312"/>
          <w:sz w:val="32"/>
          <w:szCs w:val="32"/>
          <w:lang w:eastAsia="zh-CN"/>
        </w:rPr>
        <w:t>支出</w:t>
      </w:r>
      <w:r>
        <w:rPr>
          <w:rFonts w:hint="eastAsia" w:ascii="仿宋_GB2312" w:hAnsi="仿宋_GB2312" w:eastAsia="仿宋_GB2312" w:cs="仿宋_GB2312"/>
          <w:b w:val="0"/>
          <w:bCs/>
          <w:color w:val="auto"/>
          <w:sz w:val="32"/>
          <w:szCs w:val="32"/>
          <w:lang w:eastAsia="zh-CN"/>
        </w:rPr>
        <w:t>；</w:t>
      </w:r>
      <w:r>
        <w:rPr>
          <w:rFonts w:hint="eastAsia" w:ascii="Times New Roman" w:hAnsi="Times New Roman" w:eastAsia="仿宋_GB2312"/>
          <w:color w:val="auto"/>
          <w:sz w:val="32"/>
          <w:szCs w:val="32"/>
          <w:lang w:eastAsia="zh-CN"/>
        </w:rPr>
        <w:t>与上年相比减少</w:t>
      </w:r>
      <w:r>
        <w:rPr>
          <w:rFonts w:hint="eastAsia" w:ascii="Times New Roman" w:hAnsi="Times New Roman" w:eastAsia="仿宋_GB2312"/>
          <w:color w:val="auto"/>
          <w:sz w:val="32"/>
          <w:szCs w:val="32"/>
          <w:lang w:val="en-US" w:eastAsia="zh-CN"/>
        </w:rPr>
        <w:t>2.75</w:t>
      </w:r>
      <w:r>
        <w:rPr>
          <w:rFonts w:hint="eastAsia" w:ascii="Times New Roman" w:hAnsi="Times New Roman" w:eastAsia="仿宋_GB2312"/>
          <w:sz w:val="32"/>
          <w:szCs w:val="32"/>
          <w:lang w:val="en-US" w:eastAsia="zh-CN"/>
        </w:rPr>
        <w:t>万元，减少15.29%，</w:t>
      </w:r>
      <w:r>
        <w:rPr>
          <w:rFonts w:hint="eastAsia" w:ascii="Times New Roman" w:hAnsi="Times New Roman" w:eastAsia="仿宋_GB2312"/>
          <w:sz w:val="32"/>
          <w:szCs w:val="32"/>
          <w:highlight w:val="none"/>
          <w:lang w:val="en-US" w:eastAsia="zh-CN"/>
        </w:rPr>
        <w:t>减少的主要原因是</w:t>
      </w:r>
      <w:r>
        <w:rPr>
          <w:rFonts w:hint="eastAsia" w:ascii="Times New Roman" w:hAnsi="Times New Roman" w:eastAsia="仿宋_GB2312"/>
          <w:sz w:val="32"/>
          <w:szCs w:val="32"/>
          <w:lang w:eastAsia="zh-CN"/>
        </w:rPr>
        <w:t>我单位按有关政策厉行节约，严控公务车运行维护支出。</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年度“三公”经费财政拨款支出决算中，公务接待费支出决算</w:t>
      </w:r>
      <w:r>
        <w:rPr>
          <w:rFonts w:hint="eastAsia" w:ascii="Times New Roman" w:hAnsi="Times New Roman" w:eastAsia="仿宋_GB2312"/>
          <w:sz w:val="32"/>
          <w:szCs w:val="32"/>
          <w:lang w:val="en-US" w:eastAsia="zh-CN"/>
        </w:rPr>
        <w:t>2.94</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6.13</w:t>
      </w:r>
      <w:r>
        <w:rPr>
          <w:rFonts w:hint="eastAsia" w:ascii="Times New Roman" w:hAnsi="Times New Roman" w:eastAsia="仿宋_GB2312"/>
          <w:sz w:val="32"/>
          <w:szCs w:val="32"/>
        </w:rPr>
        <w:t>%,因公出国（境）费支出决算</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w:t>
      </w:r>
      <w:r>
        <w:rPr>
          <w:rFonts w:hint="eastAsia" w:ascii="Times New Roman" w:hAnsi="Times New Roman" w:eastAsia="仿宋_GB2312"/>
          <w:sz w:val="32"/>
          <w:szCs w:val="32"/>
          <w:highlight w:val="none"/>
        </w:rPr>
        <w:t>元，</w:t>
      </w:r>
      <w:r>
        <w:rPr>
          <w:rFonts w:hint="eastAsia" w:ascii="Times New Roman" w:hAnsi="Times New Roman" w:eastAsia="仿宋_GB2312"/>
          <w:sz w:val="32"/>
          <w:szCs w:val="32"/>
          <w:highlight w:val="none"/>
          <w:lang w:eastAsia="zh-CN"/>
        </w:rPr>
        <w:t>占</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lang w:eastAsia="zh-CN"/>
        </w:rPr>
        <w:t>，</w:t>
      </w:r>
      <w:r>
        <w:rPr>
          <w:rFonts w:hint="eastAsia" w:ascii="Times New Roman" w:hAnsi="Times New Roman" w:eastAsia="仿宋_GB2312"/>
          <w:sz w:val="32"/>
          <w:szCs w:val="32"/>
          <w:highlight w:val="none"/>
        </w:rPr>
        <w:t>公</w:t>
      </w:r>
      <w:r>
        <w:rPr>
          <w:rFonts w:hint="eastAsia" w:ascii="Times New Roman" w:hAnsi="Times New Roman" w:eastAsia="仿宋_GB2312"/>
          <w:sz w:val="32"/>
          <w:szCs w:val="32"/>
        </w:rPr>
        <w:t>务用车购置费及运行维护费支出决算</w:t>
      </w:r>
      <w:r>
        <w:rPr>
          <w:rFonts w:hint="eastAsia" w:ascii="Times New Roman" w:hAnsi="Times New Roman" w:eastAsia="仿宋_GB2312"/>
          <w:sz w:val="32"/>
          <w:szCs w:val="32"/>
          <w:lang w:val="en-US" w:eastAsia="zh-CN"/>
        </w:rPr>
        <w:t>45.06</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93.87</w:t>
      </w:r>
      <w:r>
        <w:rPr>
          <w:rFonts w:hint="eastAsia" w:ascii="Times New Roman" w:hAnsi="Times New Roman" w:eastAsia="仿宋_GB2312"/>
          <w:sz w:val="32"/>
          <w:szCs w:val="32"/>
        </w:rPr>
        <w:t>%。其中：</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仿宋_GB2312" w:cs="楷体"/>
          <w:b/>
          <w:bCs/>
          <w:i/>
          <w:color w:val="auto"/>
          <w:sz w:val="32"/>
          <w:szCs w:val="32"/>
          <w:highlight w:val="none"/>
          <w:lang w:eastAsia="zh-CN"/>
        </w:rPr>
      </w:pP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因公出国（境）费支出决算为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万元，全年安排因公出国（境）团组</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个，累计</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人</w:t>
      </w:r>
      <w:r>
        <w:rPr>
          <w:rFonts w:hint="eastAsia" w:ascii="Times New Roman" w:hAnsi="Times New Roman" w:eastAsia="仿宋_GB2312"/>
          <w:sz w:val="32"/>
          <w:szCs w:val="32"/>
          <w:highlight w:val="none"/>
        </w:rPr>
        <w:t>次</w:t>
      </w:r>
      <w:r>
        <w:rPr>
          <w:rFonts w:hint="eastAsia" w:ascii="Times New Roman" w:hAnsi="Times New Roman" w:eastAsia="仿宋_GB2312"/>
          <w:sz w:val="32"/>
          <w:szCs w:val="32"/>
          <w:highlight w:val="none"/>
          <w:lang w:eastAsia="zh-CN"/>
        </w:rPr>
        <w:t>，我单位</w:t>
      </w:r>
      <w:r>
        <w:rPr>
          <w:rFonts w:hint="eastAsia" w:ascii="Times New Roman" w:hAnsi="Times New Roman" w:eastAsia="仿宋_GB2312"/>
          <w:sz w:val="32"/>
          <w:szCs w:val="32"/>
          <w:highlight w:val="none"/>
          <w:lang w:val="en-US" w:eastAsia="zh-CN"/>
        </w:rPr>
        <w:t>2023年度无因公出国（境）费支出</w:t>
      </w:r>
      <w:r>
        <w:rPr>
          <w:rFonts w:hint="eastAsia" w:ascii="Times New Roman" w:hAnsi="Times New Roman" w:eastAsia="仿宋_GB2312"/>
          <w:sz w:val="32"/>
          <w:szCs w:val="32"/>
          <w:highlight w:val="none"/>
          <w:lang w:eastAsia="zh-CN"/>
        </w:rPr>
        <w:t>。</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2、公务接待费支出决算为2.94万元，全年共接待</w:t>
      </w:r>
      <w:r>
        <w:rPr>
          <w:rFonts w:hint="eastAsia" w:ascii="Times New Roman" w:hAnsi="Times New Roman" w:eastAsia="仿宋_GB2312"/>
          <w:sz w:val="32"/>
          <w:szCs w:val="32"/>
          <w:highlight w:val="none"/>
          <w:lang w:val="en-US" w:eastAsia="zh-CN"/>
        </w:rPr>
        <w:t>来访团组32个</w:t>
      </w:r>
      <w:r>
        <w:rPr>
          <w:rFonts w:hint="eastAsia" w:ascii="Times New Roman" w:hAnsi="Times New Roman" w:eastAsia="仿宋_GB2312"/>
          <w:sz w:val="32"/>
          <w:szCs w:val="32"/>
          <w:lang w:val="en-US" w:eastAsia="zh-CN"/>
        </w:rPr>
        <w:t>、来宾310人次，主要是执法办案发生的接待支出。</w:t>
      </w:r>
    </w:p>
    <w:p>
      <w:pPr>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rPr>
        <w:t>3、公务用车购置费及运行维护费支出决算为</w:t>
      </w:r>
      <w:r>
        <w:rPr>
          <w:rFonts w:hint="eastAsia" w:ascii="Times New Roman" w:hAnsi="Times New Roman" w:eastAsia="仿宋_GB2312"/>
          <w:sz w:val="32"/>
          <w:szCs w:val="32"/>
          <w:highlight w:val="none"/>
          <w:lang w:val="en-US" w:eastAsia="zh-CN"/>
        </w:rPr>
        <w:t>45.06</w:t>
      </w:r>
      <w:r>
        <w:rPr>
          <w:rFonts w:hint="eastAsia" w:ascii="Times New Roman" w:hAnsi="Times New Roman" w:eastAsia="仿宋_GB2312"/>
          <w:sz w:val="32"/>
          <w:szCs w:val="32"/>
          <w:highlight w:val="none"/>
        </w:rPr>
        <w:t>万元，其中：公务用车购置费</w:t>
      </w:r>
      <w:r>
        <w:rPr>
          <w:rFonts w:hint="eastAsia" w:ascii="Times New Roman" w:hAnsi="Times New Roman" w:eastAsia="仿宋_GB2312"/>
          <w:sz w:val="32"/>
          <w:szCs w:val="32"/>
          <w:highlight w:val="none"/>
          <w:lang w:val="en-US" w:eastAsia="zh-CN"/>
        </w:rPr>
        <w:t>29.82</w:t>
      </w:r>
      <w:r>
        <w:rPr>
          <w:rFonts w:hint="eastAsia" w:ascii="Times New Roman" w:hAnsi="Times New Roman" w:eastAsia="仿宋_GB2312"/>
          <w:sz w:val="32"/>
          <w:szCs w:val="32"/>
          <w:highlight w:val="none"/>
        </w:rPr>
        <w:t>万元，单位本级更新公务用车</w:t>
      </w:r>
      <w:r>
        <w:rPr>
          <w:rFonts w:hint="eastAsia" w:ascii="Times New Roman" w:hAnsi="Times New Roman" w:eastAsia="仿宋_GB2312"/>
          <w:sz w:val="32"/>
          <w:szCs w:val="32"/>
          <w:highlight w:val="none"/>
          <w:lang w:val="en-US" w:eastAsia="zh-CN"/>
        </w:rPr>
        <w:t>2</w:t>
      </w:r>
      <w:r>
        <w:rPr>
          <w:rFonts w:hint="eastAsia" w:ascii="Times New Roman" w:hAnsi="Times New Roman" w:eastAsia="仿宋_GB2312"/>
          <w:sz w:val="32"/>
          <w:szCs w:val="32"/>
          <w:highlight w:val="none"/>
        </w:rPr>
        <w:t>辆</w:t>
      </w:r>
      <w:r>
        <w:rPr>
          <w:rFonts w:hint="eastAsia" w:ascii="Times New Roman" w:hAnsi="Times New Roman" w:eastAsia="仿宋_GB2312"/>
          <w:color w:val="000000"/>
          <w:sz w:val="32"/>
          <w:szCs w:val="32"/>
          <w:highlight w:val="none"/>
        </w:rPr>
        <w:t>。</w:t>
      </w:r>
      <w:r>
        <w:rPr>
          <w:rFonts w:hint="eastAsia" w:ascii="Times New Roman" w:hAnsi="Times New Roman" w:eastAsia="仿宋_GB2312"/>
          <w:sz w:val="32"/>
          <w:szCs w:val="32"/>
          <w:highlight w:val="none"/>
        </w:rPr>
        <w:t>公务用车运行维护费</w:t>
      </w:r>
      <w:r>
        <w:rPr>
          <w:rFonts w:hint="eastAsia" w:ascii="Times New Roman" w:hAnsi="Times New Roman" w:eastAsia="仿宋_GB2312"/>
          <w:sz w:val="32"/>
          <w:szCs w:val="32"/>
          <w:highlight w:val="none"/>
          <w:lang w:val="en-US" w:eastAsia="zh-CN"/>
        </w:rPr>
        <w:t>15.24</w:t>
      </w:r>
      <w:r>
        <w:rPr>
          <w:rFonts w:hint="eastAsia" w:ascii="Times New Roman" w:hAnsi="Times New Roman" w:eastAsia="仿宋_GB2312"/>
          <w:sz w:val="32"/>
          <w:szCs w:val="32"/>
          <w:highlight w:val="none"/>
        </w:rPr>
        <w:t>万元，主要是公车加油维修保险支出，截止202</w:t>
      </w:r>
      <w:r>
        <w:rPr>
          <w:rFonts w:hint="eastAsia" w:ascii="Times New Roman" w:hAnsi="Times New Roman" w:eastAsia="仿宋_GB2312"/>
          <w:sz w:val="32"/>
          <w:szCs w:val="32"/>
          <w:highlight w:val="none"/>
          <w:lang w:val="en-US" w:eastAsia="zh-CN"/>
        </w:rPr>
        <w:t>3</w:t>
      </w:r>
      <w:r>
        <w:rPr>
          <w:rFonts w:hint="eastAsia" w:ascii="Times New Roman" w:hAnsi="Times New Roman" w:eastAsia="仿宋_GB2312"/>
          <w:sz w:val="32"/>
          <w:szCs w:val="32"/>
          <w:highlight w:val="none"/>
        </w:rPr>
        <w:t>年12月31日，我单位开支财政拨款的公务用车保有量为</w:t>
      </w:r>
      <w:r>
        <w:rPr>
          <w:rFonts w:hint="eastAsia" w:ascii="Times New Roman" w:hAnsi="Times New Roman" w:eastAsia="仿宋_GB2312"/>
          <w:sz w:val="32"/>
          <w:szCs w:val="32"/>
          <w:highlight w:val="none"/>
          <w:lang w:val="en-US" w:eastAsia="zh-CN"/>
        </w:rPr>
        <w:t>10</w:t>
      </w:r>
      <w:r>
        <w:rPr>
          <w:rFonts w:hint="eastAsia" w:ascii="Times New Roman" w:hAnsi="Times New Roman" w:eastAsia="仿宋_GB2312"/>
          <w:sz w:val="32"/>
          <w:szCs w:val="32"/>
          <w:highlight w:val="none"/>
        </w:rPr>
        <w:t>辆。</w:t>
      </w:r>
    </w:p>
    <w:p>
      <w:pPr>
        <w:pStyle w:val="13"/>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lang w:eastAsia="zh-CN"/>
        </w:rPr>
        <w:t>十、</w:t>
      </w:r>
      <w:r>
        <w:rPr>
          <w:rFonts w:hint="eastAsia" w:ascii="黑体" w:hAnsi="黑体" w:eastAsia="黑体" w:cs="黑体"/>
          <w:b w:val="0"/>
          <w:bCs/>
          <w:sz w:val="32"/>
          <w:szCs w:val="32"/>
          <w:highlight w:val="none"/>
        </w:rPr>
        <w:t>关于机关运行经费支出说明</w:t>
      </w:r>
    </w:p>
    <w:p>
      <w:pPr>
        <w:pStyle w:val="13"/>
        <w:ind w:firstLine="640" w:firstLineChars="200"/>
        <w:rPr>
          <w:rFonts w:hint="eastAsia" w:ascii="Times New Roman" w:hAnsi="Times New Roman" w:eastAsia="仿宋_GB2312" w:cstheme="minorBidi"/>
          <w:color w:val="auto"/>
          <w:kern w:val="2"/>
          <w:sz w:val="32"/>
          <w:szCs w:val="32"/>
          <w:highlight w:val="none"/>
          <w:lang w:val="en-US" w:eastAsia="zh-CN" w:bidi="ar-SA"/>
        </w:rPr>
      </w:pPr>
      <w:r>
        <w:rPr>
          <w:rFonts w:hint="eastAsia" w:ascii="Times New Roman" w:hAnsi="Times New Roman" w:eastAsia="仿宋_GB2312"/>
          <w:sz w:val="32"/>
          <w:szCs w:val="32"/>
        </w:rPr>
        <w:t>本部门202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年度机关运行经费支出</w:t>
      </w:r>
      <w:r>
        <w:rPr>
          <w:rFonts w:hint="eastAsia" w:ascii="Times New Roman" w:hAnsi="Times New Roman" w:eastAsia="仿宋_GB2312"/>
          <w:sz w:val="32"/>
          <w:szCs w:val="32"/>
          <w:lang w:val="en-US" w:eastAsia="zh-CN"/>
        </w:rPr>
        <w:t>248.03</w:t>
      </w:r>
      <w:r>
        <w:rPr>
          <w:rFonts w:hint="eastAsia" w:ascii="Times New Roman" w:hAnsi="Times New Roman" w:eastAsia="仿宋_GB2312"/>
          <w:sz w:val="32"/>
          <w:szCs w:val="32"/>
        </w:rPr>
        <w:t>万元，比上年决算数增加</w:t>
      </w:r>
      <w:r>
        <w:rPr>
          <w:rFonts w:hint="eastAsia" w:ascii="Times New Roman" w:hAnsi="Times New Roman" w:eastAsia="仿宋_GB2312"/>
          <w:sz w:val="32"/>
          <w:szCs w:val="32"/>
          <w:lang w:val="en-US" w:eastAsia="zh-CN"/>
        </w:rPr>
        <w:t>38.20</w:t>
      </w:r>
      <w:r>
        <w:rPr>
          <w:rFonts w:hint="eastAsia" w:ascii="Times New Roman" w:hAnsi="Times New Roman" w:eastAsia="仿宋_GB2312"/>
          <w:sz w:val="32"/>
          <w:szCs w:val="32"/>
        </w:rPr>
        <w:t xml:space="preserve"> 万元，增长</w:t>
      </w:r>
      <w:r>
        <w:rPr>
          <w:rFonts w:hint="eastAsia" w:ascii="Times New Roman" w:hAnsi="Times New Roman" w:eastAsia="仿宋_GB2312"/>
          <w:sz w:val="32"/>
          <w:szCs w:val="32"/>
          <w:lang w:val="en-US" w:eastAsia="zh-CN"/>
        </w:rPr>
        <w:t>18</w:t>
      </w:r>
      <w:r>
        <w:rPr>
          <w:rFonts w:hint="eastAsia" w:ascii="Times New Roman" w:hAnsi="Times New Roman" w:eastAsia="仿宋_GB2312" w:cstheme="minorBidi"/>
          <w:color w:val="auto"/>
          <w:kern w:val="2"/>
          <w:sz w:val="32"/>
          <w:szCs w:val="32"/>
          <w:highlight w:val="none"/>
          <w:lang w:val="en-US" w:eastAsia="zh-CN" w:bidi="ar-SA"/>
        </w:rPr>
        <w:t>.21%。主要原因是：增加成品油市场百日攻坚开支。</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pPr>
        <w:pStyle w:val="13"/>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2023年度，会议费年初预算5.00万元，支出决算为0万元，完成年初预算的0%。2023年度本单位未召开相关会议。</w:t>
      </w:r>
    </w:p>
    <w:p>
      <w:pPr>
        <w:pStyle w:val="13"/>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培训费年初预算2.00万元，支出决算为</w:t>
      </w:r>
      <w:r>
        <w:rPr>
          <w:rFonts w:hint="eastAsia" w:ascii="Times New Roman" w:hAnsi="Times New Roman" w:eastAsia="仿宋_GB2312"/>
          <w:sz w:val="32"/>
          <w:szCs w:val="32"/>
          <w:highlight w:val="none"/>
          <w:lang w:val="en-US" w:eastAsia="zh-CN"/>
        </w:rPr>
        <w:t>1.73</w:t>
      </w:r>
      <w:r>
        <w:rPr>
          <w:rFonts w:hint="eastAsia" w:ascii="Times New Roman" w:hAnsi="Times New Roman" w:eastAsia="仿宋_GB2312"/>
          <w:sz w:val="32"/>
          <w:szCs w:val="32"/>
          <w:lang w:val="en-US" w:eastAsia="zh-CN"/>
        </w:rPr>
        <w:t>万元，完成年初预算的86.5%。</w:t>
      </w:r>
      <w:r>
        <w:rPr>
          <w:rFonts w:hint="eastAsia" w:ascii="Times New Roman" w:hAnsi="Times New Roman" w:eastAsia="仿宋_GB2312"/>
          <w:sz w:val="32"/>
          <w:szCs w:val="32"/>
          <w:highlight w:val="none"/>
        </w:rPr>
        <w:t>用于开展</w:t>
      </w:r>
      <w:r>
        <w:rPr>
          <w:rFonts w:hint="eastAsia" w:ascii="Times New Roman" w:hAnsi="Times New Roman" w:eastAsia="仿宋_GB2312"/>
          <w:sz w:val="32"/>
          <w:szCs w:val="32"/>
          <w:highlight w:val="none"/>
          <w:lang w:eastAsia="zh-CN"/>
        </w:rPr>
        <w:t>全市市场监管执法稽查业务</w:t>
      </w:r>
      <w:r>
        <w:rPr>
          <w:rFonts w:hint="eastAsia" w:ascii="Times New Roman" w:hAnsi="Times New Roman" w:eastAsia="仿宋_GB2312"/>
          <w:sz w:val="32"/>
          <w:szCs w:val="32"/>
          <w:highlight w:val="none"/>
        </w:rPr>
        <w:t>培训，人数</w:t>
      </w:r>
      <w:r>
        <w:rPr>
          <w:rFonts w:hint="eastAsia" w:ascii="Times New Roman" w:hAnsi="Times New Roman" w:eastAsia="仿宋_GB2312"/>
          <w:sz w:val="32"/>
          <w:szCs w:val="32"/>
          <w:highlight w:val="none"/>
          <w:lang w:val="en-US" w:eastAsia="zh-CN"/>
        </w:rPr>
        <w:t>110</w:t>
      </w:r>
      <w:r>
        <w:rPr>
          <w:rFonts w:hint="eastAsia" w:ascii="Times New Roman" w:hAnsi="Times New Roman" w:eastAsia="仿宋_GB2312"/>
          <w:sz w:val="32"/>
          <w:szCs w:val="32"/>
          <w:highlight w:val="none"/>
        </w:rPr>
        <w:t>人，内容</w:t>
      </w:r>
      <w:r>
        <w:rPr>
          <w:rFonts w:hint="eastAsia" w:ascii="Times New Roman" w:hAnsi="Times New Roman" w:eastAsia="仿宋_GB2312"/>
          <w:sz w:val="32"/>
          <w:szCs w:val="32"/>
          <w:highlight w:val="none"/>
          <w:lang w:eastAsia="zh-CN"/>
        </w:rPr>
        <w:t>为医疗器械执法实务及产品质量执法实务。</w:t>
      </w:r>
    </w:p>
    <w:p>
      <w:pPr>
        <w:pStyle w:val="13"/>
        <w:ind w:firstLine="640" w:firstLineChars="200"/>
        <w:rPr>
          <w:rFonts w:hint="eastAsia" w:ascii="楷体" w:hAnsi="楷体" w:eastAsia="楷体" w:cs="楷体"/>
          <w:b/>
          <w:bCs/>
          <w:i w:val="0"/>
          <w:iCs w:val="0"/>
          <w:color w:val="FF0000"/>
          <w:kern w:val="0"/>
          <w:sz w:val="40"/>
          <w:szCs w:val="40"/>
          <w:lang w:val="en-US" w:eastAsia="zh-CN" w:bidi="ar-SA"/>
        </w:rPr>
      </w:pPr>
      <w:r>
        <w:rPr>
          <w:rFonts w:hint="eastAsia" w:ascii="Times New Roman" w:hAnsi="Times New Roman" w:eastAsia="仿宋_GB2312"/>
          <w:sz w:val="32"/>
          <w:szCs w:val="32"/>
          <w:lang w:eastAsia="zh-CN"/>
        </w:rPr>
        <w:t>本单位无</w:t>
      </w:r>
      <w:r>
        <w:rPr>
          <w:rFonts w:hint="eastAsia" w:ascii="Times New Roman" w:hAnsi="Times New Roman" w:eastAsia="仿宋_GB2312"/>
          <w:sz w:val="32"/>
          <w:szCs w:val="32"/>
        </w:rPr>
        <w:t>举办节庆、晚会、论坛、赛事</w:t>
      </w:r>
      <w:r>
        <w:rPr>
          <w:rFonts w:hint="eastAsia" w:ascii="Times New Roman" w:hAnsi="Times New Roman" w:eastAsia="仿宋_GB2312"/>
          <w:sz w:val="32"/>
          <w:szCs w:val="32"/>
          <w:lang w:eastAsia="zh-CN"/>
        </w:rPr>
        <w:t>等</w:t>
      </w:r>
      <w:r>
        <w:rPr>
          <w:rFonts w:hint="eastAsia" w:ascii="Times New Roman" w:hAnsi="Times New Roman" w:eastAsia="仿宋_GB2312"/>
          <w:sz w:val="32"/>
          <w:szCs w:val="32"/>
        </w:rPr>
        <w:t>活动</w:t>
      </w:r>
      <w:r>
        <w:rPr>
          <w:rFonts w:hint="eastAsia" w:ascii="Times New Roman" w:hAnsi="Times New Roman" w:eastAsia="仿宋_GB2312"/>
          <w:sz w:val="32"/>
          <w:szCs w:val="32"/>
          <w:lang w:eastAsia="zh-CN"/>
        </w:rPr>
        <w:t>的预算和支出决算数。</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ascii="黑体" w:hAnsi="黑体" w:eastAsia="黑体" w:cs="黑体"/>
          <w:b w:val="0"/>
          <w:bCs/>
          <w:color w:val="auto"/>
          <w:sz w:val="32"/>
          <w:szCs w:val="32"/>
          <w:lang w:eastAsia="zh-CN"/>
        </w:rPr>
        <w:t>二</w:t>
      </w:r>
      <w:r>
        <w:rPr>
          <w:rFonts w:hint="eastAsia" w:ascii="黑体" w:hAnsi="黑体" w:eastAsia="黑体" w:cs="黑体"/>
          <w:b w:val="0"/>
          <w:bCs/>
          <w:color w:val="auto"/>
          <w:sz w:val="32"/>
          <w:szCs w:val="32"/>
        </w:rPr>
        <w:t>、关于政府采购支出说明</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本部门202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年度政府采购支出总额</w:t>
      </w:r>
      <w:r>
        <w:rPr>
          <w:rFonts w:hint="eastAsia" w:ascii="仿宋_GB2312" w:hAnsi="仿宋_GB2312" w:eastAsia="仿宋_GB2312" w:cs="仿宋_GB2312"/>
          <w:color w:val="auto"/>
          <w:sz w:val="32"/>
          <w:szCs w:val="32"/>
          <w:lang w:val="en-US" w:eastAsia="zh-CN"/>
        </w:rPr>
        <w:t>513.19</w:t>
      </w:r>
      <w:r>
        <w:rPr>
          <w:rFonts w:hint="eastAsia" w:ascii="仿宋_GB2312" w:hAnsi="仿宋_GB2312" w:eastAsia="仿宋_GB2312" w:cs="仿宋_GB2312"/>
          <w:color w:val="auto"/>
          <w:sz w:val="32"/>
          <w:szCs w:val="32"/>
          <w:lang w:eastAsia="zh-CN"/>
        </w:rPr>
        <w:t>万元，其中：政府采购货物支出</w:t>
      </w:r>
      <w:r>
        <w:rPr>
          <w:rFonts w:hint="eastAsia" w:ascii="仿宋_GB2312" w:hAnsi="仿宋_GB2312" w:eastAsia="仿宋_GB2312" w:cs="仿宋_GB2312"/>
          <w:color w:val="auto"/>
          <w:sz w:val="32"/>
          <w:szCs w:val="32"/>
          <w:lang w:val="en-US" w:eastAsia="zh-CN"/>
        </w:rPr>
        <w:t>97.74</w:t>
      </w:r>
      <w:r>
        <w:rPr>
          <w:rFonts w:hint="eastAsia" w:ascii="仿宋_GB2312" w:hAnsi="仿宋_GB2312" w:eastAsia="仿宋_GB2312" w:cs="仿宋_GB2312"/>
          <w:color w:val="auto"/>
          <w:sz w:val="32"/>
          <w:szCs w:val="32"/>
          <w:lang w:eastAsia="zh-CN"/>
        </w:rPr>
        <w:t>万元、政府采购工程支出</w:t>
      </w:r>
      <w:r>
        <w:rPr>
          <w:rFonts w:hint="eastAsia" w:ascii="仿宋_GB2312" w:hAnsi="仿宋_GB2312" w:eastAsia="仿宋_GB2312" w:cs="仿宋_GB2312"/>
          <w:color w:val="auto"/>
          <w:sz w:val="32"/>
          <w:szCs w:val="32"/>
          <w:lang w:val="en-US" w:eastAsia="zh-CN"/>
        </w:rPr>
        <w:t>179.14</w:t>
      </w:r>
      <w:r>
        <w:rPr>
          <w:rFonts w:hint="eastAsia" w:ascii="仿宋_GB2312" w:hAnsi="仿宋_GB2312" w:eastAsia="仿宋_GB2312" w:cs="仿宋_GB2312"/>
          <w:color w:val="auto"/>
          <w:sz w:val="32"/>
          <w:szCs w:val="32"/>
          <w:lang w:eastAsia="zh-CN"/>
        </w:rPr>
        <w:t>万元、政府采购服务支出</w:t>
      </w:r>
      <w:r>
        <w:rPr>
          <w:rFonts w:hint="eastAsia" w:ascii="仿宋_GB2312" w:hAnsi="仿宋_GB2312" w:eastAsia="仿宋_GB2312" w:cs="仿宋_GB2312"/>
          <w:color w:val="auto"/>
          <w:sz w:val="32"/>
          <w:szCs w:val="32"/>
          <w:lang w:val="en-US" w:eastAsia="zh-CN"/>
        </w:rPr>
        <w:t>236.31</w:t>
      </w:r>
      <w:r>
        <w:rPr>
          <w:rFonts w:hint="eastAsia" w:ascii="仿宋_GB2312" w:hAnsi="仿宋_GB2312" w:eastAsia="仿宋_GB2312" w:cs="仿宋_GB2312"/>
          <w:color w:val="auto"/>
          <w:sz w:val="32"/>
          <w:szCs w:val="32"/>
          <w:lang w:eastAsia="zh-CN"/>
        </w:rPr>
        <w:t>万元。授予中小企业合同金额</w:t>
      </w:r>
      <w:r>
        <w:rPr>
          <w:rFonts w:hint="eastAsia" w:ascii="仿宋_GB2312" w:hAnsi="仿宋_GB2312" w:eastAsia="仿宋_GB2312" w:cs="仿宋_GB2312"/>
          <w:color w:val="auto"/>
          <w:sz w:val="32"/>
          <w:szCs w:val="32"/>
          <w:lang w:val="en-US" w:eastAsia="zh-CN"/>
        </w:rPr>
        <w:t>513.19</w:t>
      </w:r>
      <w:r>
        <w:rPr>
          <w:rFonts w:hint="eastAsia" w:ascii="仿宋_GB2312" w:hAnsi="仿宋_GB2312" w:eastAsia="仿宋_GB2312" w:cs="仿宋_GB2312"/>
          <w:color w:val="auto"/>
          <w:sz w:val="32"/>
          <w:szCs w:val="32"/>
          <w:lang w:eastAsia="zh-CN"/>
        </w:rPr>
        <w:t>万元，占政府采购支出总额的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lang w:eastAsia="zh-CN"/>
        </w:rPr>
        <w:t>%，其中：授予小微企业合同金额</w:t>
      </w:r>
      <w:r>
        <w:rPr>
          <w:rFonts w:hint="eastAsia" w:ascii="仿宋_GB2312" w:hAnsi="仿宋_GB2312" w:eastAsia="仿宋_GB2312" w:cs="仿宋_GB2312"/>
          <w:color w:val="auto"/>
          <w:sz w:val="32"/>
          <w:szCs w:val="32"/>
          <w:lang w:val="en-US" w:eastAsia="zh-CN"/>
        </w:rPr>
        <w:t>513.19</w:t>
      </w:r>
      <w:r>
        <w:rPr>
          <w:rFonts w:hint="eastAsia" w:ascii="仿宋_GB2312" w:hAnsi="仿宋_GB2312" w:eastAsia="仿宋_GB2312" w:cs="仿宋_GB2312"/>
          <w:color w:val="auto"/>
          <w:sz w:val="32"/>
          <w:szCs w:val="32"/>
          <w:lang w:eastAsia="zh-CN"/>
        </w:rPr>
        <w:t>万元，占授予中小企业合同金额的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lang w:eastAsia="zh-CN"/>
        </w:rPr>
        <w:t>%。货物采购授予中小企业合同金额占货物支出金额的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lang w:eastAsia="zh-CN"/>
        </w:rPr>
        <w:t>%，工程采购授予中小企业合同金额占工程支出金额的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lang w:eastAsia="zh-CN"/>
        </w:rPr>
        <w:t>%，服务采购授予中小企业合同金额占服务支出金额的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lang w:eastAsia="zh-CN"/>
        </w:rPr>
        <w:t>%。</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仿宋_GB2312" w:hAnsi="仿宋_GB2312" w:eastAsia="仿宋_GB2312" w:cs="仿宋_GB2312"/>
          <w:color w:val="auto"/>
          <w:sz w:val="32"/>
          <w:szCs w:val="32"/>
          <w:lang w:eastAsia="zh-CN"/>
        </w:rPr>
        <w:t>截至202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年12月31日，本单位共有车辆</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lang w:eastAsia="zh-CN"/>
        </w:rPr>
        <w:t>辆，其中，主要领导干部用车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lang w:eastAsia="zh-CN"/>
        </w:rPr>
        <w:t>辆，机要通信用车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lang w:eastAsia="zh-CN"/>
        </w:rPr>
        <w:t>辆、应急保障用车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lang w:eastAsia="zh-CN"/>
        </w:rPr>
        <w:t>辆、</w:t>
      </w:r>
      <w:r>
        <w:rPr>
          <w:rFonts w:hint="eastAsia" w:ascii="仿宋_GB2312" w:hAnsi="仿宋_GB2312" w:eastAsia="仿宋_GB2312" w:cs="仿宋_GB2312"/>
          <w:color w:val="auto"/>
          <w:sz w:val="32"/>
          <w:szCs w:val="32"/>
          <w:highlight w:val="none"/>
          <w:lang w:eastAsia="zh-CN"/>
        </w:rPr>
        <w:t>执法执勤用车</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lang w:eastAsia="zh-CN"/>
        </w:rPr>
        <w:t>辆、</w:t>
      </w:r>
      <w:r>
        <w:rPr>
          <w:rFonts w:hint="eastAsia" w:ascii="仿宋_GB2312" w:hAnsi="仿宋_GB2312" w:eastAsia="仿宋_GB2312" w:cs="仿宋_GB2312"/>
          <w:color w:val="auto"/>
          <w:sz w:val="32"/>
          <w:szCs w:val="32"/>
          <w:lang w:eastAsia="zh-CN"/>
        </w:rPr>
        <w:t>特种专业技术用车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lang w:eastAsia="zh-CN"/>
        </w:rPr>
        <w:t>辆、其他用车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lang w:eastAsia="zh-CN"/>
        </w:rPr>
        <w:t>辆；单位价值50万元以上通用设备0台（套）；单位价值100万元以上专用设备0台（套）。</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FF0000"/>
          <w:sz w:val="32"/>
          <w:szCs w:val="32"/>
        </w:rPr>
      </w:pPr>
      <w:r>
        <w:rPr>
          <w:rFonts w:hint="eastAsia" w:ascii="黑体" w:hAnsi="黑体" w:eastAsia="黑体" w:cs="黑体"/>
          <w:b w:val="0"/>
          <w:bCs/>
          <w:color w:val="auto"/>
          <w:sz w:val="32"/>
          <w:szCs w:val="32"/>
        </w:rPr>
        <w:t>十</w:t>
      </w:r>
      <w:r>
        <w:rPr>
          <w:rFonts w:hint="eastAsia" w:ascii="黑体" w:hAnsi="黑体" w:eastAsia="黑体" w:cs="黑体"/>
          <w:b w:val="0"/>
          <w:bCs/>
          <w:color w:val="auto"/>
          <w:sz w:val="32"/>
          <w:szCs w:val="32"/>
          <w:lang w:eastAsia="zh-CN"/>
        </w:rPr>
        <w:t>四</w:t>
      </w:r>
      <w:r>
        <w:rPr>
          <w:rFonts w:hint="eastAsia" w:ascii="黑体" w:hAnsi="黑体" w:eastAsia="黑体" w:cs="黑体"/>
          <w:b w:val="0"/>
          <w:bCs/>
          <w:color w:val="auto"/>
          <w:sz w:val="32"/>
          <w:szCs w:val="32"/>
        </w:rPr>
        <w:t>、关于202</w:t>
      </w:r>
      <w:r>
        <w:rPr>
          <w:rFonts w:hint="eastAsia" w:ascii="黑体" w:hAnsi="黑体" w:eastAsia="黑体" w:cs="黑体"/>
          <w:b w:val="0"/>
          <w:bCs/>
          <w:color w:val="auto"/>
          <w:sz w:val="32"/>
          <w:szCs w:val="32"/>
          <w:lang w:val="en-US" w:eastAsia="zh-CN"/>
        </w:rPr>
        <w:t>3</w:t>
      </w:r>
      <w:r>
        <w:rPr>
          <w:rFonts w:hint="eastAsia" w:ascii="黑体" w:hAnsi="黑体" w:eastAsia="黑体" w:cs="黑体"/>
          <w:b w:val="0"/>
          <w:bCs/>
          <w:color w:val="auto"/>
          <w:sz w:val="32"/>
          <w:szCs w:val="32"/>
        </w:rPr>
        <w:t>年度</w:t>
      </w:r>
      <w:r>
        <w:rPr>
          <w:rFonts w:hint="eastAsia" w:ascii="黑体" w:hAnsi="黑体" w:eastAsia="黑体" w:cs="黑体"/>
          <w:b w:val="0"/>
          <w:bCs/>
          <w:color w:val="auto"/>
          <w:sz w:val="32"/>
          <w:szCs w:val="32"/>
          <w:lang w:eastAsia="zh-CN"/>
        </w:rPr>
        <w:t>预算</w:t>
      </w:r>
      <w:r>
        <w:rPr>
          <w:rFonts w:hint="eastAsia" w:ascii="黑体" w:hAnsi="黑体" w:eastAsia="黑体" w:cs="黑体"/>
          <w:b w:val="0"/>
          <w:bCs/>
          <w:color w:val="auto"/>
          <w:sz w:val="32"/>
          <w:szCs w:val="32"/>
        </w:rPr>
        <w:t>绩效情况的说明</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（一）绩效管理工作开展情况</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根据预算绩效管理要求，我们组织对2023年度整体支出和项目资金实施了全覆盖性的绩效评价，撰写了绩效自评报告。</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组织开展整体支出绩效评价，涉及一般公共预算支出2137.75万元，政府性基金预算支出0万元，国有资本经营预算支出0万元。从评价情况来看，整体支出绩效评价中，2023年整体支出2148.51万元，其中：基本支出</w:t>
      </w:r>
      <w:r>
        <w:rPr>
          <w:rFonts w:hint="eastAsia" w:ascii="Times New Roman" w:hAnsi="Times New Roman" w:eastAsia="仿宋_GB2312" w:cs="Times New Roman"/>
          <w:color w:val="000000"/>
          <w:kern w:val="0"/>
          <w:sz w:val="32"/>
          <w:szCs w:val="32"/>
          <w:lang w:val="en-US" w:eastAsia="zh-CN" w:bidi="ar-SA"/>
        </w:rPr>
        <w:t>1729.65</w:t>
      </w:r>
      <w:r>
        <w:rPr>
          <w:rFonts w:hint="eastAsia" w:ascii="Times New Roman" w:hAnsi="Times New Roman" w:eastAsia="仿宋_GB2312"/>
          <w:sz w:val="32"/>
          <w:szCs w:val="32"/>
          <w:lang w:val="en-US" w:eastAsia="zh-CN"/>
        </w:rPr>
        <w:t>万元，项目支出</w:t>
      </w:r>
      <w:r>
        <w:rPr>
          <w:rFonts w:hint="eastAsia" w:ascii="Times New Roman" w:hAnsi="Times New Roman" w:eastAsia="仿宋_GB2312" w:cs="Times New Roman"/>
          <w:color w:val="000000"/>
          <w:kern w:val="0"/>
          <w:sz w:val="32"/>
          <w:szCs w:val="32"/>
          <w:lang w:val="en-US" w:eastAsia="zh-CN" w:bidi="ar-SA"/>
        </w:rPr>
        <w:t>418.86</w:t>
      </w:r>
      <w:r>
        <w:rPr>
          <w:rFonts w:hint="eastAsia" w:ascii="Times New Roman" w:hAnsi="Times New Roman" w:eastAsia="仿宋_GB2312"/>
          <w:sz w:val="32"/>
          <w:szCs w:val="32"/>
          <w:lang w:val="en-US" w:eastAsia="zh-CN"/>
        </w:rPr>
        <w:t>万元，本单位整体支出绩效自评综合评分100分，评价结果等次为优。</w:t>
      </w:r>
    </w:p>
    <w:p>
      <w:pPr>
        <w:pStyle w:val="2"/>
        <w:rPr>
          <w:rFonts w:hint="eastAsia" w:ascii="仿宋_GB2312" w:hAnsi="仿宋_GB2312" w:eastAsia="仿宋_GB2312" w:cs="仿宋_GB2312"/>
          <w:b/>
          <w:bCs/>
          <w:sz w:val="32"/>
          <w:szCs w:val="32"/>
          <w:highlight w:val="none"/>
          <w:lang w:eastAsia="zh-CN"/>
        </w:rPr>
      </w:pPr>
      <w:bookmarkStart w:id="0" w:name="_GoBack"/>
      <w:r>
        <w:rPr>
          <w:rFonts w:hint="eastAsia" w:ascii="Times New Roman" w:hAnsi="Times New Roman" w:eastAsia="仿宋_GB2312"/>
          <w:sz w:val="32"/>
          <w:szCs w:val="32"/>
          <w:highlight w:val="none"/>
          <w:lang w:val="en-US" w:eastAsia="zh-CN"/>
        </w:rPr>
        <w:t>组织对一般公共预算项目支出全面开展绩效自评，项目1个，共涉及资金</w:t>
      </w:r>
      <w:r>
        <w:rPr>
          <w:rFonts w:hint="eastAsia" w:ascii="Times New Roman" w:hAnsi="Times New Roman" w:eastAsia="仿宋_GB2312" w:cs="Times New Roman"/>
          <w:color w:val="000000"/>
          <w:kern w:val="0"/>
          <w:sz w:val="32"/>
          <w:szCs w:val="32"/>
          <w:highlight w:val="none"/>
          <w:lang w:val="en-US" w:eastAsia="zh-CN" w:bidi="ar-SA"/>
        </w:rPr>
        <w:t>418.86</w:t>
      </w:r>
      <w:r>
        <w:rPr>
          <w:rFonts w:hint="eastAsia" w:ascii="Times New Roman" w:hAnsi="Times New Roman" w:eastAsia="仿宋_GB2312"/>
          <w:sz w:val="32"/>
          <w:szCs w:val="32"/>
          <w:highlight w:val="none"/>
          <w:lang w:val="en-US" w:eastAsia="zh-CN"/>
        </w:rPr>
        <w:t>万元，占一般公共预算项目支出总额的100%。组织对政府性基金预算项目支出开展绩效自评，项目0个，共涉及资金0万元(由于政府性基金预算项目支出总额为0，故无法计算占政府性基金预算项目支出总额的比重）。组织对国有资本经营预算项目支出开展绩效自评，项目0个，共涉及资金0万元(由于国有资本经营预算项目支出总额为0，故无法计算占国有资本经营预算项目支出总额的比重）。从评价情况来看，项目绩效自评得分分别为98分和100分，评价结果等次为优。</w:t>
      </w:r>
    </w:p>
    <w:bookmarkEnd w:id="0"/>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color w:val="auto"/>
          <w:sz w:val="32"/>
          <w:szCs w:val="32"/>
        </w:rPr>
      </w:pPr>
      <w:r>
        <w:rPr>
          <w:rFonts w:hint="eastAsia" w:ascii="楷体" w:hAnsi="楷体" w:eastAsia="楷体" w:cs="楷体"/>
          <w:b/>
          <w:bCs/>
          <w:color w:val="auto"/>
          <w:sz w:val="32"/>
          <w:szCs w:val="32"/>
          <w:lang w:eastAsia="zh-CN"/>
        </w:rPr>
        <w:t>（二）</w:t>
      </w:r>
      <w:r>
        <w:rPr>
          <w:rFonts w:hint="eastAsia" w:ascii="楷体" w:hAnsi="楷体" w:eastAsia="楷体" w:cs="楷体"/>
          <w:b/>
          <w:bCs/>
          <w:color w:val="auto"/>
          <w:sz w:val="32"/>
          <w:szCs w:val="32"/>
        </w:rPr>
        <w:t>部门</w:t>
      </w:r>
      <w:r>
        <w:rPr>
          <w:rFonts w:hint="eastAsia" w:ascii="楷体" w:hAnsi="楷体" w:eastAsia="楷体" w:cs="楷体"/>
          <w:b/>
          <w:bCs/>
          <w:color w:val="auto"/>
          <w:sz w:val="32"/>
          <w:szCs w:val="32"/>
          <w:lang w:eastAsia="zh-CN"/>
        </w:rPr>
        <w:t>（单位）</w:t>
      </w:r>
      <w:r>
        <w:rPr>
          <w:rFonts w:hint="eastAsia" w:ascii="楷体" w:hAnsi="楷体" w:eastAsia="楷体" w:cs="楷体"/>
          <w:b/>
          <w:bCs/>
          <w:color w:val="auto"/>
          <w:sz w:val="32"/>
          <w:szCs w:val="32"/>
        </w:rPr>
        <w:t>整体支出绩效情况</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pPr>
      <w:r>
        <w:rPr>
          <w:rFonts w:hint="eastAsia" w:ascii="仿宋_GB2312" w:hAnsi="仿宋_GB2312" w:eastAsia="仿宋_GB2312" w:cs="仿宋_GB2312"/>
          <w:b w:val="0"/>
          <w:bCs w:val="0"/>
          <w:color w:val="0D0D0D" w:themeColor="text1" w:themeTint="F2"/>
          <w:sz w:val="32"/>
          <w:szCs w:val="32"/>
          <w:lang w:val="en-US" w:eastAsia="zh-CN"/>
          <w14:textFill>
            <w14:solidFill>
              <w14:schemeClr w14:val="tx1">
                <w14:lumMod w14:val="95000"/>
                <w14:lumOff w14:val="5000"/>
              </w14:schemeClr>
            </w14:solidFill>
          </w14:textFill>
        </w:rPr>
        <w:t>根据年初设定的绩效目标，绩效自评得分为100分。全年预算数为2148.50万元，执行数为2148.50万元，完成预算的100%。绩效目标完成</w:t>
      </w:r>
      <w:r>
        <w:rPr>
          <w:rFonts w:hint="eastAsia" w:ascii="Times New Roman" w:hAnsi="Times New Roman" w:eastAsia="仿宋_GB2312" w:cs="黑体"/>
          <w:color w:val="000000"/>
          <w:kern w:val="0"/>
          <w:sz w:val="32"/>
          <w:szCs w:val="32"/>
          <w:highlight w:val="none"/>
          <w:lang w:val="en-US" w:eastAsia="zh-CN" w:bidi="ar-SA"/>
        </w:rPr>
        <w:t>情况：2023年，以民生领域“铁拳”行动为抓手，落实打好“发展六仗”，全市共查办案件2312件，移送公安30起，罚没合计3043万元。其中，支队查办各类案件52起，罚没款851万元。一是参与全市成品油市场“打非治违”百日攻坚，持续形成我市成品油市场整治高压态势。协助查获8起</w:t>
      </w:r>
      <w:r>
        <w:rPr>
          <w:rFonts w:hint="eastAsia" w:ascii="仿宋_GB2312" w:hAnsi="仿宋_GB2312" w:eastAsia="仿宋_GB2312" w:cs="仿宋_GB2312"/>
          <w:b w:val="0"/>
          <w:bCs w:val="0"/>
          <w:color w:val="0D0D0D" w:themeColor="text1" w:themeTint="F2"/>
          <w:sz w:val="32"/>
          <w:szCs w:val="32"/>
          <w:lang w:val="en-US" w:eastAsia="zh-CN"/>
          <w14:textFill>
            <w14:solidFill>
              <w14:schemeClr w14:val="tx1">
                <w14:lumMod w14:val="95000"/>
                <w14:lumOff w14:val="5000"/>
              </w14:schemeClr>
            </w14:solidFill>
          </w14:textFill>
        </w:rPr>
        <w:t>违法违规经营成品油案件，移送公安4起，刑事拘留10余人。综合分析350余起消费者、油品企业及行业协会关于成品油的投诉热点，持续深入摸排，出动执法人员305人次，开展成品油专项行动12次。联合市公安局、司法机构出动执法人员50余人，突击查处两处加油站，成功发现问题线索2起。抽样送检成品油32批次，查办岳阳某公司涉嫌销售不合格汽油案、湖南某公司涉嫌无证生产、销售车用汽油案及岳阳某公司经开区兴盛加油站涉嫌破坏计量器具案等5起，办</w:t>
      </w:r>
      <w:r>
        <w:rPr>
          <w:rFonts w:hint="eastAsia" w:ascii="Times New Roman" w:hAnsi="Times New Roman" w:eastAsia="仿宋_GB2312" w:cs="黑体"/>
          <w:color w:val="000000"/>
          <w:kern w:val="0"/>
          <w:sz w:val="32"/>
          <w:szCs w:val="32"/>
          <w:highlight w:val="none"/>
          <w:lang w:val="en-US" w:eastAsia="zh-CN" w:bidi="ar-SA"/>
        </w:rPr>
        <w:t>结2022年成品油作弊案4起，指导县区局查办计量案件4起，罚没金额200余万；二是严厉打击不正当竞争行为，着力营造公平公正市场环境。2023年支队持续开展查处商业贿赂、查处商标侵权、查处网络刷单炒信、打击传销等行动，罚没35万余元。三是持续开展“三品一特”领域违法打击行动。查办药品药械案件18起，移送公安机关2起，行业禁止、处罚到人2起，罚没合计112.87万元</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完成药械化监督抽样185批，完成率100%，持续整顿医疗美容行业乱象，查办使用无合格证明文件X射线管组件案1起，处罚34.2万元，该案被湖南省药监局评为2023年湖南省药品监管领域典型案例；开展大米专项检查，</w:t>
      </w:r>
      <w:r>
        <w:rPr>
          <w:rFonts w:hint="default" w:ascii="仿宋_GB2312" w:hAnsi="仿宋_GB2312" w:eastAsia="仿宋_GB2312" w:cs="仿宋_GB2312"/>
          <w:b w:val="0"/>
          <w:color w:val="0D0D0D" w:themeColor="text1" w:themeTint="F2"/>
          <w:kern w:val="2"/>
          <w:sz w:val="32"/>
          <w:szCs w:val="32"/>
          <w:lang w:eastAsia="zh-CN" w:bidi="ar-SA"/>
          <w14:textFill>
            <w14:solidFill>
              <w14:schemeClr w14:val="tx1">
                <w14:lumMod w14:val="95000"/>
                <w14:lumOff w14:val="5000"/>
              </w14:schemeClr>
            </w14:solidFill>
          </w14:textFill>
        </w:rPr>
        <w:t>立案2起。</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对食品安全违法行为立案10起</w:t>
      </w:r>
      <w:r>
        <w:rPr>
          <w:rFonts w:hint="default" w:ascii="仿宋_GB2312" w:hAnsi="仿宋_GB2312" w:eastAsia="仿宋_GB2312" w:cs="仿宋_GB2312"/>
          <w:b w:val="0"/>
          <w:color w:val="0D0D0D" w:themeColor="text1" w:themeTint="F2"/>
          <w:kern w:val="2"/>
          <w:sz w:val="32"/>
          <w:szCs w:val="32"/>
          <w:lang w:eastAsia="zh-CN" w:bidi="ar-SA"/>
          <w14:textFill>
            <w14:solidFill>
              <w14:schemeClr w14:val="tx1">
                <w14:lumMod w14:val="95000"/>
                <w14:lumOff w14:val="5000"/>
              </w14:schemeClr>
            </w14:solidFill>
          </w14:textFill>
        </w:rPr>
        <w:t>，</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抽样检测</w:t>
      </w:r>
      <w:r>
        <w:rPr>
          <w:rFonts w:hint="default" w:ascii="仿宋_GB2312" w:hAnsi="仿宋_GB2312" w:eastAsia="仿宋_GB2312" w:cs="仿宋_GB2312"/>
          <w:b w:val="0"/>
          <w:color w:val="0D0D0D" w:themeColor="text1" w:themeTint="F2"/>
          <w:kern w:val="2"/>
          <w:sz w:val="32"/>
          <w:szCs w:val="32"/>
          <w:lang w:eastAsia="zh-CN" w:bidi="ar-SA"/>
          <w14:textFill>
            <w14:solidFill>
              <w14:schemeClr w14:val="tx1">
                <w14:lumMod w14:val="95000"/>
                <w14:lumOff w14:val="5000"/>
              </w14:schemeClr>
            </w14:solidFill>
          </w14:textFill>
        </w:rPr>
        <w:t>10</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批次，</w:t>
      </w:r>
      <w:r>
        <w:rPr>
          <w:rFonts w:hint="default" w:ascii="仿宋_GB2312" w:hAnsi="仿宋_GB2312" w:eastAsia="仿宋_GB2312" w:cs="仿宋_GB2312"/>
          <w:b w:val="0"/>
          <w:color w:val="0D0D0D" w:themeColor="text1" w:themeTint="F2"/>
          <w:kern w:val="2"/>
          <w:sz w:val="32"/>
          <w:szCs w:val="32"/>
          <w:lang w:eastAsia="zh-CN" w:bidi="ar-SA"/>
          <w14:textFill>
            <w14:solidFill>
              <w14:schemeClr w14:val="tx1">
                <w14:lumMod w14:val="95000"/>
                <w14:lumOff w14:val="5000"/>
              </w14:schemeClr>
            </w14:solidFill>
          </w14:textFill>
        </w:rPr>
        <w:t>核查</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投诉举报6起。</w:t>
      </w:r>
      <w:r>
        <w:rPr>
          <w:rFonts w:hint="default" w:ascii="仿宋_GB2312" w:hAnsi="仿宋_GB2312" w:eastAsia="仿宋_GB2312" w:cs="仿宋_GB2312"/>
          <w:b w:val="0"/>
          <w:color w:val="0D0D0D" w:themeColor="text1" w:themeTint="F2"/>
          <w:kern w:val="2"/>
          <w:sz w:val="32"/>
          <w:szCs w:val="32"/>
          <w:lang w:eastAsia="zh-CN" w:bidi="ar-SA"/>
          <w14:textFill>
            <w14:solidFill>
              <w14:schemeClr w14:val="tx1">
                <w14:lumMod w14:val="95000"/>
                <w14:lumOff w14:val="5000"/>
              </w14:schemeClr>
            </w14:solidFill>
          </w14:textFill>
        </w:rPr>
        <w:t>召集9家大型食品企业座谈</w:t>
      </w:r>
      <w:r>
        <w:rPr>
          <w:rFonts w:hint="eastAsia" w:ascii="仿宋_GB2312" w:hAnsi="仿宋_GB2312" w:eastAsia="仿宋_GB2312" w:cs="仿宋_GB2312"/>
          <w:b w:val="0"/>
          <w:color w:val="0D0D0D" w:themeColor="text1" w:themeTint="F2"/>
          <w:kern w:val="2"/>
          <w:sz w:val="32"/>
          <w:szCs w:val="32"/>
          <w:lang w:eastAsia="zh-CN" w:bidi="ar-SA"/>
          <w14:textFill>
            <w14:solidFill>
              <w14:schemeClr w14:val="tx1">
                <w14:lumMod w14:val="95000"/>
                <w14:lumOff w14:val="5000"/>
              </w14:schemeClr>
            </w14:solidFill>
          </w14:textFill>
        </w:rPr>
        <w:t>，</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强化主体责任，支持引导食品产业发展</w:t>
      </w:r>
      <w:r>
        <w:rPr>
          <w:rFonts w:hint="eastAsia" w:ascii="仿宋_GB2312" w:hAnsi="仿宋_GB2312" w:eastAsia="仿宋_GB2312" w:cs="仿宋_GB2312"/>
          <w:b w:val="0"/>
          <w:color w:val="0D0D0D" w:themeColor="text1" w:themeTint="F2"/>
          <w:kern w:val="2"/>
          <w:sz w:val="32"/>
          <w:szCs w:val="32"/>
          <w:lang w:eastAsia="zh-CN" w:bidi="ar-SA"/>
          <w14:textFill>
            <w14:solidFill>
              <w14:schemeClr w14:val="tx1">
                <w14:lumMod w14:val="95000"/>
                <w14:lumOff w14:val="5000"/>
              </w14:schemeClr>
            </w14:solidFill>
          </w14:textFill>
        </w:rPr>
        <w:t>；</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检查特种设备使用企业16家，出动执法人员84人次，下达监察指令书5份。查办江苏某检测有限公司涉嫌未按安全技术规范的要求进行检测等系列案件4起，罚没52万元；开展产品质量计量检查。抽检</w:t>
      </w:r>
      <w:r>
        <w:rPr>
          <w:rFonts w:hint="eastAsia" w:ascii="仿宋_GB2312" w:hAnsi="仿宋_GB2312" w:eastAsia="仿宋_GB2312" w:cs="仿宋_GB2312"/>
          <w:b w:val="0"/>
          <w:color w:val="0D0D0D" w:themeColor="text1" w:themeTint="F2"/>
          <w:kern w:val="2"/>
          <w:sz w:val="32"/>
          <w:szCs w:val="32"/>
          <w:lang w:val="zh-CN" w:eastAsia="zh-CN" w:bidi="ar-SA"/>
          <w14:textFill>
            <w14:solidFill>
              <w14:schemeClr w14:val="tx1">
                <w14:lumMod w14:val="95000"/>
                <w14:lumOff w14:val="5000"/>
              </w14:schemeClr>
            </w14:solidFill>
          </w14:textFill>
        </w:rPr>
        <w:t>防水卷材6批次，立案3起，</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相关</w:t>
      </w:r>
      <w:r>
        <w:rPr>
          <w:rFonts w:hint="eastAsia" w:ascii="仿宋_GB2312" w:hAnsi="仿宋_GB2312" w:eastAsia="仿宋_GB2312" w:cs="仿宋_GB2312"/>
          <w:b w:val="0"/>
          <w:color w:val="0D0D0D" w:themeColor="text1" w:themeTint="F2"/>
          <w:kern w:val="2"/>
          <w:sz w:val="32"/>
          <w:szCs w:val="32"/>
          <w:lang w:val="zh-CN" w:eastAsia="zh-CN" w:bidi="ar-SA"/>
          <w14:textFill>
            <w14:solidFill>
              <w14:schemeClr w14:val="tx1">
                <w14:lumMod w14:val="95000"/>
                <w14:lumOff w14:val="5000"/>
              </w14:schemeClr>
            </w14:solidFill>
          </w14:textFill>
        </w:rPr>
        <w:t>提案</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的回复</w:t>
      </w:r>
      <w:r>
        <w:rPr>
          <w:rFonts w:hint="eastAsia" w:ascii="仿宋_GB2312" w:hAnsi="仿宋_GB2312" w:eastAsia="仿宋_GB2312" w:cs="仿宋_GB2312"/>
          <w:b w:val="0"/>
          <w:color w:val="0D0D0D" w:themeColor="text1" w:themeTint="F2"/>
          <w:kern w:val="2"/>
          <w:sz w:val="32"/>
          <w:szCs w:val="32"/>
          <w:lang w:val="zh-CN" w:eastAsia="zh-CN" w:bidi="ar-SA"/>
          <w14:textFill>
            <w14:solidFill>
              <w14:schemeClr w14:val="tx1">
                <w14:lumMod w14:val="95000"/>
                <w14:lumOff w14:val="5000"/>
              </w14:schemeClr>
            </w14:solidFill>
          </w14:textFill>
        </w:rPr>
        <w:t>得到市人大市政协代表高度赞扬。</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重点开展</w:t>
      </w:r>
      <w:r>
        <w:rPr>
          <w:rFonts w:hint="eastAsia" w:ascii="仿宋_GB2312" w:hAnsi="仿宋_GB2312" w:eastAsia="仿宋_GB2312" w:cs="仿宋_GB2312"/>
          <w:b w:val="0"/>
          <w:color w:val="0D0D0D" w:themeColor="text1" w:themeTint="F2"/>
          <w:kern w:val="2"/>
          <w:sz w:val="32"/>
          <w:szCs w:val="32"/>
          <w:lang w:val="zh-CN" w:eastAsia="zh-CN" w:bidi="ar-SA"/>
          <w14:textFill>
            <w14:solidFill>
              <w14:schemeClr w14:val="tx1">
                <w14:lumMod w14:val="95000"/>
                <w14:lumOff w14:val="5000"/>
              </w14:schemeClr>
            </w14:solidFill>
          </w14:textFill>
        </w:rPr>
        <w:t>“短斤少两”</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计量检查，对</w:t>
      </w:r>
      <w:r>
        <w:rPr>
          <w:rFonts w:hint="eastAsia" w:ascii="仿宋_GB2312" w:hAnsi="仿宋_GB2312" w:eastAsia="仿宋_GB2312" w:cs="仿宋_GB2312"/>
          <w:b w:val="0"/>
          <w:color w:val="0D0D0D" w:themeColor="text1" w:themeTint="F2"/>
          <w:kern w:val="2"/>
          <w:sz w:val="32"/>
          <w:szCs w:val="32"/>
          <w:lang w:val="zh-CN" w:eastAsia="zh-CN" w:bidi="ar-SA"/>
          <w14:textFill>
            <w14:solidFill>
              <w14:schemeClr w14:val="tx1">
                <w14:lumMod w14:val="95000"/>
                <w14:lumOff w14:val="5000"/>
              </w14:schemeClr>
            </w14:solidFill>
          </w14:textFill>
        </w:rPr>
        <w:t>市区1500辆电动自行车和安全帽</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进行安全</w:t>
      </w:r>
      <w:r>
        <w:rPr>
          <w:rFonts w:hint="eastAsia" w:ascii="仿宋_GB2312" w:hAnsi="仿宋_GB2312" w:eastAsia="仿宋_GB2312" w:cs="仿宋_GB2312"/>
          <w:b w:val="0"/>
          <w:color w:val="0D0D0D" w:themeColor="text1" w:themeTint="F2"/>
          <w:kern w:val="2"/>
          <w:sz w:val="32"/>
          <w:szCs w:val="32"/>
          <w:lang w:val="zh-CN" w:eastAsia="zh-CN" w:bidi="ar-SA"/>
          <w14:textFill>
            <w14:solidFill>
              <w14:schemeClr w14:val="tx1">
                <w14:lumMod w14:val="95000"/>
                <w14:lumOff w14:val="5000"/>
              </w14:schemeClr>
            </w14:solidFill>
          </w14:textFill>
        </w:rPr>
        <w:t>检查，对电力系统4300个绝缘体的安全性能进行检查，办理消防产品和家用电器举报移送案件4起，对中南市场3个洗涤用品仓库和5家经销商进行排查，检查发现整改问题103个，移送华容、汨罗问题线索</w:t>
      </w:r>
      <w:r>
        <w:rPr>
          <w:rFonts w:hint="eastAsia" w:ascii="Times New Roman" w:hAnsi="Times New Roman" w:eastAsia="仿宋_GB2312" w:cs="黑体"/>
          <w:color w:val="000000"/>
          <w:kern w:val="0"/>
          <w:sz w:val="32"/>
          <w:szCs w:val="32"/>
          <w:highlight w:val="none"/>
          <w:lang w:val="zh-CN" w:eastAsia="zh-CN" w:bidi="ar-SA"/>
        </w:rPr>
        <w:t>3起。</w:t>
      </w:r>
      <w:r>
        <w:rPr>
          <w:rFonts w:hint="eastAsia" w:ascii="Times New Roman" w:hAnsi="Times New Roman" w:eastAsia="仿宋_GB2312" w:cs="黑体"/>
          <w:color w:val="000000"/>
          <w:kern w:val="0"/>
          <w:sz w:val="32"/>
          <w:szCs w:val="32"/>
          <w:highlight w:val="none"/>
          <w:lang w:val="en-US" w:eastAsia="zh-CN" w:bidi="ar-SA"/>
        </w:rPr>
        <w:t>四是开展烟酒市场专项整治。联合岳阳楼区市场监管局、岳阳市公安局食药环支队捣毁制售假酒窝点2个，抓获犯罪嫌疑人3名，查获进口假酒680瓶，国产假酒1260瓶，货值56万元，立案2起，移送公安2起。全市市场监管系统联合烟草部门开展烟草整治行动62次，单独开展烟草市场整治50次，检查烟草经营户658户，立案23起，取缔整改无证经营户35户,其中移送公安机关1起。五是开展价格专项整治。</w:t>
      </w:r>
      <w:r>
        <w:rPr>
          <w:rFonts w:hint="eastAsia" w:ascii="Times New Roman" w:hAnsi="Times New Roman" w:eastAsia="仿宋_GB2312" w:cs="黑体"/>
          <w:color w:val="000000"/>
          <w:kern w:val="0"/>
          <w:sz w:val="32"/>
          <w:szCs w:val="32"/>
          <w:highlight w:val="none"/>
          <w:lang w:val="zh-CN" w:eastAsia="zh-CN" w:bidi="ar-SA"/>
        </w:rPr>
        <w:t>先后开展了协会收费、银行价格、教育、医疗、殡葬、节假日及重大活动期间价格</w:t>
      </w:r>
      <w:r>
        <w:rPr>
          <w:rFonts w:hint="eastAsia" w:ascii="仿宋_GB2312" w:hAnsi="仿宋_GB2312" w:eastAsia="仿宋_GB2312" w:cs="仿宋_GB2312"/>
          <w:b w:val="0"/>
          <w:color w:val="0D0D0D" w:themeColor="text1" w:themeTint="F2"/>
          <w:kern w:val="2"/>
          <w:sz w:val="32"/>
          <w:szCs w:val="32"/>
          <w:lang w:val="zh-CN" w:eastAsia="zh-CN" w:bidi="ar-SA"/>
          <w14:textFill>
            <w14:solidFill>
              <w14:schemeClr w14:val="tx1">
                <w14:lumMod w14:val="95000"/>
                <w14:lumOff w14:val="5000"/>
              </w14:schemeClr>
            </w14:solidFill>
          </w14:textFill>
        </w:rPr>
        <w:t>收费执法检查，共计检查高职院校2所，医院3家，协会4家，殡葬单位2家，银行2家。</w:t>
      </w:r>
      <w:r>
        <w:rPr>
          <w:rFonts w:hint="eastAsia" w:ascii="仿宋_GB2312" w:hAnsi="仿宋_GB2312" w:eastAsia="仿宋_GB2312" w:cs="仿宋_GB2312"/>
          <w:b w:val="0"/>
          <w:color w:val="0D0D0D" w:themeColor="text1" w:themeTint="F2"/>
          <w:kern w:val="2"/>
          <w:sz w:val="32"/>
          <w:szCs w:val="32"/>
          <w:lang w:val="en-US" w:eastAsia="zh-CN" w:bidi="ar-SA"/>
          <w14:textFill>
            <w14:solidFill>
              <w14:schemeClr w14:val="tx1">
                <w14:lumMod w14:val="95000"/>
                <w14:lumOff w14:val="5000"/>
              </w14:schemeClr>
            </w14:solidFill>
          </w14:textFill>
        </w:rPr>
        <w:t>查办案件3起，没收违规收取费用172万元，合计罚没219万元。</w:t>
      </w:r>
    </w:p>
    <w:p>
      <w:pPr>
        <w:pStyle w:val="13"/>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lang w:val="en-US" w:eastAsia="zh-CN"/>
        </w:rPr>
      </w:pPr>
      <w:r>
        <w:rPr>
          <w:rFonts w:hint="eastAsia" w:ascii="楷体" w:hAnsi="楷体" w:eastAsia="楷体" w:cs="楷体"/>
          <w:b/>
          <w:bCs/>
          <w:sz w:val="32"/>
          <w:szCs w:val="32"/>
          <w:lang w:eastAsia="zh-CN"/>
        </w:rPr>
        <w:t>（三）</w:t>
      </w:r>
      <w:r>
        <w:rPr>
          <w:rFonts w:hint="eastAsia" w:ascii="楷体" w:hAnsi="楷体" w:eastAsia="楷体" w:cs="楷体"/>
          <w:b/>
          <w:bCs/>
          <w:sz w:val="32"/>
          <w:szCs w:val="32"/>
        </w:rPr>
        <w:t>存在的问题及原因分析</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Times New Roman" w:hAnsi="Times New Roman" w:eastAsia="仿宋_GB2312" w:cs="Times New Roman"/>
          <w:b w:val="0"/>
          <w:bCs/>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发现的主要问题及原因：一是</w:t>
      </w:r>
      <w:r>
        <w:rPr>
          <w:rFonts w:hint="default" w:ascii="Times New Roman" w:hAnsi="Times New Roman" w:eastAsia="仿宋_GB2312" w:cs="Times New Roman"/>
          <w:color w:val="000000"/>
          <w:kern w:val="0"/>
          <w:sz w:val="32"/>
          <w:szCs w:val="32"/>
          <w:lang w:val="en-US" w:eastAsia="zh-CN" w:bidi="ar-SA"/>
        </w:rPr>
        <w:t>财政财务管理越来越规范，对内部控制管理、资产管理、预算绩效管理、新政府会计制度核算管理等对财务人员专业素质要求越来越高</w:t>
      </w:r>
      <w:r>
        <w:rPr>
          <w:rFonts w:hint="eastAsia" w:ascii="Times New Roman" w:hAnsi="Times New Roman" w:eastAsia="仿宋_GB2312" w:cs="Times New Roman"/>
          <w:color w:val="000000"/>
          <w:kern w:val="0"/>
          <w:sz w:val="32"/>
          <w:szCs w:val="32"/>
          <w:lang w:val="en-US" w:eastAsia="zh-CN" w:bidi="ar-SA"/>
        </w:rPr>
        <w:t>;二是</w:t>
      </w:r>
      <w:r>
        <w:rPr>
          <w:rFonts w:hint="default" w:ascii="Times New Roman" w:hAnsi="Times New Roman" w:eastAsia="仿宋_GB2312" w:cs="Times New Roman"/>
          <w:color w:val="000000"/>
          <w:kern w:val="0"/>
          <w:sz w:val="32"/>
          <w:szCs w:val="32"/>
          <w:lang w:val="en-US" w:eastAsia="zh-CN" w:bidi="ar-SA"/>
        </w:rPr>
        <w:t>虽然实施绩效管理后财政预算资金管理精细化水平已</w:t>
      </w:r>
      <w:r>
        <w:rPr>
          <w:rFonts w:hint="eastAsia" w:ascii="Times New Roman" w:hAnsi="Times New Roman" w:eastAsia="仿宋_GB2312" w:cs="Times New Roman"/>
          <w:color w:val="000000"/>
          <w:kern w:val="0"/>
          <w:sz w:val="32"/>
          <w:szCs w:val="32"/>
          <w:lang w:val="en-US" w:eastAsia="zh-CN" w:bidi="ar-SA"/>
        </w:rPr>
        <w:t>有所</w:t>
      </w:r>
      <w:r>
        <w:rPr>
          <w:rFonts w:hint="default" w:ascii="Times New Roman" w:hAnsi="Times New Roman" w:eastAsia="仿宋_GB2312" w:cs="Times New Roman"/>
          <w:color w:val="000000"/>
          <w:kern w:val="0"/>
          <w:sz w:val="32"/>
          <w:szCs w:val="32"/>
          <w:lang w:val="en-US" w:eastAsia="zh-CN" w:bidi="ar-SA"/>
        </w:rPr>
        <w:t>提高，但在</w:t>
      </w:r>
      <w:r>
        <w:rPr>
          <w:rFonts w:hint="eastAsia" w:ascii="Times New Roman" w:hAnsi="Times New Roman" w:eastAsia="仿宋_GB2312" w:cs="Times New Roman"/>
          <w:color w:val="000000"/>
          <w:kern w:val="0"/>
          <w:sz w:val="32"/>
          <w:szCs w:val="32"/>
          <w:lang w:val="en-US" w:eastAsia="zh-CN" w:bidi="ar-SA"/>
        </w:rPr>
        <w:t>部分</w:t>
      </w:r>
      <w:r>
        <w:rPr>
          <w:rFonts w:hint="default" w:ascii="Times New Roman" w:hAnsi="Times New Roman" w:eastAsia="仿宋_GB2312" w:cs="Times New Roman"/>
          <w:color w:val="000000"/>
          <w:kern w:val="0"/>
          <w:sz w:val="32"/>
          <w:szCs w:val="32"/>
          <w:lang w:val="en-US" w:eastAsia="zh-CN" w:bidi="ar-SA"/>
        </w:rPr>
        <w:t>绩效指标设置的精准性、合理性上有待进一步改善。</w:t>
      </w:r>
      <w:r>
        <w:rPr>
          <w:rFonts w:hint="eastAsia" w:ascii="Times New Roman" w:hAnsi="Times New Roman" w:eastAsia="仿宋_GB2312" w:cs="Times New Roman"/>
          <w:color w:val="000000"/>
          <w:kern w:val="0"/>
          <w:sz w:val="32"/>
          <w:szCs w:val="32"/>
          <w:lang w:val="en-US" w:eastAsia="zh-CN" w:bidi="ar-SA"/>
        </w:rPr>
        <w:t>下一步改进措施：一是</w:t>
      </w:r>
      <w:r>
        <w:rPr>
          <w:rFonts w:hint="default" w:ascii="Times New Roman" w:hAnsi="Times New Roman" w:eastAsia="仿宋_GB2312" w:cs="Times New Roman"/>
          <w:color w:val="000000"/>
          <w:kern w:val="0"/>
          <w:sz w:val="32"/>
          <w:szCs w:val="32"/>
          <w:lang w:val="en-US" w:eastAsia="zh-CN" w:bidi="ar-SA"/>
        </w:rPr>
        <w:t>细化绩效目标的制定，加强预算编制工作的准确性，加强绩效运行监控自评工作，增强单位的支出责任，提高财政资金的使用效益。</w:t>
      </w:r>
      <w:r>
        <w:rPr>
          <w:rFonts w:hint="eastAsia" w:ascii="Times New Roman" w:hAnsi="Times New Roman" w:eastAsia="仿宋_GB2312" w:cs="Times New Roman"/>
          <w:b w:val="0"/>
          <w:bCs/>
          <w:color w:val="000000"/>
          <w:kern w:val="0"/>
          <w:sz w:val="32"/>
          <w:szCs w:val="32"/>
          <w:lang w:val="en-US" w:eastAsia="zh-CN" w:bidi="ar-SA"/>
        </w:rPr>
        <w:t>二是</w:t>
      </w:r>
      <w:r>
        <w:rPr>
          <w:rFonts w:hint="default" w:ascii="Times New Roman" w:hAnsi="Times New Roman" w:eastAsia="仿宋_GB2312" w:cs="Times New Roman"/>
          <w:b w:val="0"/>
          <w:bCs/>
          <w:color w:val="000000"/>
          <w:kern w:val="0"/>
          <w:sz w:val="32"/>
          <w:szCs w:val="32"/>
          <w:lang w:val="en-US" w:eastAsia="zh-CN" w:bidi="ar-SA"/>
        </w:rPr>
        <w:t>规范账务处理，提高财务信息质量。严格按照《会计法》、《行政单位会计制度》、《行政单位财务规则》等规定执行财务核算，并结合实际情况，完整、准确地披露相关信息</w:t>
      </w:r>
      <w:r>
        <w:rPr>
          <w:rFonts w:hint="eastAsia" w:ascii="Times New Roman" w:hAnsi="Times New Roman" w:eastAsia="仿宋_GB2312" w:cs="Times New Roman"/>
          <w:b w:val="0"/>
          <w:bCs/>
          <w:color w:val="000000"/>
          <w:kern w:val="0"/>
          <w:sz w:val="32"/>
          <w:szCs w:val="32"/>
          <w:lang w:val="en-US" w:eastAsia="zh-CN" w:bidi="ar-SA"/>
        </w:rPr>
        <w:t>；三是</w:t>
      </w:r>
      <w:r>
        <w:rPr>
          <w:rFonts w:hint="default" w:ascii="Times New Roman" w:hAnsi="Times New Roman" w:eastAsia="仿宋_GB2312" w:cs="Times New Roman"/>
          <w:b w:val="0"/>
          <w:bCs/>
          <w:color w:val="000000"/>
          <w:kern w:val="0"/>
          <w:sz w:val="32"/>
          <w:szCs w:val="32"/>
          <w:lang w:val="en-US" w:eastAsia="zh-CN" w:bidi="ar-SA"/>
        </w:rPr>
        <w:t>加强行政单位新会计制度和新预算法的学习培训，落实预算执行分析，及时了解预算执行差异，合理调整、纠正预算执行偏差，切实提高部门预算收支管理水平。</w:t>
      </w:r>
    </w:p>
    <w:p>
      <w:pPr>
        <w:autoSpaceDE w:val="0"/>
        <w:autoSpaceDN w:val="0"/>
        <w:adjustRightInd w:val="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预算绩效管理开展情况、绩效目标和绩效评价报告等，已在市政府部门财政预决算公开平台上向社会公开，详见附件。</w:t>
      </w:r>
    </w:p>
    <w:p>
      <w:pPr>
        <w:numPr>
          <w:ilvl w:val="0"/>
          <w:numId w:val="0"/>
        </w:numPr>
        <w:autoSpaceDE w:val="0"/>
        <w:autoSpaceDN w:val="0"/>
        <w:adjustRightInd w:val="0"/>
        <w:jc w:val="left"/>
        <w:rPr>
          <w:rFonts w:hint="eastAsia" w:ascii="楷体" w:hAnsi="楷体" w:eastAsia="楷体" w:cs="楷体"/>
          <w:b/>
          <w:bCs/>
          <w:i w:val="0"/>
          <w:iCs w:val="0"/>
          <w:color w:val="FF0000"/>
          <w:kern w:val="0"/>
          <w:sz w:val="36"/>
          <w:szCs w:val="36"/>
          <w:lang w:val="en-US" w:eastAsia="zh-CN"/>
        </w:rPr>
      </w:pPr>
    </w:p>
    <w:p>
      <w:pPr>
        <w:pStyle w:val="13"/>
        <w:jc w:val="center"/>
        <w:rPr>
          <w:rFonts w:hint="eastAsia" w:ascii="方正小标宋_GBK" w:hAnsi="方正小标宋_GBK" w:eastAsia="方正小标宋_GBK" w:cs="方正小标宋_GBK"/>
          <w:sz w:val="70"/>
          <w:szCs w:val="70"/>
          <w:lang w:eastAsia="zh-CN"/>
        </w:rPr>
      </w:pPr>
    </w:p>
    <w:p>
      <w:pPr>
        <w:pStyle w:val="13"/>
        <w:jc w:val="center"/>
        <w:rPr>
          <w:rFonts w:hint="eastAsia" w:ascii="方正小标宋_GBK" w:hAnsi="方正小标宋_GBK" w:eastAsia="方正小标宋_GBK" w:cs="方正小标宋_GBK"/>
          <w:sz w:val="70"/>
          <w:szCs w:val="70"/>
          <w:lang w:eastAsia="zh-CN"/>
        </w:rPr>
      </w:pPr>
    </w:p>
    <w:p>
      <w:pPr>
        <w:pStyle w:val="13"/>
        <w:jc w:val="both"/>
        <w:rPr>
          <w:rFonts w:hint="eastAsia" w:ascii="方正小标宋_GBK" w:hAnsi="方正小标宋_GBK" w:eastAsia="方正小标宋_GBK" w:cs="方正小标宋_GBK"/>
          <w:sz w:val="72"/>
          <w:szCs w:val="72"/>
        </w:rPr>
      </w:pPr>
    </w:p>
    <w:p>
      <w:pPr>
        <w:pStyle w:val="13"/>
        <w:jc w:val="both"/>
        <w:rPr>
          <w:rFonts w:hint="eastAsia" w:ascii="方正小标宋_GBK" w:hAnsi="方正小标宋_GBK" w:eastAsia="方正小标宋_GBK" w:cs="方正小标宋_GBK"/>
          <w:sz w:val="72"/>
          <w:szCs w:val="72"/>
        </w:rPr>
      </w:pPr>
    </w:p>
    <w:p>
      <w:pPr>
        <w:pStyle w:val="13"/>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hint="eastAsia" w:ascii="方正小标宋_GBK" w:hAnsi="方正小标宋_GBK" w:eastAsia="方正小标宋_GBK" w:cs="方正小标宋_GBK"/>
          <w:color w:val="000000"/>
          <w:kern w:val="0"/>
          <w:sz w:val="70"/>
          <w:szCs w:val="70"/>
        </w:rPr>
      </w:pPr>
    </w:p>
    <w:p>
      <w:pPr>
        <w:pStyle w:val="13"/>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pPr>
        <w:pStyle w:val="8"/>
      </w:pPr>
    </w:p>
    <w:p>
      <w:pPr>
        <w:pStyle w:val="4"/>
      </w:pPr>
    </w:p>
    <w:p/>
    <w:p>
      <w:pPr>
        <w:pStyle w:val="8"/>
      </w:pPr>
    </w:p>
    <w:p>
      <w:pPr>
        <w:pStyle w:val="4"/>
      </w:pPr>
    </w:p>
    <w:p/>
    <w:p>
      <w:pPr>
        <w:pStyle w:val="8"/>
      </w:pPr>
    </w:p>
    <w:p>
      <w:pPr>
        <w:pStyle w:val="4"/>
      </w:pPr>
    </w:p>
    <w:p/>
    <w:p>
      <w:pPr>
        <w:pStyle w:val="8"/>
      </w:pPr>
    </w:p>
    <w:p>
      <w:pPr>
        <w:pStyle w:val="4"/>
      </w:pPr>
    </w:p>
    <w:p/>
    <w:p>
      <w:pPr>
        <w:pStyle w:val="8"/>
      </w:pPr>
    </w:p>
    <w:p>
      <w:pPr>
        <w:pStyle w:val="4"/>
      </w:pPr>
    </w:p>
    <w:p/>
    <w:p>
      <w:pPr>
        <w:pStyle w:val="8"/>
      </w:pP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jc w:val="left"/>
        <w:rPr>
          <w:rFonts w:hint="eastAsia" w:ascii="宋体" w:hAnsi="宋体" w:cs="黑体"/>
          <w:color w:val="000000"/>
          <w:kern w:val="0"/>
          <w:sz w:val="32"/>
          <w:szCs w:val="32"/>
        </w:rPr>
      </w:pPr>
      <w:r>
        <w:rPr>
          <w:rFonts w:hint="eastAsia" w:ascii="仿宋_GB2312" w:hAnsi="仿宋_GB2312" w:eastAsia="仿宋_GB2312" w:cs="仿宋_GB2312"/>
          <w:color w:val="000000"/>
          <w:kern w:val="0"/>
          <w:sz w:val="32"/>
          <w:szCs w:val="32"/>
        </w:rPr>
        <w:t>二、机关运行经费</w:t>
      </w:r>
      <w:r>
        <w:rPr>
          <w:rFonts w:hint="eastAsia" w:ascii="仿宋_GB2312" w:hAnsi="仿宋_GB2312" w:eastAsia="仿宋_GB2312" w:cs="仿宋_GB2312"/>
          <w:color w:val="000000"/>
          <w:kern w:val="0"/>
          <w:sz w:val="32"/>
          <w:szCs w:val="32"/>
          <w:lang w:eastAsia="zh-CN"/>
        </w:rPr>
        <w:t>，指为保障行政单位（包括参照公务员法管理的事业单位）运行用于购买货物和服务的各项资金</w:t>
      </w:r>
      <w:r>
        <w:rPr>
          <w:rFonts w:hint="eastAsia" w:ascii="仿宋_GB2312" w:hAnsi="仿宋_GB2312" w:eastAsia="仿宋_GB2312" w:cs="仿宋_GB2312"/>
          <w:color w:val="000000"/>
          <w:kern w:val="0"/>
          <w:sz w:val="32"/>
          <w:szCs w:val="32"/>
        </w:rPr>
        <w:t>，包括办公</w:t>
      </w:r>
      <w:r>
        <w:rPr>
          <w:rFonts w:hint="eastAsia" w:ascii="仿宋_GB2312" w:hAnsi="仿宋_GB2312" w:eastAsia="仿宋_GB2312" w:cs="仿宋_GB2312"/>
          <w:color w:val="000000"/>
          <w:kern w:val="0"/>
          <w:sz w:val="32"/>
          <w:szCs w:val="32"/>
          <w:lang w:eastAsia="zh-CN"/>
        </w:rPr>
        <w:t>费、</w:t>
      </w:r>
      <w:r>
        <w:rPr>
          <w:rFonts w:hint="eastAsia" w:ascii="仿宋_GB2312" w:hAnsi="仿宋_GB2312" w:eastAsia="仿宋_GB2312" w:cs="仿宋_GB2312"/>
          <w:color w:val="000000"/>
          <w:kern w:val="0"/>
          <w:sz w:val="32"/>
          <w:szCs w:val="32"/>
        </w:rPr>
        <w:t>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三、财政拨款收入：是指市级财政当年拨付的资金。</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四、年初结转和结余：是指以前年度支出预算因客观条件变化未执行完毕、结转到本年度按有关规定继续使用的资金。</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五、基本支出：是指为保障机构正常运转、完成日常工作任务所必需的开支，其内容包括人员经费和日常公用经费两部分。</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六、项目支出：是指在基本支出之外，为完成特定的行政工作任务或事业发展目标所发生的支出。</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七、一般公共服务（类）：是指用于保障机构正常运行、开展业务等活动的支出。行政运行（项）：是指为保障市委政法委各行政机构正常运转、完成日常工作任务安排的支出。</w:t>
      </w:r>
    </w:p>
    <w:p/>
    <w:p>
      <w:pPr>
        <w:pStyle w:val="8"/>
      </w:pPr>
    </w:p>
    <w:p>
      <w:pPr>
        <w:pStyle w:val="4"/>
      </w:pPr>
    </w:p>
    <w:p/>
    <w:p>
      <w:pPr>
        <w:pStyle w:val="8"/>
      </w:pPr>
    </w:p>
    <w:p>
      <w:pPr>
        <w:pStyle w:val="4"/>
      </w:pPr>
    </w:p>
    <w:p/>
    <w:p>
      <w:pPr>
        <w:pStyle w:val="8"/>
      </w:pPr>
    </w:p>
    <w:p>
      <w:pPr>
        <w:pStyle w:val="4"/>
      </w:pPr>
    </w:p>
    <w:p/>
    <w:p>
      <w:pPr>
        <w:pStyle w:val="8"/>
      </w:pPr>
    </w:p>
    <w:p>
      <w:pPr>
        <w:pStyle w:val="4"/>
      </w:pPr>
    </w:p>
    <w:p/>
    <w:p>
      <w:pPr>
        <w:pStyle w:val="8"/>
      </w:pPr>
    </w:p>
    <w:p>
      <w:pPr>
        <w:pStyle w:val="4"/>
      </w:pPr>
    </w:p>
    <w:p>
      <w:pPr>
        <w:pStyle w:val="13"/>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pPr>
        <w:pStyle w:val="13"/>
        <w:jc w:val="both"/>
        <w:rPr>
          <w:rFonts w:hint="eastAsia" w:ascii="方正小标宋_GBK" w:hAnsi="方正小标宋_GBK" w:eastAsia="方正小标宋_GBK" w:cs="方正小标宋_GBK"/>
          <w:sz w:val="70"/>
          <w:szCs w:val="70"/>
          <w:lang w:eastAsia="zh-CN"/>
        </w:rPr>
      </w:pPr>
    </w:p>
    <w:p>
      <w:pPr>
        <w:pStyle w:val="13"/>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pPr>
        <w:ind w:firstLine="640" w:firstLineChars="200"/>
        <w:jc w:val="left"/>
        <w:rPr>
          <w:rFonts w:hint="eastAsia" w:ascii="宋体" w:hAnsi="宋体" w:eastAsia="宋体" w:cs="黑体"/>
          <w:b/>
          <w:color w:val="000000"/>
          <w:kern w:val="0"/>
          <w:sz w:val="32"/>
          <w:szCs w:val="32"/>
          <w:lang w:val="en-US" w:eastAsia="zh-CN"/>
        </w:rPr>
      </w:pPr>
    </w:p>
    <w:p>
      <w:pPr>
        <w:pStyle w:val="2"/>
        <w:rPr>
          <w:rFonts w:hint="eastAsia" w:ascii="宋体" w:hAnsi="宋体" w:eastAsia="宋体" w:cs="黑体"/>
          <w:b/>
          <w:color w:val="000000"/>
          <w:kern w:val="0"/>
          <w:sz w:val="32"/>
          <w:szCs w:val="32"/>
          <w:lang w:val="en-US" w:eastAsia="zh-CN"/>
        </w:rPr>
      </w:pPr>
    </w:p>
    <w:p>
      <w:pPr>
        <w:pStyle w:val="2"/>
        <w:ind w:left="0" w:leftChars="0" w:firstLine="0" w:firstLineChars="0"/>
        <w:rPr>
          <w:rFonts w:hint="eastAsia" w:ascii="宋体" w:hAnsi="宋体" w:eastAsia="宋体" w:cs="黑体"/>
          <w:b/>
          <w:color w:val="000000"/>
          <w:kern w:val="0"/>
          <w:sz w:val="32"/>
          <w:szCs w:val="32"/>
          <w:lang w:val="en-US" w:eastAsia="zh-CN"/>
        </w:rPr>
      </w:pPr>
    </w:p>
    <w:p>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1、2023年部门决算公开表格</w:t>
      </w:r>
    </w:p>
    <w:p>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rPr>
        <w:t>202</w:t>
      </w:r>
      <w:r>
        <w:rPr>
          <w:rFonts w:hint="eastAsia" w:ascii="宋体" w:hAnsi="宋体" w:eastAsia="宋体" w:cs="黑体"/>
          <w:b/>
          <w:color w:val="000000"/>
          <w:kern w:val="0"/>
          <w:sz w:val="32"/>
          <w:szCs w:val="32"/>
          <w:lang w:val="en-US" w:eastAsia="zh-CN"/>
        </w:rPr>
        <w:t>3</w:t>
      </w:r>
      <w:r>
        <w:rPr>
          <w:rFonts w:hint="eastAsia" w:ascii="宋体" w:hAnsi="宋体" w:eastAsia="宋体" w:cs="黑体"/>
          <w:b/>
          <w:color w:val="000000"/>
          <w:kern w:val="0"/>
          <w:sz w:val="32"/>
          <w:szCs w:val="32"/>
        </w:rPr>
        <w:t>年度部门整体支出绩效评价报告</w:t>
      </w:r>
    </w:p>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E9FD83"/>
    <w:multiLevelType w:val="singleLevel"/>
    <w:tmpl w:val="ADE9FD83"/>
    <w:lvl w:ilvl="0" w:tentative="0">
      <w:start w:val="1"/>
      <w:numFmt w:val="decimal"/>
      <w:suff w:val="nothing"/>
      <w:lvlText w:val="%1、"/>
      <w:lvlJc w:val="left"/>
    </w:lvl>
  </w:abstractNum>
  <w:abstractNum w:abstractNumId="1">
    <w:nsid w:val="DF2F0C66"/>
    <w:multiLevelType w:val="singleLevel"/>
    <w:tmpl w:val="DF2F0C66"/>
    <w:lvl w:ilvl="0" w:tentative="0">
      <w:start w:val="5"/>
      <w:numFmt w:val="chineseCounting"/>
      <w:suff w:val="nothing"/>
      <w:lvlText w:val="%1、"/>
      <w:lvlJc w:val="left"/>
      <w:rPr>
        <w:rFonts w:hint="eastAsia"/>
      </w:rPr>
    </w:lvl>
  </w:abstractNum>
  <w:abstractNum w:abstractNumId="2">
    <w:nsid w:val="FD3C592D"/>
    <w:multiLevelType w:val="singleLevel"/>
    <w:tmpl w:val="FD3C592D"/>
    <w:lvl w:ilvl="0" w:tentative="0">
      <w:start w:val="9"/>
      <w:numFmt w:val="decimal"/>
      <w:suff w:val="nothing"/>
      <w:lvlText w:val="%1、"/>
      <w:lvlJc w:val="left"/>
    </w:lvl>
  </w:abstractNum>
  <w:abstractNum w:abstractNumId="3">
    <w:nsid w:val="FFE5A7E4"/>
    <w:multiLevelType w:val="singleLevel"/>
    <w:tmpl w:val="FFE5A7E4"/>
    <w:lvl w:ilvl="0" w:tentative="0">
      <w:start w:val="2"/>
      <w:numFmt w:val="chineseCounting"/>
      <w:suff w:val="nothing"/>
      <w:lvlText w:val="（%1）"/>
      <w:lvlJc w:val="left"/>
      <w:rPr>
        <w:rFonts w:hint="eastAsia"/>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yZmI0ZjM1OWUwYWUzNWQwY2QzMGJkOTNiMGE2MTMifQ=="/>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4653D87"/>
    <w:rsid w:val="059958AD"/>
    <w:rsid w:val="077D6999"/>
    <w:rsid w:val="0E8828C9"/>
    <w:rsid w:val="12583BA5"/>
    <w:rsid w:val="12A939F1"/>
    <w:rsid w:val="13BA5B9C"/>
    <w:rsid w:val="15FFE158"/>
    <w:rsid w:val="1AA848C5"/>
    <w:rsid w:val="1D1D725D"/>
    <w:rsid w:val="1D97DEFF"/>
    <w:rsid w:val="1DFF72E5"/>
    <w:rsid w:val="1EDFF9D8"/>
    <w:rsid w:val="1EFC6F07"/>
    <w:rsid w:val="1FE58E4A"/>
    <w:rsid w:val="22AC03C2"/>
    <w:rsid w:val="27BED8F8"/>
    <w:rsid w:val="27F6AB90"/>
    <w:rsid w:val="29D3D777"/>
    <w:rsid w:val="2BBEF3A3"/>
    <w:rsid w:val="2C7D2470"/>
    <w:rsid w:val="2F223C90"/>
    <w:rsid w:val="2FDF85B8"/>
    <w:rsid w:val="2FFFEE04"/>
    <w:rsid w:val="31C95635"/>
    <w:rsid w:val="34DF85B0"/>
    <w:rsid w:val="37AFD78A"/>
    <w:rsid w:val="3A73C160"/>
    <w:rsid w:val="3AF68AF5"/>
    <w:rsid w:val="3B8F36BC"/>
    <w:rsid w:val="3CDDB7EB"/>
    <w:rsid w:val="3DDF5595"/>
    <w:rsid w:val="3EC179C2"/>
    <w:rsid w:val="3EDF47DE"/>
    <w:rsid w:val="3F7700D5"/>
    <w:rsid w:val="3FFF275D"/>
    <w:rsid w:val="46E73EC3"/>
    <w:rsid w:val="46EA4A83"/>
    <w:rsid w:val="491FF225"/>
    <w:rsid w:val="4F6F1D4D"/>
    <w:rsid w:val="4F6FFF3F"/>
    <w:rsid w:val="4FCAE485"/>
    <w:rsid w:val="4FFD214C"/>
    <w:rsid w:val="5352765A"/>
    <w:rsid w:val="5582132A"/>
    <w:rsid w:val="573E9604"/>
    <w:rsid w:val="5777D4F5"/>
    <w:rsid w:val="57DA31D1"/>
    <w:rsid w:val="595B1A70"/>
    <w:rsid w:val="59DD8326"/>
    <w:rsid w:val="5BBDA663"/>
    <w:rsid w:val="5D7F8600"/>
    <w:rsid w:val="5DBAE448"/>
    <w:rsid w:val="5DEF592A"/>
    <w:rsid w:val="5EA5CA18"/>
    <w:rsid w:val="5ED7F6A9"/>
    <w:rsid w:val="5EDDF8EE"/>
    <w:rsid w:val="5EE75767"/>
    <w:rsid w:val="5EFBE5E6"/>
    <w:rsid w:val="5F591255"/>
    <w:rsid w:val="5F7EDDF8"/>
    <w:rsid w:val="5FB76111"/>
    <w:rsid w:val="5FBE677B"/>
    <w:rsid w:val="5FBE7196"/>
    <w:rsid w:val="5FBF30DD"/>
    <w:rsid w:val="5FC6BB1E"/>
    <w:rsid w:val="5FF720F1"/>
    <w:rsid w:val="6291178B"/>
    <w:rsid w:val="63CA3C46"/>
    <w:rsid w:val="63FFC9A8"/>
    <w:rsid w:val="64833355"/>
    <w:rsid w:val="673E5CA5"/>
    <w:rsid w:val="67FF5C0B"/>
    <w:rsid w:val="69EFB795"/>
    <w:rsid w:val="6B7FDD8F"/>
    <w:rsid w:val="6BAA4A2F"/>
    <w:rsid w:val="6DB32BE6"/>
    <w:rsid w:val="6E5BDB20"/>
    <w:rsid w:val="6E5D68B7"/>
    <w:rsid w:val="6E7FE13A"/>
    <w:rsid w:val="6EF7E516"/>
    <w:rsid w:val="6EFC0924"/>
    <w:rsid w:val="6F3A0388"/>
    <w:rsid w:val="6FB74722"/>
    <w:rsid w:val="6FBE42BA"/>
    <w:rsid w:val="6FEF8B7E"/>
    <w:rsid w:val="71A6591B"/>
    <w:rsid w:val="727F77B0"/>
    <w:rsid w:val="72DF511D"/>
    <w:rsid w:val="737D59BA"/>
    <w:rsid w:val="737F32B1"/>
    <w:rsid w:val="73BAB1C4"/>
    <w:rsid w:val="746F5CA5"/>
    <w:rsid w:val="74DF629E"/>
    <w:rsid w:val="75B7CE77"/>
    <w:rsid w:val="767400E1"/>
    <w:rsid w:val="777D5781"/>
    <w:rsid w:val="777E1EB1"/>
    <w:rsid w:val="77AD94F4"/>
    <w:rsid w:val="77C37683"/>
    <w:rsid w:val="77E71B3D"/>
    <w:rsid w:val="77F3D939"/>
    <w:rsid w:val="77F7DF60"/>
    <w:rsid w:val="786F307E"/>
    <w:rsid w:val="79FF515B"/>
    <w:rsid w:val="7ABF9F77"/>
    <w:rsid w:val="7BE361F5"/>
    <w:rsid w:val="7BEA27C8"/>
    <w:rsid w:val="7C751E99"/>
    <w:rsid w:val="7C795256"/>
    <w:rsid w:val="7CB7B673"/>
    <w:rsid w:val="7CFF494B"/>
    <w:rsid w:val="7D4D4D84"/>
    <w:rsid w:val="7DA74CE6"/>
    <w:rsid w:val="7DD72316"/>
    <w:rsid w:val="7DEBA61E"/>
    <w:rsid w:val="7DFB57A7"/>
    <w:rsid w:val="7DFFC0C7"/>
    <w:rsid w:val="7E9E1962"/>
    <w:rsid w:val="7E9F11B4"/>
    <w:rsid w:val="7ED349D9"/>
    <w:rsid w:val="7EDFB7A3"/>
    <w:rsid w:val="7EFA05C3"/>
    <w:rsid w:val="7EFFA334"/>
    <w:rsid w:val="7F286619"/>
    <w:rsid w:val="7F37EC1E"/>
    <w:rsid w:val="7F56917B"/>
    <w:rsid w:val="7F741099"/>
    <w:rsid w:val="7F7D403B"/>
    <w:rsid w:val="7F7DCD9D"/>
    <w:rsid w:val="7F7F8B19"/>
    <w:rsid w:val="7F970A6F"/>
    <w:rsid w:val="7FBD27BA"/>
    <w:rsid w:val="7FC1FFF3"/>
    <w:rsid w:val="7FC69637"/>
    <w:rsid w:val="7FCA2529"/>
    <w:rsid w:val="7FD9CD30"/>
    <w:rsid w:val="7FDF8620"/>
    <w:rsid w:val="7FE725F6"/>
    <w:rsid w:val="7FF6A5EB"/>
    <w:rsid w:val="7FFB242F"/>
    <w:rsid w:val="7FFDB408"/>
    <w:rsid w:val="7FFE4EEB"/>
    <w:rsid w:val="7FFF1522"/>
    <w:rsid w:val="95FB2B98"/>
    <w:rsid w:val="9A639BC2"/>
    <w:rsid w:val="9F3CBED0"/>
    <w:rsid w:val="9FF7D786"/>
    <w:rsid w:val="9FFFED6C"/>
    <w:rsid w:val="ABBEA4E3"/>
    <w:rsid w:val="ABBFB23D"/>
    <w:rsid w:val="ADB7AFE4"/>
    <w:rsid w:val="AFB9788E"/>
    <w:rsid w:val="B3AD5133"/>
    <w:rsid w:val="B6AE3A24"/>
    <w:rsid w:val="BAEDE47A"/>
    <w:rsid w:val="BBBDDCD6"/>
    <w:rsid w:val="BFDFE819"/>
    <w:rsid w:val="C3B4DA5A"/>
    <w:rsid w:val="CBFF70E0"/>
    <w:rsid w:val="CBFF73EA"/>
    <w:rsid w:val="CDF7DAB1"/>
    <w:rsid w:val="CFF50B82"/>
    <w:rsid w:val="CFFFAD89"/>
    <w:rsid w:val="D4BD6491"/>
    <w:rsid w:val="D4FFE2ED"/>
    <w:rsid w:val="D717A4A4"/>
    <w:rsid w:val="D77FAD3D"/>
    <w:rsid w:val="DBCF7157"/>
    <w:rsid w:val="DCFEE50D"/>
    <w:rsid w:val="DDF3C9A8"/>
    <w:rsid w:val="DEFE1569"/>
    <w:rsid w:val="DFA7A93D"/>
    <w:rsid w:val="DFDBFFA4"/>
    <w:rsid w:val="DFF5B2E1"/>
    <w:rsid w:val="DFF7E815"/>
    <w:rsid w:val="DFFE359E"/>
    <w:rsid w:val="DFFE4FFD"/>
    <w:rsid w:val="E7DF1A0D"/>
    <w:rsid w:val="EAEF2A08"/>
    <w:rsid w:val="EBD7E300"/>
    <w:rsid w:val="EC3F249C"/>
    <w:rsid w:val="ED77AC1D"/>
    <w:rsid w:val="ED9B571F"/>
    <w:rsid w:val="EDAEA887"/>
    <w:rsid w:val="EDF7C2B8"/>
    <w:rsid w:val="EDFF9877"/>
    <w:rsid w:val="EDFFD3EE"/>
    <w:rsid w:val="EEABED75"/>
    <w:rsid w:val="EEEA9AB0"/>
    <w:rsid w:val="EF677C0B"/>
    <w:rsid w:val="EF8D23D2"/>
    <w:rsid w:val="EFAA4A75"/>
    <w:rsid w:val="EFCD55E1"/>
    <w:rsid w:val="EFDA69A8"/>
    <w:rsid w:val="EFDB2E1B"/>
    <w:rsid w:val="EFDFD3C8"/>
    <w:rsid w:val="EFE78604"/>
    <w:rsid w:val="F0FF2D2B"/>
    <w:rsid w:val="F1B7AA1F"/>
    <w:rsid w:val="F2FFBA48"/>
    <w:rsid w:val="F31D910D"/>
    <w:rsid w:val="F3FEEB98"/>
    <w:rsid w:val="F56FDF51"/>
    <w:rsid w:val="F6B69F17"/>
    <w:rsid w:val="F7732FF7"/>
    <w:rsid w:val="F77F1D61"/>
    <w:rsid w:val="F79FBBFD"/>
    <w:rsid w:val="F7D9EE35"/>
    <w:rsid w:val="F7FC1CA5"/>
    <w:rsid w:val="F7FED3A9"/>
    <w:rsid w:val="F8C9DB26"/>
    <w:rsid w:val="F8E42E65"/>
    <w:rsid w:val="F8FF8B0F"/>
    <w:rsid w:val="F91F849E"/>
    <w:rsid w:val="F97E8EAE"/>
    <w:rsid w:val="F9DC6B95"/>
    <w:rsid w:val="FA948C71"/>
    <w:rsid w:val="FACAE313"/>
    <w:rsid w:val="FB36E1A6"/>
    <w:rsid w:val="FB3BE134"/>
    <w:rsid w:val="FBFD0396"/>
    <w:rsid w:val="FCCE22F3"/>
    <w:rsid w:val="FCFF4275"/>
    <w:rsid w:val="FD0F138C"/>
    <w:rsid w:val="FD67424D"/>
    <w:rsid w:val="FD7FEEEA"/>
    <w:rsid w:val="FD95AF3D"/>
    <w:rsid w:val="FDBF4B9A"/>
    <w:rsid w:val="FDFE0B10"/>
    <w:rsid w:val="FDFF0BA5"/>
    <w:rsid w:val="FDFF65C8"/>
    <w:rsid w:val="FDFFB577"/>
    <w:rsid w:val="FEEA50FE"/>
    <w:rsid w:val="FF7D47A9"/>
    <w:rsid w:val="FF9F06CD"/>
    <w:rsid w:val="FFAD79DF"/>
    <w:rsid w:val="FFBEA77F"/>
    <w:rsid w:val="FFBF786A"/>
    <w:rsid w:val="FFC63D92"/>
    <w:rsid w:val="FFCF21CB"/>
    <w:rsid w:val="FFDF513A"/>
    <w:rsid w:val="FFE75DF3"/>
    <w:rsid w:val="FFEFBD3E"/>
    <w:rsid w:val="FFF3D7B4"/>
    <w:rsid w:val="FFFB64E9"/>
    <w:rsid w:val="FFFF1C8B"/>
    <w:rsid w:val="FFFFB5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List Paragraph_a0f507d5-6e28-4914-b37f-020b7d2b0f7c"/>
    <w:basedOn w:val="1"/>
    <w:qFormat/>
    <w:uiPriority w:val="0"/>
    <w:pPr>
      <w:ind w:firstLine="420" w:firstLineChars="200"/>
    </w:pPr>
  </w:style>
  <w:style w:type="paragraph" w:styleId="3">
    <w:name w:val="Body Text Indent"/>
    <w:basedOn w:val="1"/>
    <w:next w:val="4"/>
    <w:unhideWhenUsed/>
    <w:qFormat/>
    <w:uiPriority w:val="99"/>
    <w:pPr>
      <w:widowControl/>
      <w:spacing w:after="120"/>
      <w:ind w:left="420" w:leftChars="200"/>
      <w:jc w:val="left"/>
    </w:pPr>
    <w:rPr>
      <w:rFonts w:ascii="宋体" w:hAnsi="宋体" w:eastAsia="宋体" w:cs="宋体"/>
      <w:kern w:val="0"/>
      <w:sz w:val="24"/>
    </w:rPr>
  </w:style>
  <w:style w:type="paragraph" w:styleId="4">
    <w:name w:val="Body Text First Indent 2"/>
    <w:basedOn w:val="3"/>
    <w:next w:val="1"/>
    <w:unhideWhenUsed/>
    <w:qFormat/>
    <w:uiPriority w:val="99"/>
    <w:pPr>
      <w:ind w:firstLine="420" w:firstLineChars="200"/>
    </w:pPr>
  </w:style>
  <w:style w:type="paragraph" w:styleId="5">
    <w:name w:val="Balloon Text"/>
    <w:basedOn w:val="1"/>
    <w:link w:val="15"/>
    <w:semiHidden/>
    <w:unhideWhenUsed/>
    <w:qFormat/>
    <w:uiPriority w:val="99"/>
    <w:rPr>
      <w:sz w:val="18"/>
      <w:szCs w:val="18"/>
    </w:r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next w:val="4"/>
    <w:semiHidden/>
    <w:qFormat/>
    <w:uiPriority w:val="0"/>
    <w:pPr>
      <w:snapToGrid w:val="0"/>
      <w:jc w:val="left"/>
    </w:pPr>
    <w:rPr>
      <w:sz w:val="18"/>
      <w:szCs w:val="18"/>
    </w:rPr>
  </w:style>
  <w:style w:type="character" w:customStyle="1" w:styleId="11">
    <w:name w:val="页眉 Char"/>
    <w:basedOn w:val="10"/>
    <w:link w:val="7"/>
    <w:qFormat/>
    <w:uiPriority w:val="99"/>
    <w:rPr>
      <w:sz w:val="18"/>
      <w:szCs w:val="18"/>
    </w:rPr>
  </w:style>
  <w:style w:type="character" w:customStyle="1" w:styleId="12">
    <w:name w:val="页脚 Char"/>
    <w:basedOn w:val="10"/>
    <w:link w:val="6"/>
    <w:qFormat/>
    <w:uiPriority w:val="99"/>
    <w:rPr>
      <w:sz w:val="18"/>
      <w:szCs w:val="18"/>
    </w:rPr>
  </w:style>
  <w:style w:type="paragraph" w:customStyle="1" w:styleId="13">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4">
    <w:name w:val="List Paragraph"/>
    <w:basedOn w:val="1"/>
    <w:qFormat/>
    <w:uiPriority w:val="34"/>
    <w:pPr>
      <w:ind w:firstLine="420" w:firstLineChars="200"/>
    </w:pPr>
  </w:style>
  <w:style w:type="character" w:customStyle="1" w:styleId="15">
    <w:name w:val="批注框文本 Char"/>
    <w:basedOn w:val="10"/>
    <w:link w:val="5"/>
    <w:semiHidden/>
    <w:qFormat/>
    <w:uiPriority w:val="99"/>
    <w:rPr>
      <w:sz w:val="18"/>
      <w:szCs w:val="18"/>
    </w:rPr>
  </w:style>
  <w:style w:type="character" w:customStyle="1" w:styleId="16">
    <w:name w:val="font01"/>
    <w:basedOn w:val="10"/>
    <w:qFormat/>
    <w:uiPriority w:val="0"/>
    <w:rPr>
      <w:rFonts w:hint="eastAsia" w:ascii="宋体" w:hAnsi="宋体" w:eastAsia="宋体" w:cs="宋体"/>
      <w:color w:val="000000"/>
      <w:sz w:val="22"/>
      <w:szCs w:val="22"/>
      <w:u w:val="none"/>
    </w:rPr>
  </w:style>
  <w:style w:type="character" w:customStyle="1" w:styleId="17">
    <w:name w:val="font21"/>
    <w:basedOn w:val="10"/>
    <w:qFormat/>
    <w:uiPriority w:val="0"/>
    <w:rPr>
      <w:rFonts w:hint="eastAsia" w:ascii="宋体" w:hAnsi="宋体" w:eastAsia="宋体" w:cs="宋体"/>
      <w:color w:val="000000"/>
      <w:sz w:val="24"/>
      <w:szCs w:val="24"/>
      <w:u w:val="none"/>
    </w:rPr>
  </w:style>
  <w:style w:type="character" w:customStyle="1" w:styleId="18">
    <w:name w:val="font11"/>
    <w:basedOn w:val="10"/>
    <w:qFormat/>
    <w:uiPriority w:val="0"/>
    <w:rPr>
      <w:rFonts w:hint="eastAsia" w:ascii="宋体" w:hAnsi="宋体" w:eastAsia="宋体" w:cs="宋体"/>
      <w:color w:val="000000"/>
      <w:sz w:val="24"/>
      <w:szCs w:val="24"/>
      <w:u w:val="none"/>
    </w:rPr>
  </w:style>
  <w:style w:type="paragraph" w:customStyle="1" w:styleId="19">
    <w:name w:val="样式2"/>
    <w:basedOn w:val="1"/>
    <w:qFormat/>
    <w:uiPriority w:val="0"/>
    <w:pPr>
      <w:widowControl/>
      <w:shd w:val="clear" w:color="auto" w:fill="FFFFFF"/>
      <w:spacing w:before="100" w:beforeAutospacing="1" w:after="100" w:afterAutospacing="1"/>
      <w:ind w:left="562"/>
      <w:jc w:val="center"/>
    </w:pPr>
    <w:rPr>
      <w:rFonts w:ascii="宋体" w:hAnsi="宋体"/>
      <w:b/>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18</Pages>
  <Words>7504</Words>
  <Characters>8243</Characters>
  <Lines>63</Lines>
  <Paragraphs>18</Paragraphs>
  <TotalTime>1209</TotalTime>
  <ScaleCrop>false</ScaleCrop>
  <LinksUpToDate>false</LinksUpToDate>
  <CharactersWithSpaces>8254</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2020-07-11T02:32:00Z</dcterms:created>
  <dc:creator>李航 null</dc:creator>
  <cp:lastModifiedBy>yyadmin</cp:lastModifiedBy>
  <cp:lastPrinted>2024-08-11T10:20:00Z</cp:lastPrinted>
  <dcterms:modified xsi:type="dcterms:W3CDTF">2025-07-30T11:29:59Z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D41668A6B25541679B0757B72B3AE413_13</vt:lpwstr>
  </property>
</Properties>
</file>