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FFAA8">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2023年度岳阳市信访局整体支出</w:t>
      </w:r>
    </w:p>
    <w:p w14:paraId="241D03C0">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14:paraId="67D42216">
      <w:pPr>
        <w:jc w:val="center"/>
        <w:rPr>
          <w:rFonts w:ascii="Times New Roman" w:hAnsi="Times New Roman" w:eastAsia="方正小标宋_GBK"/>
          <w:b/>
          <w:sz w:val="52"/>
          <w:szCs w:val="52"/>
        </w:rPr>
      </w:pPr>
    </w:p>
    <w:p w14:paraId="7A0ED581">
      <w:pPr>
        <w:jc w:val="center"/>
        <w:rPr>
          <w:rFonts w:ascii="Times New Roman" w:hAnsi="Times New Roman" w:eastAsia="楷体_GB2312"/>
          <w:b/>
          <w:sz w:val="32"/>
          <w:szCs w:val="32"/>
        </w:rPr>
      </w:pPr>
    </w:p>
    <w:p w14:paraId="1C9C0E04">
      <w:pPr>
        <w:jc w:val="center"/>
        <w:rPr>
          <w:rFonts w:ascii="Times New Roman" w:hAnsi="Times New Roman" w:eastAsia="楷体_GB2312"/>
          <w:b/>
          <w:sz w:val="32"/>
          <w:szCs w:val="32"/>
        </w:rPr>
      </w:pPr>
    </w:p>
    <w:p w14:paraId="10085300">
      <w:pPr>
        <w:jc w:val="center"/>
        <w:rPr>
          <w:rFonts w:ascii="Times New Roman" w:hAnsi="Times New Roman" w:eastAsia="楷体_GB2312"/>
          <w:b/>
          <w:sz w:val="32"/>
          <w:szCs w:val="32"/>
        </w:rPr>
      </w:pPr>
    </w:p>
    <w:p w14:paraId="21DE272F">
      <w:pPr>
        <w:jc w:val="center"/>
        <w:rPr>
          <w:rFonts w:ascii="Times New Roman" w:hAnsi="Times New Roman" w:eastAsia="楷体_GB2312"/>
          <w:b/>
          <w:sz w:val="32"/>
          <w:szCs w:val="32"/>
        </w:rPr>
      </w:pPr>
    </w:p>
    <w:p w14:paraId="4ADAE301">
      <w:pPr>
        <w:jc w:val="center"/>
        <w:rPr>
          <w:rFonts w:ascii="Times New Roman" w:hAnsi="Times New Roman" w:eastAsia="楷体_GB2312"/>
          <w:b/>
          <w:sz w:val="32"/>
          <w:szCs w:val="32"/>
        </w:rPr>
      </w:pPr>
    </w:p>
    <w:p w14:paraId="2B22F8AC">
      <w:pPr>
        <w:jc w:val="center"/>
        <w:rPr>
          <w:rFonts w:ascii="Times New Roman" w:hAnsi="Times New Roman" w:eastAsia="楷体_GB2312"/>
          <w:b/>
          <w:sz w:val="32"/>
          <w:szCs w:val="32"/>
        </w:rPr>
      </w:pPr>
    </w:p>
    <w:p w14:paraId="18341BE8">
      <w:pPr>
        <w:jc w:val="center"/>
        <w:rPr>
          <w:rFonts w:ascii="Times New Roman" w:hAnsi="Times New Roman" w:eastAsia="黑体"/>
          <w:sz w:val="32"/>
          <w:szCs w:val="32"/>
        </w:rPr>
      </w:pPr>
    </w:p>
    <w:p w14:paraId="41D14E3E">
      <w:pPr>
        <w:jc w:val="center"/>
        <w:rPr>
          <w:rFonts w:ascii="Times New Roman" w:hAnsi="Times New Roman" w:eastAsia="黑体"/>
          <w:sz w:val="32"/>
          <w:szCs w:val="32"/>
        </w:rPr>
      </w:pPr>
    </w:p>
    <w:p w14:paraId="50335FF3">
      <w:pPr>
        <w:jc w:val="center"/>
        <w:rPr>
          <w:rFonts w:ascii="Times New Roman" w:hAnsi="Times New Roman" w:eastAsia="黑体"/>
          <w:sz w:val="32"/>
          <w:szCs w:val="32"/>
        </w:rPr>
      </w:pPr>
    </w:p>
    <w:p w14:paraId="6613D781">
      <w:pPr>
        <w:rPr>
          <w:rFonts w:ascii="Times New Roman" w:hAnsi="Times New Roman" w:eastAsia="黑体"/>
          <w:sz w:val="32"/>
          <w:szCs w:val="32"/>
        </w:rPr>
      </w:pPr>
    </w:p>
    <w:p w14:paraId="44F0DC42">
      <w:pPr>
        <w:jc w:val="center"/>
        <w:rPr>
          <w:rFonts w:ascii="Times New Roman" w:hAnsi="Times New Roman" w:eastAsia="黑体"/>
          <w:sz w:val="32"/>
          <w:szCs w:val="32"/>
        </w:rPr>
      </w:pPr>
    </w:p>
    <w:p w14:paraId="3DF19E4F">
      <w:pPr>
        <w:jc w:val="center"/>
        <w:rPr>
          <w:rFonts w:ascii="Times New Roman" w:hAnsi="Times New Roman" w:eastAsia="黑体"/>
          <w:sz w:val="32"/>
          <w:szCs w:val="32"/>
        </w:rPr>
      </w:pPr>
    </w:p>
    <w:p w14:paraId="0994C743">
      <w:pPr>
        <w:jc w:val="center"/>
        <w:rPr>
          <w:rFonts w:ascii="Times New Roman" w:hAnsi="Times New Roman" w:eastAsia="黑体"/>
          <w:sz w:val="32"/>
          <w:szCs w:val="32"/>
        </w:rPr>
      </w:pPr>
    </w:p>
    <w:p w14:paraId="5F4DAC5C">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ascii="Times New Roman" w:hAnsi="Times New Roman" w:eastAsia="仿宋_GB2312"/>
          <w:sz w:val="32"/>
          <w:szCs w:val="32"/>
          <w:u w:val="single"/>
        </w:rPr>
        <w:t>（盖章）</w:t>
      </w:r>
    </w:p>
    <w:p w14:paraId="6171EDE2">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2024</w:t>
      </w:r>
      <w:r>
        <w:rPr>
          <w:rFonts w:ascii="Times New Roman" w:hAnsi="Times New Roman" w:eastAsia="楷体_GB2312"/>
          <w:sz w:val="32"/>
          <w:szCs w:val="32"/>
        </w:rPr>
        <w:t>年</w:t>
      </w:r>
      <w:r>
        <w:rPr>
          <w:rFonts w:hint="eastAsia" w:ascii="Times New Roman" w:hAnsi="Times New Roman" w:eastAsia="楷体_GB2312"/>
          <w:sz w:val="32"/>
          <w:szCs w:val="32"/>
        </w:rPr>
        <w:t>6</w:t>
      </w:r>
      <w:r>
        <w:rPr>
          <w:rFonts w:ascii="Times New Roman" w:hAnsi="Times New Roman" w:eastAsia="楷体_GB2312"/>
          <w:sz w:val="32"/>
          <w:szCs w:val="32"/>
        </w:rPr>
        <w:t>月</w:t>
      </w:r>
      <w:r>
        <w:rPr>
          <w:rFonts w:hint="eastAsia" w:ascii="Times New Roman" w:hAnsi="Times New Roman" w:eastAsia="楷体_GB2312"/>
          <w:sz w:val="32"/>
          <w:szCs w:val="32"/>
        </w:rPr>
        <w:t>25</w:t>
      </w:r>
      <w:r>
        <w:rPr>
          <w:rFonts w:ascii="Times New Roman" w:hAnsi="Times New Roman" w:eastAsia="楷体_GB2312"/>
          <w:sz w:val="32"/>
          <w:szCs w:val="32"/>
        </w:rPr>
        <w:t>日</w:t>
      </w:r>
    </w:p>
    <w:p w14:paraId="430D1649">
      <w:pPr>
        <w:jc w:val="center"/>
        <w:rPr>
          <w:rFonts w:ascii="Times New Roman" w:hAnsi="Times New Roman" w:eastAsia="仿宋_GB2312"/>
          <w:sz w:val="32"/>
          <w:szCs w:val="32"/>
        </w:rPr>
      </w:pPr>
      <w:r>
        <w:rPr>
          <w:rFonts w:ascii="Times New Roman" w:hAnsi="Times New Roman" w:eastAsia="仿宋_GB2312"/>
          <w:sz w:val="32"/>
          <w:szCs w:val="32"/>
        </w:rPr>
        <w:t>（此页为封面）</w:t>
      </w:r>
    </w:p>
    <w:p w14:paraId="4C4D7BE0">
      <w:pPr>
        <w:spacing w:line="800" w:lineRule="exact"/>
        <w:jc w:val="center"/>
        <w:rPr>
          <w:rFonts w:ascii="方正小标宋简体" w:hAnsi="方正小标宋简体" w:eastAsia="方正小标宋简体" w:cs="方正小标宋简体"/>
          <w:sz w:val="44"/>
          <w:szCs w:val="44"/>
        </w:rPr>
      </w:pPr>
      <w:bookmarkStart w:id="0" w:name="_GoBack"/>
      <w:bookmarkEnd w:id="0"/>
      <w:r>
        <w:rPr>
          <w:rFonts w:ascii="Times New Roman" w:hAnsi="Times New Roman" w:eastAsia="仿宋_GB2312"/>
          <w:sz w:val="32"/>
          <w:szCs w:val="32"/>
        </w:rPr>
        <w:br w:type="page"/>
      </w:r>
      <w:r>
        <w:rPr>
          <w:rFonts w:hint="eastAsia" w:ascii="方正小标宋简体" w:hAnsi="方正小标宋简体" w:eastAsia="方正小标宋简体" w:cs="方正小标宋简体"/>
          <w:sz w:val="44"/>
          <w:szCs w:val="44"/>
        </w:rPr>
        <w:t>2023年度岳阳市信访局整体支出</w:t>
      </w:r>
    </w:p>
    <w:p w14:paraId="2C1D77A9">
      <w:pPr>
        <w:spacing w:line="8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14:paraId="282EC1C1">
      <w:pPr>
        <w:spacing w:line="640" w:lineRule="exact"/>
        <w:ind w:firstLine="640" w:firstLineChars="200"/>
        <w:rPr>
          <w:rFonts w:ascii="Times New Roman" w:hAnsi="Times New Roman" w:eastAsia="仿宋_GB2312"/>
          <w:sz w:val="32"/>
          <w:szCs w:val="32"/>
        </w:rPr>
      </w:pPr>
    </w:p>
    <w:p w14:paraId="53B75DB1">
      <w:pPr>
        <w:numPr>
          <w:ilvl w:val="0"/>
          <w:numId w:val="1"/>
        </w:numPr>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部门（单位）基本情况</w:t>
      </w:r>
    </w:p>
    <w:p w14:paraId="26E2D8DF">
      <w:pPr>
        <w:widowControl/>
        <w:spacing w:line="520" w:lineRule="exact"/>
        <w:ind w:firstLine="640" w:firstLineChars="200"/>
        <w:textAlignment w:val="center"/>
        <w:rPr>
          <w:rFonts w:ascii="楷体" w:hAnsi="楷体" w:eastAsia="楷体" w:cs="楷体"/>
          <w:sz w:val="32"/>
          <w:szCs w:val="32"/>
        </w:rPr>
      </w:pPr>
      <w:r>
        <w:rPr>
          <w:rFonts w:hint="eastAsia" w:ascii="楷体" w:hAnsi="楷体" w:eastAsia="楷体" w:cs="楷体"/>
          <w:sz w:val="32"/>
          <w:szCs w:val="32"/>
        </w:rPr>
        <w:t>（一）职能职责</w:t>
      </w:r>
    </w:p>
    <w:p w14:paraId="1D287AAF">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（1）负责处理人民群众给市委、市政府及其领导同志的来信，接待处理群众来访，受理处理网络信访，为领导同志接待上访群众做好组织服务工作。</w:t>
      </w:r>
    </w:p>
    <w:p w14:paraId="430143CC">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（2）承办中央、省和市委、市政府交办的信访事项，向县市区、市直部门和中央、省驻岳单位交办信访事项，督促检查处理落实情况。</w:t>
      </w:r>
    </w:p>
    <w:p w14:paraId="24ACD2A9">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（3）综合、反映人民群众在信访中提出的重要意见、建议和问题，开展调查研究，为市委、市政府提供信访信息。</w:t>
      </w:r>
    </w:p>
    <w:p w14:paraId="5A462CCF">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（4）协同有关部门处理跨地区、跨部门的重大信访问题，协调处理群众到市赴省进京上访，协调全市各级党政机关的信访工作。</w:t>
      </w:r>
    </w:p>
    <w:p w14:paraId="3E8B2B41">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（5）研究、起草有关信访工作的政策规定;开展信访工作宣传和调研；指导全市信访工作业务，总结推广信访工作经验，提出加强和改进信访工作的意见。</w:t>
      </w:r>
    </w:p>
    <w:p w14:paraId="72671B62">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（6）掌握全市信访工作队伍建设情况，提出加强信访队伍建设的措施，对信访工作中失职、渎职行为提出处理建议，组织信访干部培训，指导信访部门办公自动化建设。</w:t>
      </w:r>
    </w:p>
    <w:p w14:paraId="5E22ED74">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（7）承办市委、市政府交办的其他事项。</w:t>
      </w:r>
    </w:p>
    <w:p w14:paraId="50F04CAD">
      <w:pPr>
        <w:widowControl/>
        <w:spacing w:line="520" w:lineRule="exact"/>
        <w:ind w:firstLine="640" w:firstLineChars="200"/>
        <w:textAlignment w:val="center"/>
        <w:rPr>
          <w:rFonts w:ascii="楷体" w:hAnsi="楷体" w:eastAsia="楷体" w:cs="楷体"/>
          <w:sz w:val="32"/>
          <w:szCs w:val="32"/>
        </w:rPr>
      </w:pPr>
      <w:r>
        <w:rPr>
          <w:rFonts w:hint="eastAsia" w:ascii="楷体" w:hAnsi="楷体" w:eastAsia="楷体" w:cs="楷体"/>
          <w:sz w:val="32"/>
          <w:szCs w:val="32"/>
        </w:rPr>
        <w:t>（二）机构设置</w:t>
      </w:r>
    </w:p>
    <w:p w14:paraId="6B07BA57">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根据市委编办核定:市信访局内设科室9个，分别是办公室、综合调研科、网络信访和办信科、接访一科、接访二科、协调督查科、政策法规科，以及2个驻外科室驻京维稳科（承担岳阳市驻京维稳劝返工作职责）和驻长沙维稳劝返科（承担岳阳市驻长维稳劝返工作职责）。另有1个下属事业单位市人民来访接待中心。</w:t>
      </w:r>
    </w:p>
    <w:p w14:paraId="6544707B">
      <w:pPr>
        <w:spacing w:line="520" w:lineRule="exact"/>
        <w:ind w:firstLine="640" w:firstLineChars="200"/>
        <w:rPr>
          <w:rFonts w:ascii="Times New Roman" w:hAnsi="Times New Roman" w:eastAsia="黑体"/>
          <w:sz w:val="32"/>
          <w:szCs w:val="32"/>
        </w:rPr>
      </w:pPr>
      <w:r>
        <w:rPr>
          <w:rFonts w:hint="eastAsia" w:ascii="仿宋_GB2312" w:hAnsi="仿宋_GB2312" w:eastAsia="仿宋_GB2312" w:cs="仿宋_GB2312"/>
          <w:sz w:val="32"/>
          <w:szCs w:val="32"/>
        </w:rPr>
        <w:t>本年度我单位在职人数为29人，退休人数11人。</w:t>
      </w:r>
    </w:p>
    <w:p w14:paraId="5BF87A74">
      <w:pPr>
        <w:pStyle w:val="10"/>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14:paraId="1D34D685">
      <w:pPr>
        <w:widowControl/>
        <w:spacing w:line="520" w:lineRule="exact"/>
        <w:ind w:firstLine="640" w:firstLineChars="200"/>
        <w:textAlignment w:val="center"/>
        <w:rPr>
          <w:rFonts w:ascii="楷体" w:hAnsi="楷体" w:eastAsia="楷体" w:cs="楷体"/>
          <w:sz w:val="32"/>
          <w:szCs w:val="32"/>
        </w:rPr>
      </w:pPr>
      <w:r>
        <w:rPr>
          <w:rFonts w:hint="eastAsia" w:ascii="楷体" w:hAnsi="楷体" w:eastAsia="楷体" w:cs="楷体"/>
          <w:sz w:val="32"/>
          <w:szCs w:val="32"/>
        </w:rPr>
        <w:t>（一）基本支出情况</w:t>
      </w:r>
    </w:p>
    <w:p w14:paraId="16CD0AAE">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我单位本年度总支出为1055.19万元，其中基本支出为684.72万元，占支出总额的64.89%。我单位本年度基本支出中人员经费支出518.7万元，占比75.75%；公用经费支出166.02万元，占比24.25%。主要用于我单位职工基本工资福利、对个人和家庭的补助、商品和服务支出等费用。</w:t>
      </w:r>
    </w:p>
    <w:p w14:paraId="7A2D0788">
      <w:pPr>
        <w:widowControl/>
        <w:spacing w:line="520" w:lineRule="exact"/>
        <w:ind w:firstLine="640" w:firstLineChars="200"/>
        <w:textAlignment w:val="center"/>
        <w:rPr>
          <w:rFonts w:ascii="楷体" w:hAnsi="楷体" w:eastAsia="楷体" w:cs="楷体"/>
          <w:sz w:val="32"/>
          <w:szCs w:val="32"/>
        </w:rPr>
      </w:pPr>
      <w:r>
        <w:rPr>
          <w:rFonts w:hint="eastAsia" w:ascii="楷体" w:hAnsi="楷体" w:eastAsia="楷体" w:cs="楷体"/>
          <w:sz w:val="32"/>
          <w:szCs w:val="32"/>
        </w:rPr>
        <w:t>（二）项目支出情况</w:t>
      </w:r>
    </w:p>
    <w:p w14:paraId="70A7A1FA">
      <w:pPr>
        <w:widowControl/>
        <w:spacing w:line="520" w:lineRule="exact"/>
        <w:ind w:firstLine="640" w:firstLineChars="200"/>
        <w:textAlignment w:val="center"/>
        <w:rPr>
          <w:rFonts w:ascii="Times New Roman" w:hAnsi="Times New Roman" w:eastAsia="楷体_GB2312"/>
          <w:b/>
          <w:sz w:val="32"/>
          <w:szCs w:val="32"/>
        </w:rPr>
      </w:pPr>
      <w:r>
        <w:rPr>
          <w:rFonts w:hint="eastAsia" w:ascii="仿宋_GB2312" w:hAnsi="仿宋_GB2312" w:eastAsia="仿宋_GB2312" w:cs="仿宋_GB2312"/>
          <w:sz w:val="32"/>
          <w:szCs w:val="32"/>
        </w:rPr>
        <w:t>我单位本年度总支出为1055.19万元，其中项目支出为370.47万元，占支出总额的35.11%。主要用于两会期间维稳、维持驻京维稳劝返办公室正常运转所需要的工作经费等项目。</w:t>
      </w:r>
    </w:p>
    <w:p w14:paraId="10618350">
      <w:pPr>
        <w:pStyle w:val="10"/>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14:paraId="26EB604E">
      <w:pPr>
        <w:widowControl/>
        <w:spacing w:line="520" w:lineRule="exact"/>
        <w:ind w:firstLine="640" w:firstLineChars="200"/>
        <w:textAlignment w:val="center"/>
        <w:rPr>
          <w:rFonts w:ascii="Times New Roman" w:hAnsi="Times New Roman" w:eastAsia="黑体"/>
          <w:sz w:val="32"/>
          <w:szCs w:val="32"/>
        </w:rPr>
      </w:pPr>
      <w:r>
        <w:rPr>
          <w:rFonts w:hint="eastAsia" w:ascii="仿宋_GB2312" w:hAnsi="仿宋_GB2312" w:eastAsia="仿宋_GB2312" w:cs="仿宋_GB2312"/>
          <w:sz w:val="32"/>
          <w:szCs w:val="32"/>
        </w:rPr>
        <w:t>我单位本年度无政府性基金安排的预算收入与支出，所以无政府性基金预算支出情况表。</w:t>
      </w:r>
    </w:p>
    <w:p w14:paraId="67091CFD">
      <w:pPr>
        <w:pStyle w:val="10"/>
        <w:widowControl/>
        <w:numPr>
          <w:ilvl w:val="0"/>
          <w:numId w:val="2"/>
        </w:numPr>
        <w:spacing w:line="64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14:paraId="2E1CAB64">
      <w:pPr>
        <w:pStyle w:val="6"/>
        <w:widowControl/>
        <w:spacing w:line="520" w:lineRule="exact"/>
        <w:ind w:firstLine="640" w:firstLineChars="200"/>
        <w:textAlignment w:val="center"/>
        <w:rPr>
          <w:rFonts w:ascii="Times New Roman" w:hAnsi="Times New Roman" w:eastAsia="黑体"/>
          <w:sz w:val="32"/>
          <w:szCs w:val="32"/>
        </w:rPr>
      </w:pPr>
      <w:r>
        <w:rPr>
          <w:rFonts w:hint="eastAsia" w:ascii="仿宋_GB2312" w:hAnsi="仿宋_GB2312" w:eastAsia="仿宋_GB2312" w:cs="仿宋_GB2312"/>
          <w:sz w:val="32"/>
          <w:szCs w:val="32"/>
        </w:rPr>
        <w:t>我单位本年度无国有资本经营安排的预算收入与支出，所以无国有资本经营预算支出情况表。</w:t>
      </w:r>
    </w:p>
    <w:p w14:paraId="4C79C9A1">
      <w:pPr>
        <w:pStyle w:val="10"/>
        <w:widowControl/>
        <w:numPr>
          <w:ilvl w:val="0"/>
          <w:numId w:val="2"/>
        </w:numPr>
        <w:spacing w:line="640" w:lineRule="exact"/>
        <w:ind w:firstLine="640"/>
        <w:rPr>
          <w:rFonts w:ascii="Times New Roman" w:hAnsi="Times New Roman" w:eastAsia="黑体"/>
          <w:sz w:val="32"/>
          <w:szCs w:val="32"/>
        </w:rPr>
      </w:pPr>
      <w:r>
        <w:rPr>
          <w:rFonts w:ascii="Times New Roman" w:hAnsi="Times New Roman" w:eastAsia="黑体"/>
          <w:sz w:val="32"/>
          <w:szCs w:val="32"/>
        </w:rPr>
        <w:t>社会保险基金预算支出情况</w:t>
      </w:r>
    </w:p>
    <w:p w14:paraId="4BADC633">
      <w:pPr>
        <w:pStyle w:val="10"/>
        <w:widowControl/>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我单位本年度无社会保险基金预算安排的收入与支出，所以无社会保险基金预算支出情况表。</w:t>
      </w:r>
    </w:p>
    <w:p w14:paraId="1DC52628">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6A23B898">
      <w:pPr>
        <w:pStyle w:val="10"/>
        <w:widowControl/>
        <w:spacing w:line="52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23</w:t>
      </w:r>
      <w:r>
        <w:rPr>
          <w:rFonts w:ascii="仿宋_GB2312" w:hAnsi="仿宋_GB2312" w:eastAsia="仿宋_GB2312" w:cs="仿宋_GB2312"/>
          <w:sz w:val="32"/>
          <w:szCs w:val="32"/>
        </w:rPr>
        <w:t>年，我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积极履职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强化管理，较好的完成了年度工作目标。通过加强预算收支</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，不断建立健全内部制度，梳理</w:t>
      </w:r>
      <w:r>
        <w:rPr>
          <w:rFonts w:hint="eastAsia" w:ascii="仿宋_GB2312" w:hAnsi="仿宋_GB2312" w:eastAsia="仿宋_GB2312" w:cs="仿宋_GB2312"/>
          <w:sz w:val="32"/>
          <w:szCs w:val="32"/>
        </w:rPr>
        <w:t>资金收支</w:t>
      </w:r>
      <w:r>
        <w:rPr>
          <w:rFonts w:ascii="仿宋_GB2312" w:hAnsi="仿宋_GB2312" w:eastAsia="仿宋_GB2312" w:cs="仿宋_GB2312"/>
          <w:sz w:val="32"/>
          <w:szCs w:val="32"/>
        </w:rPr>
        <w:t>流程，整体水平得到提升。根据部门整体支出绩效评价指标体系，我</w:t>
      </w:r>
      <w:r>
        <w:rPr>
          <w:rFonts w:hint="eastAsia" w:ascii="仿宋_GB2312" w:hAnsi="仿宋_GB2312" w:eastAsia="仿宋_GB2312" w:cs="仿宋_GB2312"/>
          <w:sz w:val="32"/>
          <w:szCs w:val="32"/>
        </w:rPr>
        <w:t>单位本</w:t>
      </w:r>
      <w:r>
        <w:rPr>
          <w:rFonts w:ascii="仿宋_GB2312" w:hAnsi="仿宋_GB2312" w:eastAsia="仿宋_GB2312" w:cs="仿宋_GB2312"/>
          <w:sz w:val="32"/>
          <w:szCs w:val="32"/>
        </w:rPr>
        <w:t>年度部门整体支出绩效自评9</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分。</w:t>
      </w:r>
    </w:p>
    <w:p w14:paraId="2C7C9B91">
      <w:pPr>
        <w:pStyle w:val="10"/>
        <w:widowControl/>
        <w:spacing w:line="64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14:paraId="2C4AB24A">
      <w:pPr>
        <w:widowControl/>
        <w:spacing w:line="520" w:lineRule="exact"/>
        <w:ind w:firstLine="643"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1.预算编制不精准。</w:t>
      </w:r>
      <w:r>
        <w:rPr>
          <w:rFonts w:hint="eastAsia" w:ascii="仿宋_GB2312" w:hAnsi="仿宋_GB2312" w:eastAsia="仿宋_GB2312" w:cs="仿宋_GB2312"/>
          <w:sz w:val="32"/>
          <w:szCs w:val="32"/>
        </w:rPr>
        <w:t>我单位除预算内资金外，还有部分其他资金收支，由于年初编制部门经济科目不够全面，导致预算执行出现不一致情况。</w:t>
      </w:r>
    </w:p>
    <w:p w14:paraId="219F54FB">
      <w:pPr>
        <w:widowControl/>
        <w:spacing w:line="520" w:lineRule="exact"/>
        <w:ind w:firstLine="643"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2.专项管理工作不系统。</w:t>
      </w:r>
      <w:r>
        <w:rPr>
          <w:rFonts w:hint="eastAsia" w:ascii="仿宋_GB2312" w:hAnsi="仿宋_GB2312" w:eastAsia="仿宋_GB2312" w:cs="仿宋_GB2312"/>
          <w:sz w:val="32"/>
          <w:szCs w:val="32"/>
        </w:rPr>
        <w:t>没有具体系统的专职人员进行管理，导致部分政策接收不够及时、政策理解不够到位。</w:t>
      </w:r>
    </w:p>
    <w:p w14:paraId="08432CB4">
      <w:pPr>
        <w:widowControl/>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4085307D">
      <w:pPr>
        <w:widowControl/>
        <w:spacing w:line="520" w:lineRule="exact"/>
        <w:ind w:firstLine="643"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1.加强学习。</w:t>
      </w:r>
      <w:r>
        <w:rPr>
          <w:rFonts w:hint="eastAsia" w:ascii="仿宋_GB2312" w:hAnsi="仿宋_GB2312" w:eastAsia="仿宋_GB2312" w:cs="仿宋_GB2312"/>
          <w:sz w:val="32"/>
          <w:szCs w:val="32"/>
        </w:rPr>
        <w:t>积极同财政相关业务科室对接，及时掌握预算一体化系统后台公式的升级更新，及时了解最新的财政相关政策；积极与同级部门财务人员沟通，及时学习系统相关操作执行功能。及时同人社、税务、机关事务局和银行等部门对接沟通，保障部门经济科目使用更为准确。经济业务报销更为规范。</w:t>
      </w:r>
    </w:p>
    <w:p w14:paraId="2A6AEED0">
      <w:pPr>
        <w:widowControl/>
        <w:spacing w:line="520" w:lineRule="exact"/>
        <w:ind w:firstLine="643" w:firstLineChars="200"/>
        <w:textAlignment w:val="center"/>
        <w:rPr>
          <w:rFonts w:ascii="Times New Roman" w:hAnsi="Times New Roman" w:eastAsia="黑体"/>
          <w:sz w:val="32"/>
          <w:szCs w:val="32"/>
        </w:rPr>
      </w:pPr>
      <w:r>
        <w:rPr>
          <w:rFonts w:hint="eastAsia" w:ascii="仿宋_GB2312" w:hAnsi="仿宋_GB2312" w:eastAsia="仿宋_GB2312" w:cs="仿宋_GB2312"/>
          <w:b/>
          <w:bCs/>
          <w:sz w:val="32"/>
          <w:szCs w:val="32"/>
        </w:rPr>
        <w:t>2.主动对接。</w:t>
      </w:r>
      <w:r>
        <w:rPr>
          <w:rFonts w:hint="eastAsia" w:ascii="仿宋_GB2312" w:hAnsi="仿宋_GB2312" w:eastAsia="仿宋_GB2312" w:cs="仿宋_GB2312"/>
          <w:sz w:val="32"/>
          <w:szCs w:val="32"/>
        </w:rPr>
        <w:t>及时参加财政等部门举办的各项业务能力提升培训活动，打好基本功。主动订阅相关财政业务书籍、公众号，通过不同的途径加强自身业务能力提升。</w:t>
      </w:r>
    </w:p>
    <w:p w14:paraId="7F23491A">
      <w:pPr>
        <w:widowControl/>
        <w:numPr>
          <w:ilvl w:val="0"/>
          <w:numId w:val="3"/>
        </w:numPr>
        <w:spacing w:line="640" w:lineRule="exact"/>
        <w:ind w:firstLine="640" w:firstLineChars="200"/>
        <w:rPr>
          <w:rFonts w:ascii="Times New Roman" w:hAnsi="Times New Roman" w:eastAsia="黑体"/>
          <w:sz w:val="32"/>
          <w:szCs w:val="32"/>
        </w:rPr>
      </w:pPr>
      <w:r>
        <w:rPr>
          <w:rFonts w:ascii="Times New Roman" w:hAnsi="Times New Roman" w:eastAsia="黑体"/>
          <w:sz w:val="32"/>
          <w:szCs w:val="32"/>
        </w:rPr>
        <w:t>部门整体支出绩效自评结果拟应用和公开情况</w:t>
      </w:r>
    </w:p>
    <w:p w14:paraId="298EB8C2">
      <w:pPr>
        <w:widowControl/>
        <w:spacing w:line="52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我单位按照要求及时主动将相关资料公开在部门网址及政府门户网站专栏中。</w:t>
      </w:r>
    </w:p>
    <w:p w14:paraId="461BAE56">
      <w:pPr>
        <w:spacing w:line="360" w:lineRule="auto"/>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CD65D"/>
    <w:multiLevelType w:val="singleLevel"/>
    <w:tmpl w:val="A61CD65D"/>
    <w:lvl w:ilvl="0" w:tentative="0">
      <w:start w:val="4"/>
      <w:numFmt w:val="chineseCounting"/>
      <w:suff w:val="nothing"/>
      <w:lvlText w:val="%1、"/>
      <w:lvlJc w:val="left"/>
      <w:rPr>
        <w:rFonts w:hint="eastAsia"/>
      </w:rPr>
    </w:lvl>
  </w:abstractNum>
  <w:abstractNum w:abstractNumId="1">
    <w:nsid w:val="F82E977A"/>
    <w:multiLevelType w:val="singleLevel"/>
    <w:tmpl w:val="F82E977A"/>
    <w:lvl w:ilvl="0" w:tentative="0">
      <w:start w:val="9"/>
      <w:numFmt w:val="chineseCounting"/>
      <w:suff w:val="nothing"/>
      <w:lvlText w:val="%1、"/>
      <w:lvlJc w:val="left"/>
      <w:rPr>
        <w:rFonts w:hint="eastAsia"/>
      </w:rPr>
    </w:lvl>
  </w:abstractNum>
  <w:abstractNum w:abstractNumId="2">
    <w:nsid w:val="1DFC59E4"/>
    <w:multiLevelType w:val="singleLevel"/>
    <w:tmpl w:val="1DFC59E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OWE4Y2E0M2U0Y2Q1ODAxMmFmMDgzYmYyZGI3M2IifQ=="/>
  </w:docVars>
  <w:rsids>
    <w:rsidRoot w:val="59886344"/>
    <w:rsid w:val="00267E16"/>
    <w:rsid w:val="005C591C"/>
    <w:rsid w:val="0071651A"/>
    <w:rsid w:val="02490B13"/>
    <w:rsid w:val="0A285E74"/>
    <w:rsid w:val="10E77E7C"/>
    <w:rsid w:val="17FE7BFB"/>
    <w:rsid w:val="2B197EE4"/>
    <w:rsid w:val="30C70A48"/>
    <w:rsid w:val="59886344"/>
    <w:rsid w:val="6DF35025"/>
    <w:rsid w:val="DFEF8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eastAsia="仿宋" w:cs="仿宋"/>
      <w:sz w:val="31"/>
      <w:szCs w:val="31"/>
      <w:lang w:eastAsia="en-US"/>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 w:type="character" w:customStyle="1" w:styleId="11">
    <w:name w:val="页眉 Char"/>
    <w:basedOn w:val="8"/>
    <w:link w:val="5"/>
    <w:qFormat/>
    <w:uiPriority w:val="0"/>
    <w:rPr>
      <w:rFonts w:ascii="仿宋" w:hAnsi="仿宋"/>
      <w:sz w:val="18"/>
      <w:szCs w:val="18"/>
    </w:rPr>
  </w:style>
  <w:style w:type="character" w:customStyle="1" w:styleId="12">
    <w:name w:val="页脚 Char"/>
    <w:basedOn w:val="8"/>
    <w:link w:val="4"/>
    <w:qFormat/>
    <w:uiPriority w:val="0"/>
    <w:rPr>
      <w:rFonts w:ascii="仿宋" w:hAnsi="仿宋"/>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1525</Words>
  <Characters>1596</Characters>
  <Lines>11</Lines>
  <Paragraphs>3</Paragraphs>
  <TotalTime>2</TotalTime>
  <ScaleCrop>false</ScaleCrop>
  <LinksUpToDate>false</LinksUpToDate>
  <CharactersWithSpaces>1596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2024-07-04T09:08:00Z</dcterms:created>
  <dc:creator>Administrator</dc:creator>
  <cp:lastModifiedBy>Administrator</cp:lastModifiedBy>
  <cp:lastPrinted>2024-07-04T08:56:00Z</cp:lastPrinted>
  <dcterms:modified xsi:type="dcterms:W3CDTF">2024-09-27T03:23:38Z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3EE0B82E477D47F7947413C255EE6656_13</vt:lpwstr>
  </property>
</Properties>
</file>