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岳阳市科学技术局</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岳阳市科学技术局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岳阳市科学技术局</w:t>
      </w:r>
      <w:r>
        <w:rPr>
          <w:rFonts w:hint="eastAsia" w:ascii="方正小标宋_GBK" w:hAnsi="方正小标宋_GBK" w:eastAsia="方正小标宋_GBK" w:cs="方正小标宋_GBK"/>
          <w:sz w:val="84"/>
          <w:szCs w:val="84"/>
        </w:rPr>
        <w:t>概况</w:t>
      </w:r>
    </w:p>
    <w:p>
      <w:pPr>
        <w:pStyle w:val="7"/>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7"/>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13"/>
        <w:numPr>
          <w:ilvl w:val="0"/>
          <w:numId w:val="1"/>
        </w:numPr>
        <w:ind w:firstLineChars="0"/>
        <w:jc w:val="left"/>
        <w:rPr>
          <w:rFonts w:hint="eastAsia" w:ascii="Times New Roman" w:hAnsi="Times New Roman" w:eastAsia="仿宋_GB2312" w:cs="仿宋_GB2312"/>
          <w:sz w:val="32"/>
          <w:szCs w:val="32"/>
        </w:rPr>
      </w:pPr>
      <w:r>
        <w:rPr>
          <w:rFonts w:hint="eastAsia" w:ascii="黑体" w:hAnsi="黑体" w:eastAsia="黑体" w:cs="黑体"/>
          <w:b w:val="0"/>
          <w:bCs w:val="0"/>
          <w:sz w:val="32"/>
          <w:szCs w:val="32"/>
        </w:rPr>
        <w:t>部门职责</w:t>
      </w:r>
    </w:p>
    <w:p>
      <w:pPr>
        <w:pStyle w:val="13"/>
        <w:numPr>
          <w:ilvl w:val="0"/>
          <w:numId w:val="2"/>
        </w:numPr>
        <w:ind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贯彻创新驱动发展战略和创新引领开放崛起战略，拟订全市科技发展、引进国外及国内智力规划和政策并组织实施。</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统筹推进创新型县市区建设。</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牵头建立统一的市级科技管理平台和科研项目资金协调、评估、监管机制。会同有关部门提出优化配置科技资源的政策措施建议，推动多元化科技投入体系建设，协调管理市级财政科技计划(专项、基金等)并监督实施。</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拟订全市基础研究规划、政策和标准并组织实施，组织协调市级重大基础研究和应用基础研究。拟订重大科技创新基地建设规划并监督实施，参与编制重大科技基础设施建设规划和监督实施，牵头组织市重点实验室等重大科技创新基地建设，推动科研条件保障建设和科技资源开放共享。</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编制市级重大科技项目计划并监督实施，统筹关键共性技术、前沿引领技术、现代工程技术、颠覆性技术研发和创新，牵头组织重大技术攻关和成果应用示范。</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组织拟订高新技术发展及产业化、科技促进农业农村和社会发展的规划、政策和措施。组织开展重点领域技术发展需求分析，提出重大任务并监督实施。</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牵头市级技术转移体系建设，拟订科技成果转移转化和促进产学硏结合的相关政策措施并监督实施。指导科技服务业、技术市场、科技金融结合和科技中介组织发展。</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统筹区域科技创新体系建设，指导区域创新发展、科技资源合理布局和协同创新能力建设，推动科技园区建设。</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负责科技监督评价体系建设和相关科技评信管理，指导科技评价机制改革，统筹科研诚信建设。组织实施全市创新调查和科技报告制度，指导全市科技保密工作。</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拟订科技对外交往与创新能力开放合作的规划、政策和措施，组织开展国际和区域科技合作与科技人才交流。指导相关部门和地方对外科技合作与科技人才交流工作。</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引进国外和国内智力工作。拟订全市重点引进外国专家总体规划、计划并组织实施，建立国外和国内顶尖科学家、团队吸引集聚机制和重点国内外专家联系服务机制。拟订出国(境)培训总体规划、政策和年度计划并监督实施。</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会同有关部门拟订科技人才队伍建设规划和政策，建立健全科技人才评价和激励机制，组织实施科技人才计划，推动高端科技创新人才队伍建设。</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负责省科学技术奖等的申报组织工作。</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责管理岳阳市自然科学基金委员会(以下简称市自然科学基金委)，依法对市自然科学基金工作进行宏观管理、统筹协调和监督评估。市自然科学基金委依法管理市自然科学基金，相对独立运行，负责资助计划、项目设置和评审、立项、监督等组织实施工作。</w:t>
      </w:r>
    </w:p>
    <w:p>
      <w:pPr>
        <w:pStyle w:val="13"/>
        <w:numPr>
          <w:ilvl w:val="0"/>
          <w:numId w:val="2"/>
        </w:numPr>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完成市委、市政府交办的其他任务。</w:t>
      </w:r>
    </w:p>
    <w:p>
      <w:pPr>
        <w:pStyle w:val="13"/>
        <w:numPr>
          <w:ilvl w:val="0"/>
          <w:numId w:val="0"/>
        </w:num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职能转变。围绕贯彻实施科教兴国战略、人才强国战略、创新驱动发展战略和创新引领开放崛起战略，加强、优化、转变政府科技管理和服务职能，完善科技创新制度和组织体系，加强宏观管理、统筹协调和科研诚信建设。从研发管理向创新服务转变，深入推进科技计划管理改革，建立公开统一的市级科技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960" w:firstLineChars="300"/>
        <w:rPr>
          <w:rFonts w:hint="eastAsia"/>
        </w:rPr>
      </w:pPr>
      <w:r>
        <w:rPr>
          <w:rFonts w:hint="eastAsia" w:ascii="Times New Roman" w:hAnsi="Times New Roman" w:eastAsia="仿宋_GB2312" w:cs="仿宋_GB2312"/>
          <w:bCs/>
          <w:kern w:val="0"/>
          <w:sz w:val="32"/>
          <w:szCs w:val="32"/>
        </w:rPr>
        <w:t>岳阳市科学技术局单位内设机构包括：办公室</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战略规划与资源配置科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政策法规与创新体系建设科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基础研究科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高新技术发展及产业化科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农村科技科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社会发展科技科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成果转化与区域创新科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人事科（人才工作办公室、离退休人员管理服务科）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机关党委</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机关纪委</w:t>
      </w:r>
      <w:r>
        <w:rPr>
          <w:rFonts w:hint="eastAsia" w:ascii="Times New Roman" w:hAnsi="Times New Roman" w:eastAsia="仿宋_GB2312" w:cs="仿宋_GB2312"/>
          <w:bCs/>
          <w:kern w:val="0"/>
          <w:sz w:val="32"/>
          <w:szCs w:val="32"/>
          <w:lang w:eastAsia="zh-CN"/>
        </w:rPr>
        <w:t>。</w:t>
      </w:r>
    </w:p>
    <w:p>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（二）</w:t>
      </w:r>
      <w:r>
        <w:rPr>
          <w:rFonts w:hint="eastAsia" w:ascii="Times New Roman" w:hAnsi="Times New Roman" w:eastAsia="仿宋_GB2312" w:cs="仿宋_GB2312"/>
          <w:bCs/>
          <w:kern w:val="0"/>
          <w:sz w:val="32"/>
          <w:szCs w:val="32"/>
        </w:rPr>
        <w:t>决算单位构成。</w:t>
      </w:r>
    </w:p>
    <w:p>
      <w:pPr>
        <w:widowControl/>
        <w:spacing w:line="600" w:lineRule="exact"/>
        <w:ind w:firstLine="960" w:firstLineChars="3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岳阳市科学技术局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年部门决算汇总公开单位构成包括：岳阳市科学技术局单位本级以及</w:t>
      </w:r>
      <w:r>
        <w:rPr>
          <w:rFonts w:hint="eastAsia" w:ascii="Times New Roman" w:hAnsi="Times New Roman" w:eastAsia="仿宋_GB2312" w:cs="仿宋_GB2312"/>
          <w:bCs/>
          <w:kern w:val="0"/>
          <w:sz w:val="32"/>
          <w:szCs w:val="32"/>
          <w:lang w:eastAsia="zh-CN"/>
        </w:rPr>
        <w:t>岳阳市科技事务中心。</w:t>
      </w:r>
    </w:p>
    <w:p>
      <w:pPr>
        <w:widowControl/>
        <w:spacing w:line="600" w:lineRule="exact"/>
        <w:rPr>
          <w:rFonts w:hint="eastAsia" w:ascii="Times New Roman" w:hAnsi="Times New Roman" w:eastAsia="仿宋_GB2312" w:cs="仿宋_GB2312"/>
          <w:bCs/>
          <w:kern w:val="0"/>
          <w:sz w:val="32"/>
          <w:szCs w:val="32"/>
        </w:rPr>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Pr>
        <w:pStyle w:val="12"/>
        <w:jc w:val="both"/>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both"/>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1441.93</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30.96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公务员招录及四海揽才人员增加，人员经费增加。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1441.93</w:t>
      </w:r>
      <w:r>
        <w:rPr>
          <w:rFonts w:hint="eastAsia" w:ascii="仿宋_GB2312" w:hAnsi="仿宋_GB2312" w:eastAsia="仿宋_GB2312" w:cs="仿宋_GB2312"/>
          <w:sz w:val="32"/>
          <w:szCs w:val="32"/>
        </w:rPr>
        <w:t>万元，其中：财政拨款收入1436.7万元，占</w:t>
      </w:r>
      <w:r>
        <w:rPr>
          <w:rFonts w:hint="eastAsia" w:ascii="仿宋_GB2312" w:hAnsi="仿宋_GB2312" w:eastAsia="仿宋_GB2312" w:cs="仿宋_GB2312"/>
          <w:sz w:val="32"/>
          <w:szCs w:val="32"/>
          <w:lang w:val="en-US" w:eastAsia="zh-CN"/>
        </w:rPr>
        <w:t>99.64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%；其他收入5.23万元，占</w:t>
      </w:r>
      <w:r>
        <w:rPr>
          <w:rFonts w:hint="eastAsia" w:ascii="仿宋_GB2312" w:hAnsi="仿宋_GB2312" w:eastAsia="仿宋_GB2312" w:cs="仿宋_GB2312"/>
          <w:sz w:val="32"/>
          <w:szCs w:val="32"/>
          <w:lang w:val="en-US" w:eastAsia="zh-CN"/>
        </w:rPr>
        <w:t>0.36</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1441.94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1030.66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71.48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411.28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28.52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widowControl w:val="0"/>
        <w:autoSpaceDE w:val="0"/>
        <w:autoSpaceDN w:val="0"/>
        <w:adjustRightInd w:val="0"/>
        <w:ind w:firstLine="640" w:firstLineChars="200"/>
        <w:rPr>
          <w:rFonts w:hint="eastAsia" w:ascii="楷体" w:hAnsi="楷体" w:eastAsia="楷体" w:cs="楷体"/>
          <w:i/>
          <w:iCs/>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1436.70</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83.86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6.20</w:t>
      </w:r>
      <w:r>
        <w:rPr>
          <w:rFonts w:hint="eastAsia" w:ascii="仿宋_GB2312" w:hAnsi="仿宋_GB2312" w:eastAsia="仿宋_GB2312" w:cs="仿宋_GB2312"/>
          <w:sz w:val="32"/>
          <w:szCs w:val="32"/>
        </w:rPr>
        <w:t>%，主要是因为公务员招录及四海揽才人员增加，人员经费增加</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widowControl w:val="0"/>
        <w:autoSpaceDE w:val="0"/>
        <w:autoSpaceDN w:val="0"/>
        <w:adjustRightInd w:val="0"/>
        <w:ind w:firstLine="640" w:firstLineChars="200"/>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1436.70</w:t>
      </w:r>
      <w:r>
        <w:rPr>
          <w:rFonts w:hint="eastAsia" w:ascii="仿宋_GB2312" w:hAnsi="仿宋_GB2312" w:eastAsia="仿宋_GB2312" w:cs="仿宋_GB2312"/>
          <w:sz w:val="32"/>
          <w:szCs w:val="32"/>
        </w:rPr>
        <w:t>元，占本年支出合计的</w:t>
      </w:r>
      <w:r>
        <w:rPr>
          <w:rFonts w:hint="eastAsia" w:ascii="仿宋_GB2312" w:hAnsi="仿宋_GB2312" w:eastAsia="仿宋_GB2312" w:cs="仿宋_GB2312"/>
          <w:sz w:val="32"/>
          <w:szCs w:val="32"/>
          <w:lang w:val="en-US" w:eastAsia="zh-CN"/>
        </w:rPr>
        <w:t>99.64</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83.86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6.20</w:t>
      </w:r>
      <w:r>
        <w:rPr>
          <w:rFonts w:hint="eastAsia" w:ascii="仿宋_GB2312" w:hAnsi="仿宋_GB2312" w:eastAsia="仿宋_GB2312" w:cs="仿宋_GB2312"/>
          <w:sz w:val="32"/>
          <w:szCs w:val="32"/>
        </w:rPr>
        <w:t>%，主要是主要是因为公务员招录及四海揽才人员增加，人员经费增加</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default" w:ascii="仿宋_GB2312" w:hAnsi="仿宋_GB2312" w:eastAsia="仿宋_GB2312" w:cs="仿宋_GB2312"/>
          <w:sz w:val="32"/>
          <w:szCs w:val="32"/>
          <w:lang w:val="en"/>
        </w:rPr>
        <w:t>1436.7</w:t>
      </w:r>
      <w:r>
        <w:rPr>
          <w:rFonts w:hint="eastAsia" w:ascii="仿宋_GB2312" w:hAnsi="仿宋_GB2312" w:eastAsia="仿宋_GB2312" w:cs="仿宋_GB2312"/>
          <w:sz w:val="32"/>
          <w:szCs w:val="32"/>
        </w:rPr>
        <w:t>万元，主要用于以下方面：一般公共服务（类）支出</w:t>
      </w: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1250.31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16.02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71.61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46.68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50.09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年度财政拨款支出年初预算数为914.39万元，支出决算数为</w:t>
      </w:r>
      <w:r>
        <w:rPr>
          <w:rFonts w:hint="default" w:ascii="仿宋_GB2312" w:hAnsi="仿宋_GB2312" w:eastAsia="仿宋_GB2312" w:cs="仿宋_GB2312"/>
          <w:sz w:val="32"/>
          <w:szCs w:val="32"/>
          <w:lang w:val="en"/>
        </w:rPr>
        <w:t>1436.7</w:t>
      </w:r>
      <w:r>
        <w:rPr>
          <w:rFonts w:hint="eastAsia" w:ascii="仿宋_GB2312" w:hAnsi="仿宋_GB2312" w:eastAsia="仿宋_GB2312" w:cs="仿宋_GB2312"/>
          <w:sz w:val="32"/>
          <w:szCs w:val="32"/>
        </w:rPr>
        <w:t>万元，完成年初预算的</w:t>
      </w:r>
      <w:r>
        <w:rPr>
          <w:rFonts w:hint="default" w:ascii="仿宋_GB2312" w:hAnsi="仿宋_GB2312" w:eastAsia="仿宋_GB2312" w:cs="仿宋_GB2312"/>
          <w:sz w:val="32"/>
          <w:szCs w:val="32"/>
          <w:lang w:val="en"/>
        </w:rPr>
        <w:t>157.12</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其他发展与改革事务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科学技术管理事务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747.27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816.33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109.24</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eastAsia="zh-CN"/>
        </w:rPr>
        <w:t>人员新增，年末人员经费补差；上年项目结余结转以及临时承办的工作经费。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科学技术管理事务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14.48</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科学技术管理事务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其他科学技术管理事务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基础研究</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自然科学基金</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万元，决算数大于（小于）年初预算数的主要原因是：</w:t>
      </w:r>
      <w:r>
        <w:rPr>
          <w:rFonts w:hint="eastAsia" w:ascii="Times New Roman" w:hAnsi="Times New Roman" w:eastAsia="仿宋_GB2312"/>
          <w:sz w:val="32"/>
          <w:szCs w:val="32"/>
          <w:lang w:eastAsia="zh-CN"/>
        </w:rPr>
        <w:t>科技创新专项资金为市统一代编预算，其中</w:t>
      </w:r>
      <w:r>
        <w:rPr>
          <w:rFonts w:hint="eastAsia" w:ascii="仿宋_GB2312" w:hAnsi="仿宋_GB2312" w:eastAsia="仿宋_GB2312" w:cs="仿宋_GB2312"/>
          <w:sz w:val="32"/>
          <w:szCs w:val="32"/>
          <w:lang w:eastAsia="zh-CN"/>
        </w:rPr>
        <w:t>自然科学基金专项</w:t>
      </w:r>
      <w:r>
        <w:rPr>
          <w:rFonts w:hint="eastAsia" w:ascii="Times New Roman" w:hAnsi="Times New Roman" w:eastAsia="仿宋_GB2312"/>
          <w:sz w:val="32"/>
          <w:szCs w:val="32"/>
          <w:lang w:eastAsia="zh-CN"/>
        </w:rPr>
        <w:t>经我部门拨付，未在年初部门预算体现。</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技术研究与开发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科技成果转化与扩散</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10.25</w:t>
      </w:r>
      <w:r>
        <w:rPr>
          <w:rFonts w:hint="eastAsia" w:ascii="仿宋_GB2312" w:hAnsi="仿宋_GB2312" w:eastAsia="仿宋_GB2312" w:cs="仿宋_GB2312"/>
          <w:sz w:val="32"/>
          <w:szCs w:val="32"/>
        </w:rPr>
        <w:t>万元，决算数大于（小于）年初预算数的主要原因是：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科技条件与服务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其他科技条件与服务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科技交流与合作</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其他科技交流与合作</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14.86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297.2</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其他科学技术</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其他科学技术</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342.60</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eastAsia="zh-CN"/>
        </w:rPr>
        <w:t>科技创新专项资金为市统一代编预算，其中</w:t>
      </w:r>
      <w:r>
        <w:rPr>
          <w:rFonts w:hint="eastAsia" w:ascii="仿宋_GB2312" w:hAnsi="仿宋_GB2312" w:eastAsia="仿宋_GB2312" w:cs="仿宋_GB2312"/>
          <w:sz w:val="32"/>
          <w:szCs w:val="32"/>
          <w:lang w:eastAsia="zh-CN"/>
        </w:rPr>
        <w:t>自然科学基金专项</w:t>
      </w:r>
      <w:r>
        <w:rPr>
          <w:rFonts w:hint="eastAsia" w:ascii="Times New Roman" w:hAnsi="Times New Roman" w:eastAsia="仿宋_GB2312"/>
          <w:sz w:val="32"/>
          <w:szCs w:val="32"/>
          <w:lang w:eastAsia="zh-CN"/>
        </w:rPr>
        <w:t>经我部门拨付，未在年初部门预算体现。</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文化和旅游</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16.02</w:t>
      </w:r>
      <w:r>
        <w:rPr>
          <w:rFonts w:hint="eastAsia" w:ascii="仿宋_GB2312" w:hAnsi="仿宋_GB2312" w:eastAsia="仿宋_GB2312" w:cs="仿宋_GB2312"/>
          <w:sz w:val="32"/>
          <w:szCs w:val="32"/>
        </w:rPr>
        <w:t>万元，决算数大于（小于）年初预算数的主要原因是：</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临时承担的工作经费没有纳入年初预算。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51.3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51.30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其他优抚</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17.18</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退休干部去世抚恤金为当年财政直接下达，未在年初部门预算中体现。</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其他社会保障和就业</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其他社会保障和就业</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 w:eastAsia="zh-CN"/>
        </w:rPr>
        <w:t>90</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决算数大于年初预算数的主要原因是：</w:t>
      </w:r>
      <w:r>
        <w:rPr>
          <w:rFonts w:hint="eastAsia" w:ascii="仿宋_GB2312" w:hAnsi="仿宋_GB2312" w:eastAsia="仿宋_GB2312" w:cs="仿宋_GB2312"/>
          <w:sz w:val="32"/>
          <w:szCs w:val="32"/>
          <w:highlight w:val="none"/>
          <w:lang w:eastAsia="zh-CN"/>
        </w:rPr>
        <w:t>年末人员经费补差，未在</w:t>
      </w:r>
      <w:r>
        <w:rPr>
          <w:rFonts w:hint="eastAsia" w:ascii="仿宋_GB2312" w:hAnsi="仿宋_GB2312" w:eastAsia="仿宋_GB2312" w:cs="仿宋_GB2312"/>
          <w:sz w:val="32"/>
          <w:szCs w:val="32"/>
          <w:lang w:eastAsia="zh-CN"/>
        </w:rPr>
        <w:t>年初部门预算中体现。</w:t>
      </w:r>
      <w:bookmarkStart w:id="0" w:name="_GoBack"/>
      <w:bookmarkEnd w:id="0"/>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37.66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37.66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事业单位医疗</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9.02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9.02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住房改革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50.09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50.09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 w:eastAsia="zh-CN"/>
        </w:rPr>
        <w:t>主要原因是实际执行与年初预算一致。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1025.41</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922.09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89.92</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、绩效工资、机关事业单位基本养老保险缴费、退休费。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103.32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10.08</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水费、电</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差旅</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、工会经费、其他交通费用。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auto"/>
          <w:kern w:val="2"/>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51.78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落实过紧日子要求，厉行节约，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14.65</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落实过紧日子要求，厉行节约</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严格按预算执行；</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无增减变动，</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本部门未安排无</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32.67</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落实过紧日子要求，厉行节约；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0.81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29.24</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落实过紧日子要求，严控三公经费支出</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严格按预算执行；</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无增减变动，</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两年均未购置公务用车</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落实过紧日子要求，厉行节约；</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0.37</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公务用车使用年限增加，车辆维护费增加</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42.06</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万元，公务用车购置费及运行维护费支出决算</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57.94</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因公出国（境）费支出决算为0万元，全年安排因公出国（境）团组0个，累计0人次，我单位2023年度无因公出国（境）费支出。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科技创新指标对接、市外领导来岳调研、县市区汇报科技创新工作</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公务用车保险费、维护费、油费、高速公路过路费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十、关于机关运行经费支出说明</w:t>
      </w:r>
    </w:p>
    <w:p>
      <w:pPr>
        <w:pStyle w:val="12"/>
        <w:ind w:firstLine="640" w:firstLineChars="200"/>
        <w:rPr>
          <w:rFonts w:hint="eastAsia" w:ascii="楷体" w:hAnsi="楷体" w:eastAsia="仿宋_GB2312" w:cs="楷体"/>
          <w:sz w:val="32"/>
          <w:szCs w:val="32"/>
          <w:highlight w:val="none"/>
          <w:lang w:eastAsia="zh-CN"/>
        </w:rPr>
      </w:pP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年度机关运行经费支出</w:t>
      </w:r>
      <w:r>
        <w:rPr>
          <w:rFonts w:hint="eastAsia" w:ascii="仿宋_GB2312" w:hAnsi="仿宋_GB2312" w:eastAsia="仿宋_GB2312" w:cs="仿宋_GB2312"/>
          <w:sz w:val="32"/>
          <w:szCs w:val="32"/>
          <w:highlight w:val="none"/>
          <w:lang w:val="en-US" w:eastAsia="zh-CN"/>
        </w:rPr>
        <w:t>103.32</w:t>
      </w:r>
      <w:r>
        <w:rPr>
          <w:rFonts w:hint="eastAsia" w:ascii="仿宋_GB2312" w:hAnsi="仿宋_GB2312" w:eastAsia="仿宋_GB2312" w:cs="仿宋_GB2312"/>
          <w:sz w:val="32"/>
          <w:szCs w:val="32"/>
          <w:highlight w:val="none"/>
        </w:rPr>
        <w:t>万元，比上年决算数增加</w:t>
      </w:r>
      <w:r>
        <w:rPr>
          <w:rFonts w:hint="eastAsia" w:ascii="仿宋_GB2312" w:hAnsi="仿宋_GB2312" w:eastAsia="仿宋_GB2312" w:cs="仿宋_GB2312"/>
          <w:sz w:val="32"/>
          <w:szCs w:val="32"/>
          <w:highlight w:val="none"/>
          <w:lang w:val="en-US" w:eastAsia="zh-CN"/>
        </w:rPr>
        <w:t>15.32</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17.40</w:t>
      </w:r>
      <w:r>
        <w:rPr>
          <w:rFonts w:hint="eastAsia" w:ascii="仿宋_GB2312" w:hAnsi="仿宋_GB2312" w:eastAsia="仿宋_GB2312" w:cs="仿宋_GB2312"/>
          <w:sz w:val="32"/>
          <w:szCs w:val="32"/>
          <w:highlight w:val="none"/>
        </w:rPr>
        <w:t>%。主要原因是：</w:t>
      </w:r>
      <w:r>
        <w:rPr>
          <w:rFonts w:hint="eastAsia" w:ascii="仿宋_GB2312" w:hAnsi="宋体" w:eastAsia="仿宋_GB2312"/>
          <w:sz w:val="32"/>
          <w:szCs w:val="32"/>
          <w:highlight w:val="none"/>
        </w:rPr>
        <w:t>主要因为</w:t>
      </w:r>
      <w:r>
        <w:rPr>
          <w:rFonts w:hint="eastAsia" w:ascii="仿宋_GB2312" w:hAnsi="宋体" w:eastAsia="仿宋_GB2312"/>
          <w:sz w:val="32"/>
          <w:szCs w:val="32"/>
          <w:highlight w:val="none"/>
          <w:lang w:eastAsia="zh-CN"/>
        </w:rPr>
        <w:t>公务员招录和四海揽才人员增加，以及</w:t>
      </w:r>
      <w:r>
        <w:rPr>
          <w:rFonts w:hint="eastAsia" w:ascii="仿宋_GB2312" w:hAnsi="仿宋_GB2312" w:eastAsia="仿宋_GB2312" w:cs="仿宋_GB2312"/>
          <w:sz w:val="32"/>
          <w:szCs w:val="32"/>
          <w:highlight w:val="none"/>
          <w:lang w:eastAsia="zh-CN"/>
        </w:rPr>
        <w:t>科技创新指标攻坚力度加大</w:t>
      </w:r>
      <w:r>
        <w:rPr>
          <w:rFonts w:hint="eastAsia" w:ascii="仿宋_GB2312" w:hAnsi="宋体" w:eastAsia="仿宋_GB2312"/>
          <w:sz w:val="32"/>
          <w:szCs w:val="32"/>
          <w:highlight w:val="none"/>
          <w:lang w:eastAsia="zh-CN"/>
        </w:rPr>
        <w:t>，机关</w:t>
      </w:r>
      <w:r>
        <w:rPr>
          <w:rFonts w:hint="eastAsia" w:ascii="仿宋_GB2312" w:hAnsi="宋体" w:eastAsia="仿宋_GB2312"/>
          <w:sz w:val="32"/>
          <w:szCs w:val="32"/>
          <w:highlight w:val="none"/>
        </w:rPr>
        <w:t>日常运转</w:t>
      </w:r>
      <w:r>
        <w:rPr>
          <w:rFonts w:hint="eastAsia" w:ascii="仿宋_GB2312" w:hAnsi="宋体" w:eastAsia="仿宋_GB2312"/>
          <w:sz w:val="32"/>
          <w:szCs w:val="32"/>
          <w:highlight w:val="none"/>
          <w:lang w:eastAsia="zh-CN"/>
        </w:rPr>
        <w:t>成本</w:t>
      </w:r>
      <w:r>
        <w:rPr>
          <w:rFonts w:hint="eastAsia" w:ascii="仿宋_GB2312" w:hAnsi="宋体" w:eastAsia="仿宋_GB2312"/>
          <w:sz w:val="32"/>
          <w:szCs w:val="32"/>
          <w:highlight w:val="none"/>
        </w:rPr>
        <w:t>增加</w:t>
      </w:r>
      <w:r>
        <w:rPr>
          <w:rFonts w:hint="eastAsia" w:ascii="仿宋_GB2312" w:hAnsi="宋体" w:eastAsia="仿宋_GB2312"/>
          <w:sz w:val="32"/>
          <w:szCs w:val="32"/>
          <w:highlight w:val="none"/>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年度，会议费年初预算2万元，支出决算为2万元，完成年初预算的100%。用于召开全市科技创新大会，</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全市科技创新大会。</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培训费年初预算0.20万元，支出决算为0.35万元，完成年初预算的175%。用于开展全社会研发投入指标培训，人数65人，内容为指导县市区科技局业务人员开展全社会研发投入指标统计工作。</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247.16</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62.64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181.59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220.64</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89.27</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158.96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72.04</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92.7</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74.31</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截至2023年12月31日，本单位共有车辆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辆，其中，副部（省）级及以上领导用车0辆、主要负责人用车0辆、机要通信用车0辆、应急保障用车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辆、执法执勤用车0辆、特种专业技术用车0辆、离退休干部服务用车0辆、其他用车0辆；单位价值100万元以上设备（不含车辆）0台（套）。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1436.7万元，政府性基金预算支出0万元，国有资本经营预算支出0万元。从评价情况来看，整体支出绩效评价中，2023年整体支出1441.94万元，其中：基本支出1025.42万元，项目支出411.28万元，本单位整体支出绩效自评综合评分99.67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4个，共涉及资金30万元，占一般公共预算项目支出总额的7.29%。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优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根据年初设定的绩效目标，绩效自评得分为99.67分。全年预算数为1157.5 万元，执行数为1119.56万元，完成预算的96.72%。绩效目标完成情况：一是科技创新攻坚不断加力。迅速组建专班，抓好统筹调度，突出宣传引导；二是科技创新能力不断提升。创新主体实现新增长，投入产出实现新提升，技术攻关实现新突破。三是科技创新平台不断壮大。积极融入省四大实验室，着力推进国省平台创建，加快建设岳阳国家农高区。</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主要问题及原因：一是预算绩效管理工作稍显薄弱；二是人员专业素养有待进一步提高。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细化预算编制工作，进一步加强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二是积极对接项目资金，对财政资金下达时间滞后的项目，加强与财政部门的沟通联系，尽早取得资金的拨付，保障项目资金的投入进度，发挥资金的使用效益；三是加强人员业务素质的提高，采取集中学习、讲座、专题会议等方式，进一步统一认识，充实业务知识，提高预算绩效管理方面的理论、实务和具体操作水平，真正掌握预算绩效管理方法和操作规范，解决想干而不会干、任务完成质量不好、工作效率不高的问题，避免盲目工作、被动工作等现象；四是不断提高机关管理水平，优化公用经费支出，提高经费使用效益，确保机关高效运行。</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
      <w:pPr>
        <w:pStyle w:val="7"/>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4"/>
      </w:pPr>
    </w:p>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7990E"/>
    <w:multiLevelType w:val="singleLevel"/>
    <w:tmpl w:val="EFB7990E"/>
    <w:lvl w:ilvl="0" w:tentative="0">
      <w:start w:val="1"/>
      <w:numFmt w:val="chineseCounting"/>
      <w:lvlText w:val="(%1)"/>
      <w:lvlJc w:val="left"/>
      <w:pPr>
        <w:tabs>
          <w:tab w:val="left" w:pos="312"/>
        </w:tabs>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7BBA49D"/>
    <w:rsid w:val="1D97DEFF"/>
    <w:rsid w:val="1DFF72E5"/>
    <w:rsid w:val="1EFC6F07"/>
    <w:rsid w:val="1F0527A6"/>
    <w:rsid w:val="1FF3954A"/>
    <w:rsid w:val="22AC03C2"/>
    <w:rsid w:val="2CDE9B28"/>
    <w:rsid w:val="2FDE1D55"/>
    <w:rsid w:val="2FDF85B8"/>
    <w:rsid w:val="2FFFEE04"/>
    <w:rsid w:val="31C95635"/>
    <w:rsid w:val="33F6B710"/>
    <w:rsid w:val="33FB1D15"/>
    <w:rsid w:val="34DF85B0"/>
    <w:rsid w:val="39FD6BA0"/>
    <w:rsid w:val="3AA391D8"/>
    <w:rsid w:val="3B8F36BC"/>
    <w:rsid w:val="3CEF7BE8"/>
    <w:rsid w:val="3FDFF315"/>
    <w:rsid w:val="491FF225"/>
    <w:rsid w:val="4DFD7A94"/>
    <w:rsid w:val="4FD11210"/>
    <w:rsid w:val="4FFD214C"/>
    <w:rsid w:val="5352765A"/>
    <w:rsid w:val="5777D4F5"/>
    <w:rsid w:val="577BF07B"/>
    <w:rsid w:val="59DD8326"/>
    <w:rsid w:val="5DEF592A"/>
    <w:rsid w:val="5E3797D2"/>
    <w:rsid w:val="5F4EA076"/>
    <w:rsid w:val="5FC6BB1E"/>
    <w:rsid w:val="5FF720F1"/>
    <w:rsid w:val="67FF5C0B"/>
    <w:rsid w:val="6BAA4A2F"/>
    <w:rsid w:val="6EFC0924"/>
    <w:rsid w:val="6FB74722"/>
    <w:rsid w:val="6FEF8B7E"/>
    <w:rsid w:val="6FF7045B"/>
    <w:rsid w:val="71A6591B"/>
    <w:rsid w:val="737D59BA"/>
    <w:rsid w:val="737F32B1"/>
    <w:rsid w:val="73EF6169"/>
    <w:rsid w:val="777B9E70"/>
    <w:rsid w:val="77C37683"/>
    <w:rsid w:val="77EF29A3"/>
    <w:rsid w:val="79FF515B"/>
    <w:rsid w:val="7B5BF680"/>
    <w:rsid w:val="7D778CA2"/>
    <w:rsid w:val="7E9E1962"/>
    <w:rsid w:val="7E9F11B4"/>
    <w:rsid w:val="7EBF8CA1"/>
    <w:rsid w:val="7EF7306A"/>
    <w:rsid w:val="7F37EC1E"/>
    <w:rsid w:val="7F7DCD9D"/>
    <w:rsid w:val="7F970A6F"/>
    <w:rsid w:val="7FC1FFF3"/>
    <w:rsid w:val="7FC69637"/>
    <w:rsid w:val="7FD3F89E"/>
    <w:rsid w:val="7FDF8620"/>
    <w:rsid w:val="7FF5CE8B"/>
    <w:rsid w:val="7FFB242F"/>
    <w:rsid w:val="7FFDB408"/>
    <w:rsid w:val="7FFE4EEB"/>
    <w:rsid w:val="95FB2B98"/>
    <w:rsid w:val="9A639BC2"/>
    <w:rsid w:val="9CFFEAEB"/>
    <w:rsid w:val="9FBF47D4"/>
    <w:rsid w:val="9FF7D786"/>
    <w:rsid w:val="ABBFB23D"/>
    <w:rsid w:val="AF7B4647"/>
    <w:rsid w:val="B7CFFF03"/>
    <w:rsid w:val="B7FF36B4"/>
    <w:rsid w:val="BBFE20D1"/>
    <w:rsid w:val="C3B4DA5A"/>
    <w:rsid w:val="C7F783E6"/>
    <w:rsid w:val="CBFF70E0"/>
    <w:rsid w:val="CFF50B82"/>
    <w:rsid w:val="CFFFAD89"/>
    <w:rsid w:val="D73D1DDC"/>
    <w:rsid w:val="D75FB686"/>
    <w:rsid w:val="DABBE613"/>
    <w:rsid w:val="DFFE359E"/>
    <w:rsid w:val="DFFE4FFD"/>
    <w:rsid w:val="EBFEE38C"/>
    <w:rsid w:val="EDB5B326"/>
    <w:rsid w:val="EDD6A8E4"/>
    <w:rsid w:val="EEABED75"/>
    <w:rsid w:val="EF6DBF86"/>
    <w:rsid w:val="EFEB093D"/>
    <w:rsid w:val="F2F96EB7"/>
    <w:rsid w:val="F56FDF51"/>
    <w:rsid w:val="F5FF6D78"/>
    <w:rsid w:val="F6B69F17"/>
    <w:rsid w:val="F73FFB40"/>
    <w:rsid w:val="F77F1D61"/>
    <w:rsid w:val="F7B6F730"/>
    <w:rsid w:val="F7F5B0AF"/>
    <w:rsid w:val="F7FED3A9"/>
    <w:rsid w:val="F8C9DB26"/>
    <w:rsid w:val="F97E8EAE"/>
    <w:rsid w:val="F996DCEA"/>
    <w:rsid w:val="FAFF90EC"/>
    <w:rsid w:val="FB36E1A6"/>
    <w:rsid w:val="FB3BE134"/>
    <w:rsid w:val="FCFF4275"/>
    <w:rsid w:val="FCFFC933"/>
    <w:rsid w:val="FD7FEEEA"/>
    <w:rsid w:val="FDFFB577"/>
    <w:rsid w:val="FE3F1FD5"/>
    <w:rsid w:val="FEA3DDF7"/>
    <w:rsid w:val="FEEA50FE"/>
    <w:rsid w:val="FEFB3328"/>
    <w:rsid w:val="FF7D47A9"/>
    <w:rsid w:val="FF7E082C"/>
    <w:rsid w:val="FFAD451B"/>
    <w:rsid w:val="FFCCDD03"/>
    <w:rsid w:val="FFCF21CB"/>
    <w:rsid w:val="FFD5A6C6"/>
    <w:rsid w:val="FFE21E6A"/>
    <w:rsid w:val="FFFEAC31"/>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footnote text"/>
    <w:basedOn w:val="1"/>
    <w:next w:val="4"/>
    <w:semiHidden/>
    <w:qFormat/>
    <w:uiPriority w:val="0"/>
    <w:pPr>
      <w:snapToGrid w:val="0"/>
      <w:jc w:val="left"/>
    </w:pPr>
    <w:rPr>
      <w:sz w:val="18"/>
      <w:szCs w:val="18"/>
    </w:rPr>
  </w:style>
  <w:style w:type="character" w:customStyle="1" w:styleId="10">
    <w:name w:val="页眉 Char"/>
    <w:basedOn w:val="9"/>
    <w:link w:val="2"/>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21</TotalTime>
  <ScaleCrop>false</ScaleCrop>
  <LinksUpToDate>false</LinksUpToDate>
  <CharactersWithSpaces>9008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2020-07-10T10:32:00Z</dcterms:created>
  <dc:creator>李航 null</dc:creator>
  <cp:lastModifiedBy>xjkp</cp:lastModifiedBy>
  <cp:lastPrinted>2024-08-10T18:20:00Z</cp:lastPrinted>
  <dcterms:modified xsi:type="dcterms:W3CDTF">2025-08-25T11:23:24Z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98623D6660B449428EB8E073C6C952EA</vt:lpwstr>
  </property>
</Properties>
</file>