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6EDB0C">
      <w:pPr>
        <w:pStyle w:val="14"/>
        <w:jc w:val="center"/>
        <w:rPr>
          <w:sz w:val="56"/>
          <w:szCs w:val="56"/>
        </w:rPr>
      </w:pPr>
    </w:p>
    <w:p w14:paraId="59A92146">
      <w:pPr>
        <w:pStyle w:val="14"/>
        <w:jc w:val="center"/>
        <w:rPr>
          <w:sz w:val="56"/>
          <w:szCs w:val="56"/>
        </w:rPr>
      </w:pPr>
    </w:p>
    <w:p w14:paraId="0302CA6B">
      <w:pPr>
        <w:pStyle w:val="14"/>
        <w:jc w:val="center"/>
        <w:rPr>
          <w:sz w:val="84"/>
          <w:szCs w:val="84"/>
        </w:rPr>
      </w:pPr>
    </w:p>
    <w:p w14:paraId="6D4EBA22">
      <w:pPr>
        <w:pStyle w:val="14"/>
        <w:jc w:val="center"/>
        <w:rPr>
          <w:sz w:val="84"/>
          <w:szCs w:val="84"/>
        </w:rPr>
      </w:pPr>
    </w:p>
    <w:p w14:paraId="4913ABBA">
      <w:pPr>
        <w:pStyle w:val="14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202</w:t>
      </w:r>
      <w:r>
        <w:rPr>
          <w:rFonts w:hint="eastAsia" w:ascii="方正小标宋_GBK" w:hAnsi="方正小标宋_GBK" w:eastAsia="方正小标宋_GBK" w:cs="方正小标宋_GBK"/>
          <w:sz w:val="84"/>
          <w:szCs w:val="84"/>
          <w:lang w:val="en-US" w:eastAsia="zh-CN"/>
        </w:rPr>
        <w:t>3</w:t>
      </w: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年度</w:t>
      </w:r>
    </w:p>
    <w:p w14:paraId="0AC84234">
      <w:pPr>
        <w:pStyle w:val="14"/>
        <w:jc w:val="center"/>
        <w:rPr>
          <w:rFonts w:hint="eastAsia" w:ascii="方正小标宋_GBK" w:hAnsi="方正小标宋_GBK" w:eastAsia="方正小标宋_GBK" w:cs="方正小标宋_GBK"/>
          <w:sz w:val="84"/>
          <w:szCs w:val="8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  <w:lang w:eastAsia="zh-CN"/>
        </w:rPr>
        <w:t>岳阳市公安局君山分局</w:t>
      </w:r>
    </w:p>
    <w:p w14:paraId="62261706">
      <w:pPr>
        <w:pStyle w:val="14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部门决算</w:t>
      </w:r>
    </w:p>
    <w:p w14:paraId="5CAB78CA">
      <w:pPr>
        <w:pStyle w:val="14"/>
        <w:jc w:val="center"/>
        <w:rPr>
          <w:rFonts w:hint="eastAsia" w:ascii="方正小标宋_GBK" w:hAnsi="方正小标宋_GBK" w:eastAsia="方正小标宋_GBK" w:cs="方正小标宋_GBK"/>
          <w:sz w:val="56"/>
          <w:szCs w:val="56"/>
        </w:rPr>
      </w:pPr>
    </w:p>
    <w:p w14:paraId="07BDA661">
      <w:pPr>
        <w:pStyle w:val="14"/>
        <w:jc w:val="center"/>
        <w:rPr>
          <w:sz w:val="56"/>
          <w:szCs w:val="56"/>
        </w:rPr>
      </w:pPr>
    </w:p>
    <w:p w14:paraId="0885B80C">
      <w:pPr>
        <w:pStyle w:val="14"/>
        <w:jc w:val="center"/>
        <w:rPr>
          <w:sz w:val="56"/>
          <w:szCs w:val="56"/>
        </w:rPr>
      </w:pPr>
    </w:p>
    <w:p w14:paraId="52ABA781">
      <w:pPr>
        <w:pStyle w:val="14"/>
        <w:jc w:val="center"/>
        <w:rPr>
          <w:sz w:val="56"/>
          <w:szCs w:val="56"/>
        </w:rPr>
      </w:pPr>
    </w:p>
    <w:p w14:paraId="468B21DC">
      <w:pPr>
        <w:pStyle w:val="14"/>
        <w:jc w:val="center"/>
        <w:rPr>
          <w:sz w:val="32"/>
          <w:szCs w:val="32"/>
        </w:rPr>
      </w:pPr>
    </w:p>
    <w:p w14:paraId="5FE52D0E">
      <w:pPr>
        <w:pStyle w:val="14"/>
        <w:jc w:val="center"/>
        <w:rPr>
          <w:sz w:val="32"/>
          <w:szCs w:val="32"/>
        </w:rPr>
      </w:pPr>
    </w:p>
    <w:p w14:paraId="74E48892">
      <w:pPr>
        <w:pStyle w:val="14"/>
        <w:jc w:val="center"/>
        <w:rPr>
          <w:sz w:val="32"/>
          <w:szCs w:val="32"/>
        </w:rPr>
      </w:pPr>
    </w:p>
    <w:p w14:paraId="4068E2C4">
      <w:pPr>
        <w:pStyle w:val="14"/>
        <w:spacing w:line="500" w:lineRule="exact"/>
        <w:jc w:val="both"/>
        <w:rPr>
          <w:b/>
          <w:sz w:val="36"/>
          <w:szCs w:val="28"/>
        </w:rPr>
      </w:pPr>
    </w:p>
    <w:p w14:paraId="7BBC54F8">
      <w:pPr>
        <w:pStyle w:val="14"/>
        <w:spacing w:line="500" w:lineRule="exact"/>
        <w:jc w:val="center"/>
        <w:rPr>
          <w:b/>
          <w:sz w:val="36"/>
          <w:szCs w:val="28"/>
        </w:rPr>
      </w:pPr>
      <w:r>
        <w:rPr>
          <w:rFonts w:hint="eastAsia"/>
          <w:b/>
          <w:sz w:val="36"/>
          <w:szCs w:val="28"/>
        </w:rPr>
        <w:t>目录</w:t>
      </w:r>
    </w:p>
    <w:p w14:paraId="52468A3C">
      <w:pPr>
        <w:pStyle w:val="14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第一部分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eastAsia="zh-CN"/>
        </w:rPr>
        <w:t>岳阳市公安局君山分局</w:t>
      </w:r>
    </w:p>
    <w:p w14:paraId="2902AABE">
      <w:pPr>
        <w:pStyle w:val="14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一、部门职责</w:t>
      </w:r>
    </w:p>
    <w:p w14:paraId="4CC5E713">
      <w:pPr>
        <w:pStyle w:val="14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二、机构设置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及决算单位构成</w:t>
      </w:r>
    </w:p>
    <w:p w14:paraId="2E8BB70A">
      <w:pPr>
        <w:pStyle w:val="14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第二部分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部门决算表</w:t>
      </w:r>
    </w:p>
    <w:p w14:paraId="2878C1CF">
      <w:pPr>
        <w:pStyle w:val="14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一、收入支出决算总表</w:t>
      </w:r>
    </w:p>
    <w:p w14:paraId="39A81C07">
      <w:pPr>
        <w:pStyle w:val="14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二、收入决算表</w:t>
      </w:r>
    </w:p>
    <w:p w14:paraId="2A3C2E1E">
      <w:pPr>
        <w:pStyle w:val="14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三、支出决算表</w:t>
      </w:r>
    </w:p>
    <w:p w14:paraId="7E438EB5">
      <w:pPr>
        <w:pStyle w:val="14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四、财政拨款收入支出决算总表</w:t>
      </w:r>
    </w:p>
    <w:p w14:paraId="6E4D0036">
      <w:pPr>
        <w:pStyle w:val="14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五、一般公共预算财政拨款支出决算表</w:t>
      </w:r>
    </w:p>
    <w:p w14:paraId="309CE6D7">
      <w:pPr>
        <w:pStyle w:val="14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六、一般公共预算财政拨款基本支出决算明细表</w:t>
      </w:r>
    </w:p>
    <w:p w14:paraId="4A419C68">
      <w:pPr>
        <w:pStyle w:val="14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七、政府性基金预算财政拨款收入支出决算表</w:t>
      </w:r>
    </w:p>
    <w:p w14:paraId="28687B31">
      <w:pPr>
        <w:pStyle w:val="14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八、国有资本经营预算财政拨款支出决算表</w:t>
      </w:r>
    </w:p>
    <w:p w14:paraId="12F8F64D">
      <w:pPr>
        <w:pStyle w:val="14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九、财政拨款“三公”经费支出决算表</w:t>
      </w:r>
    </w:p>
    <w:p w14:paraId="4E3A754E">
      <w:pPr>
        <w:pStyle w:val="14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第三部分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部门决算情况说明</w:t>
      </w:r>
    </w:p>
    <w:p w14:paraId="76D01A6B">
      <w:pPr>
        <w:pStyle w:val="14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一、收入支出决算总体情况说明</w:t>
      </w:r>
    </w:p>
    <w:p w14:paraId="4C230DB5">
      <w:pPr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二、收入决算情况说明</w:t>
      </w:r>
    </w:p>
    <w:p w14:paraId="285125B8"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三、支出决算情况说明</w:t>
      </w:r>
    </w:p>
    <w:p w14:paraId="59D68432"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四、财政拨款收入支出决算总体情况说明</w:t>
      </w:r>
    </w:p>
    <w:p w14:paraId="65EB8715"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五、一般公共预算财政拨款支出决算情况说明</w:t>
      </w:r>
    </w:p>
    <w:p w14:paraId="360EB810"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六、一般公共预算财政拨款基本支出决算情况说明</w:t>
      </w:r>
    </w:p>
    <w:p w14:paraId="0D39C7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七、政府性基金预算收入支出决算情况</w:t>
      </w:r>
    </w:p>
    <w:p w14:paraId="16F28E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八、</w:t>
      </w:r>
      <w:r>
        <w:rPr>
          <w:rFonts w:hint="eastAsia" w:ascii="仿宋_GB2312" w:hAnsi="仿宋_GB2312" w:eastAsia="仿宋_GB2312" w:cs="仿宋_GB2312"/>
          <w:sz w:val="28"/>
          <w:szCs w:val="28"/>
        </w:rPr>
        <w:t>国有资本经营预算财政拨款支出决算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情况</w:t>
      </w:r>
    </w:p>
    <w:p w14:paraId="5D17E0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九、财政拨款三公经费支出决算情况说明</w:t>
      </w:r>
    </w:p>
    <w:p w14:paraId="370A20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十、关于机关运行经费支出说明</w:t>
      </w:r>
    </w:p>
    <w:p w14:paraId="36502E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十一、一般性支出情况说明</w:t>
      </w:r>
    </w:p>
    <w:p w14:paraId="58F248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十二、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关于政府采购支出说明</w:t>
      </w:r>
    </w:p>
    <w:p w14:paraId="61A8D3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  <w:t>十三、关于国有资产占用情况说明</w:t>
      </w:r>
    </w:p>
    <w:p w14:paraId="577BF63F">
      <w:pPr>
        <w:pStyle w:val="14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  <w:t>十四、</w:t>
      </w:r>
      <w:r>
        <w:rPr>
          <w:rFonts w:hint="eastAsia" w:ascii="仿宋_GB2312" w:hAnsi="仿宋_GB2312" w:eastAsia="仿宋_GB2312" w:cs="仿宋_GB2312"/>
          <w:sz w:val="28"/>
          <w:szCs w:val="28"/>
        </w:rPr>
        <w:t>关于</w:t>
      </w:r>
      <w:r>
        <w:rPr>
          <w:rFonts w:hint="default" w:ascii="Times New Roman" w:hAnsi="Times New Roman" w:eastAsia="仿宋_GB2312" w:cs="Times New Roman"/>
          <w:sz w:val="28"/>
          <w:szCs w:val="28"/>
        </w:rPr>
        <w:t>202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年度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预算</w:t>
      </w:r>
      <w:r>
        <w:rPr>
          <w:rFonts w:hint="eastAsia" w:ascii="仿宋_GB2312" w:hAnsi="仿宋_GB2312" w:eastAsia="仿宋_GB2312" w:cs="仿宋_GB2312"/>
          <w:sz w:val="28"/>
          <w:szCs w:val="28"/>
        </w:rPr>
        <w:t>绩效情况的说明</w:t>
      </w:r>
    </w:p>
    <w:p w14:paraId="1B418104">
      <w:pPr>
        <w:pStyle w:val="14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第四部分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名词解释</w:t>
      </w:r>
    </w:p>
    <w:p w14:paraId="3727F934">
      <w:pPr>
        <w:pStyle w:val="14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</w:t>
      </w:r>
      <w:r>
        <w:rPr>
          <w:rFonts w:hint="eastAsia" w:hAnsi="黑体" w:cs="黑体"/>
          <w:b w:val="0"/>
          <w:bCs/>
          <w:sz w:val="28"/>
          <w:szCs w:val="28"/>
          <w:lang w:eastAsia="zh-CN"/>
        </w:rPr>
        <w:t>五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hAnsi="黑体" w:cs="黑体"/>
          <w:b w:val="0"/>
          <w:bCs/>
          <w:sz w:val="28"/>
          <w:szCs w:val="28"/>
          <w:lang w:eastAsia="zh-CN"/>
        </w:rPr>
        <w:t>附件</w:t>
      </w:r>
    </w:p>
    <w:p w14:paraId="18A5135E">
      <w:pPr>
        <w:pStyle w:val="14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37353A6B">
      <w:pPr>
        <w:pStyle w:val="14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1B9D8441">
      <w:pPr>
        <w:pStyle w:val="14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 xml:space="preserve">第一部分 </w:t>
      </w:r>
    </w:p>
    <w:p w14:paraId="3B4873CC">
      <w:pPr>
        <w:pStyle w:val="14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69497B70">
      <w:pPr>
        <w:pStyle w:val="14"/>
        <w:jc w:val="center"/>
        <w:rPr>
          <w:rFonts w:hint="eastAsia"/>
          <w:sz w:val="84"/>
          <w:szCs w:val="84"/>
          <w:lang w:eastAsia="zh-CN"/>
        </w:rPr>
      </w:pPr>
      <w:r>
        <w:rPr>
          <w:rFonts w:hint="eastAsia"/>
          <w:sz w:val="84"/>
          <w:szCs w:val="84"/>
          <w:lang w:eastAsia="zh-CN"/>
        </w:rPr>
        <w:t>岳阳市公安局</w:t>
      </w:r>
    </w:p>
    <w:p w14:paraId="4BA7BB3D">
      <w:pPr>
        <w:pStyle w:val="14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/>
          <w:sz w:val="84"/>
          <w:szCs w:val="84"/>
          <w:lang w:eastAsia="zh-CN"/>
        </w:rPr>
        <w:t>君山分局</w:t>
      </w:r>
      <w:r>
        <w:rPr>
          <w:rFonts w:hint="eastAsia"/>
          <w:sz w:val="84"/>
          <w:szCs w:val="84"/>
        </w:rPr>
        <w:t>单位概况</w:t>
      </w:r>
    </w:p>
    <w:p w14:paraId="2099A986">
      <w:pPr>
        <w:pStyle w:val="8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7047B932">
      <w:pPr>
        <w:pStyle w:val="4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73E627F1">
      <w:pPr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1B36B1D6">
      <w:pPr>
        <w:pStyle w:val="4"/>
        <w:ind w:left="0" w:leftChars="0" w:firstLine="0" w:firstLineChars="0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23C73DAC">
      <w:pPr>
        <w:pStyle w:val="15"/>
        <w:numPr>
          <w:ilvl w:val="0"/>
          <w:numId w:val="1"/>
        </w:numPr>
        <w:ind w:firstLineChars="0"/>
        <w:jc w:val="left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部门职责</w:t>
      </w:r>
    </w:p>
    <w:p w14:paraId="564CDD69">
      <w:pPr>
        <w:widowControl/>
        <w:spacing w:line="600" w:lineRule="exact"/>
        <w:ind w:firstLine="640" w:firstLineChars="200"/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  <w:t>（一）预防制止和侦查违法犯罪活动；</w:t>
      </w:r>
    </w:p>
    <w:p w14:paraId="7BBB8B52">
      <w:pPr>
        <w:widowControl/>
        <w:spacing w:line="600" w:lineRule="exact"/>
        <w:ind w:firstLine="640" w:firstLineChars="200"/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  <w:t>（二）维护社会治安秩序，制止危害社会治安秩序的行为；</w:t>
      </w:r>
    </w:p>
    <w:p w14:paraId="3309C48C">
      <w:pPr>
        <w:widowControl/>
        <w:spacing w:line="600" w:lineRule="exact"/>
        <w:ind w:firstLine="640" w:firstLineChars="200"/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  <w:t>（三）组织实施消防工作，实行消防监督；</w:t>
      </w:r>
    </w:p>
    <w:p w14:paraId="67D2ED53">
      <w:pPr>
        <w:widowControl/>
        <w:spacing w:line="600" w:lineRule="exact"/>
        <w:ind w:firstLine="640" w:firstLineChars="200"/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  <w:t>（四）管理枪支弹药、控制刀具和易燃易爆、剧毒、放射等危险物品；对法律、法规指定的特种行业进行管理；</w:t>
      </w:r>
    </w:p>
    <w:p w14:paraId="66451002">
      <w:pPr>
        <w:widowControl/>
        <w:spacing w:line="600" w:lineRule="exact"/>
        <w:ind w:firstLine="640" w:firstLineChars="200"/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  <w:t>（五）警卫国家规定的特定人员，守卫重要的场所和设施；管理集会、游行、示威活动；</w:t>
      </w:r>
    </w:p>
    <w:p w14:paraId="29CEF847">
      <w:pPr>
        <w:widowControl/>
        <w:spacing w:line="600" w:lineRule="exact"/>
        <w:ind w:firstLine="640" w:firstLineChars="200"/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  <w:t>（六）管理户政、国籍、出入境事务和外国人在中国境内居留、旅行的有关事务；</w:t>
      </w:r>
    </w:p>
    <w:p w14:paraId="483FCF82">
      <w:pPr>
        <w:widowControl/>
        <w:spacing w:line="600" w:lineRule="exact"/>
        <w:ind w:firstLine="640" w:firstLineChars="200"/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  <w:t>（七）维护国边境地区的治安秩序；管理监督计算机信息系统的安全保卫工作；</w:t>
      </w:r>
    </w:p>
    <w:p w14:paraId="2C08A42B">
      <w:pPr>
        <w:widowControl/>
        <w:spacing w:line="600" w:lineRule="exact"/>
        <w:ind w:firstLine="640" w:firstLineChars="200"/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  <w:t>（八）指导监督国家机关、社会团体、企业事业组织和重点建设工程的治安保卫工作，指导治安保卫委员会等群众性组织的治安防范工作；</w:t>
      </w:r>
    </w:p>
    <w:p w14:paraId="613A2AE5">
      <w:pPr>
        <w:widowControl/>
        <w:spacing w:line="600" w:lineRule="exact"/>
        <w:ind w:firstLine="640" w:firstLineChars="200"/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  <w:t>（九）法律法规规定的其他职责。</w:t>
      </w:r>
    </w:p>
    <w:p w14:paraId="63973CC1">
      <w:pPr>
        <w:widowControl/>
        <w:spacing w:line="600" w:lineRule="exact"/>
        <w:rPr>
          <w:rFonts w:hint="eastAsia" w:ascii="黑体" w:hAnsi="黑体" w:eastAsia="黑体" w:cs="黑体"/>
          <w:b w:val="0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</w:rPr>
        <w:t>二、机构设置及决算单位构成</w:t>
      </w:r>
    </w:p>
    <w:p w14:paraId="4A38840E">
      <w:pPr>
        <w:widowControl/>
        <w:spacing w:line="600" w:lineRule="exact"/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（一）内设机构设置。</w:t>
      </w:r>
    </w:p>
    <w:p w14:paraId="268C31DE">
      <w:pPr>
        <w:widowControl/>
        <w:spacing w:line="600" w:lineRule="exact"/>
        <w:ind w:firstLine="640" w:firstLineChars="200"/>
        <w:rPr>
          <w:rFonts w:hint="eastAsia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  <w:t>岳阳市公安局君山分局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单位内设机构包括：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  <w:t>政工室、警务保障室、纪委检查室、办公室、法制大队、国保大队、刑事侦查大队、经侦大队、治安大队、拘留所等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val="en-US" w:eastAsia="zh-CN"/>
        </w:rPr>
        <w:t>16个内设机构，下属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  <w:t>林角佬派出所、君山派出所、柳林洲派出所、广兴洲派出所、许市派出所、采桑湖派出所、钱粮湖派出所、良心堡派出所等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val="en-US" w:eastAsia="zh-CN"/>
        </w:rPr>
        <w:t>8个派出所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  <w:t>。</w:t>
      </w:r>
    </w:p>
    <w:p w14:paraId="663DD316">
      <w:pPr>
        <w:widowControl/>
        <w:numPr>
          <w:ilvl w:val="0"/>
          <w:numId w:val="2"/>
        </w:numPr>
        <w:spacing w:line="600" w:lineRule="exact"/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决算单位构成。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val="en-US" w:eastAsia="zh-CN"/>
        </w:rPr>
        <w:t xml:space="preserve">  </w:t>
      </w:r>
    </w:p>
    <w:p w14:paraId="79F534E8">
      <w:pPr>
        <w:widowControl/>
        <w:numPr>
          <w:ilvl w:val="0"/>
          <w:numId w:val="0"/>
        </w:numPr>
        <w:spacing w:line="600" w:lineRule="exact"/>
        <w:ind w:firstLine="640" w:firstLineChars="200"/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  <w:t>本单位无独立核算的下属单位，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val="en-US" w:eastAsia="zh-CN"/>
        </w:rPr>
        <w:t>2023年度部门决算汇总公开单位仅包括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  <w:t>岳阳市公安局君山分局本级。</w:t>
      </w:r>
    </w:p>
    <w:p w14:paraId="307CC893">
      <w:pPr>
        <w:pStyle w:val="4"/>
      </w:pPr>
    </w:p>
    <w:p w14:paraId="67336D9B"/>
    <w:p w14:paraId="662EAA66">
      <w:pPr>
        <w:pStyle w:val="8"/>
      </w:pPr>
    </w:p>
    <w:p w14:paraId="3777BDB2">
      <w:pPr>
        <w:pStyle w:val="4"/>
      </w:pPr>
    </w:p>
    <w:p w14:paraId="19FDEBE2"/>
    <w:p w14:paraId="40C5B802">
      <w:pPr>
        <w:pStyle w:val="8"/>
      </w:pPr>
    </w:p>
    <w:p w14:paraId="3F6F8A4B">
      <w:pPr>
        <w:pStyle w:val="4"/>
      </w:pPr>
    </w:p>
    <w:p w14:paraId="07308B9A"/>
    <w:p w14:paraId="75C23403">
      <w:pPr>
        <w:pStyle w:val="8"/>
      </w:pPr>
    </w:p>
    <w:p w14:paraId="41CAEC01">
      <w:pPr>
        <w:pStyle w:val="4"/>
      </w:pPr>
    </w:p>
    <w:p w14:paraId="2F015184"/>
    <w:p w14:paraId="0FE35C6E">
      <w:pPr>
        <w:pStyle w:val="8"/>
      </w:pPr>
    </w:p>
    <w:p w14:paraId="32931A43">
      <w:pPr>
        <w:pStyle w:val="4"/>
      </w:pPr>
    </w:p>
    <w:p w14:paraId="07DE0C74">
      <w:pPr>
        <w:pStyle w:val="14"/>
        <w:jc w:val="both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5746F25F">
      <w:pPr>
        <w:pStyle w:val="14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第二部分</w:t>
      </w:r>
    </w:p>
    <w:p w14:paraId="70358FB6">
      <w:pPr>
        <w:pStyle w:val="14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6FEDB16E">
      <w:pPr>
        <w:pStyle w:val="14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部门决算表</w:t>
      </w:r>
    </w:p>
    <w:p w14:paraId="5259A835">
      <w:pPr>
        <w:pStyle w:val="14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  <w:t>（见附件）</w:t>
      </w:r>
    </w:p>
    <w:p w14:paraId="25A0D8AE">
      <w:pPr>
        <w:pStyle w:val="14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73E47848">
      <w:pPr>
        <w:pStyle w:val="14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39CC9D52">
      <w:pPr>
        <w:pStyle w:val="14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33E95ADC">
      <w:pPr>
        <w:pStyle w:val="14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1FAF25F6">
      <w:pPr>
        <w:pStyle w:val="14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17026A2C">
      <w:pPr>
        <w:pStyle w:val="14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37DC4392">
      <w:pPr>
        <w:pStyle w:val="14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2A24EC18">
      <w:pPr>
        <w:pStyle w:val="14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24DC2C54">
      <w:pPr>
        <w:pStyle w:val="14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4DA2753F">
      <w:pPr>
        <w:pStyle w:val="14"/>
        <w:jc w:val="both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7F220E2F">
      <w:pPr>
        <w:pStyle w:val="14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第三部分</w:t>
      </w:r>
    </w:p>
    <w:p w14:paraId="243797AA">
      <w:pPr>
        <w:pStyle w:val="14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77D32627">
      <w:pPr>
        <w:pStyle w:val="14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  <w:r>
        <w:rPr>
          <w:rFonts w:hint="eastAsia" w:ascii="方正小标宋_GBK" w:hAnsi="方正小标宋_GBK" w:eastAsia="方正小标宋_GBK" w:cs="方正小标宋_GBK"/>
          <w:sz w:val="70"/>
          <w:szCs w:val="70"/>
        </w:rPr>
        <w:t>202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lang w:val="en-US" w:eastAsia="zh-CN"/>
        </w:rPr>
        <w:t>3</w:t>
      </w:r>
      <w:r>
        <w:rPr>
          <w:rFonts w:hint="eastAsia" w:ascii="方正小标宋_GBK" w:hAnsi="方正小标宋_GBK" w:eastAsia="方正小标宋_GBK" w:cs="方正小标宋_GBK"/>
          <w:sz w:val="70"/>
          <w:szCs w:val="70"/>
        </w:rPr>
        <w:t>年度部门决算情况说明</w:t>
      </w:r>
    </w:p>
    <w:p w14:paraId="190980D7">
      <w:pPr>
        <w:pStyle w:val="14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1EE25D37">
      <w:pPr>
        <w:pStyle w:val="14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261A48D2">
      <w:pPr>
        <w:pStyle w:val="14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03342C51">
      <w:pPr>
        <w:pStyle w:val="14"/>
        <w:jc w:val="both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289DB428">
      <w:pPr>
        <w:widowControl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说明：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</w:rPr>
        <w:t>由于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部门</w:t>
      </w:r>
      <w:r>
        <w:rPr>
          <w:rFonts w:hint="eastAsia" w:ascii="仿宋_GB2312" w:hAnsi="仿宋_GB2312" w:eastAsia="仿宋_GB2312" w:cs="仿宋_GB2312"/>
          <w:sz w:val="32"/>
          <w:szCs w:val="32"/>
        </w:rPr>
        <w:t>决算编制时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数据</w:t>
      </w:r>
      <w:r>
        <w:rPr>
          <w:rFonts w:hint="eastAsia" w:ascii="仿宋_GB2312" w:hAnsi="仿宋_GB2312" w:eastAsia="仿宋_GB2312" w:cs="仿宋_GB2312"/>
          <w:sz w:val="32"/>
          <w:szCs w:val="32"/>
        </w:rPr>
        <w:t>明细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至“金额单位：元</w:t>
      </w:r>
      <w:r>
        <w:rPr>
          <w:rFonts w:hint="eastAsia" w:ascii="仿宋_GB2312" w:hAnsi="仿宋_GB2312" w:eastAsia="仿宋_GB2312" w:cs="仿宋_GB2312"/>
          <w:sz w:val="32"/>
          <w:szCs w:val="32"/>
        </w:rPr>
        <w:t>”，而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本套部门决算文字说明</w:t>
      </w:r>
      <w:r>
        <w:rPr>
          <w:rFonts w:hint="eastAsia" w:ascii="仿宋_GB2312" w:hAnsi="仿宋_GB2312" w:eastAsia="仿宋_GB2312" w:cs="仿宋_GB2312"/>
          <w:sz w:val="32"/>
          <w:szCs w:val="32"/>
        </w:rPr>
        <w:t>和公开表格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数据</w:t>
      </w:r>
      <w:r>
        <w:rPr>
          <w:rFonts w:hint="eastAsia" w:ascii="仿宋_GB2312" w:hAnsi="仿宋_GB2312" w:eastAsia="仿宋_GB2312" w:cs="仿宋_GB2312"/>
          <w:sz w:val="32"/>
          <w:szCs w:val="32"/>
        </w:rPr>
        <w:t>取数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转换为</w:t>
      </w:r>
      <w:r>
        <w:rPr>
          <w:rFonts w:hint="eastAsia" w:ascii="仿宋_GB2312" w:hAnsi="仿宋_GB2312" w:eastAsia="仿宋_GB2312" w:cs="仿宋_GB2312"/>
          <w:sz w:val="32"/>
          <w:szCs w:val="32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金额单位：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万元”，可能导致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以下文字说明中的各项数据取数以及公开</w:t>
      </w:r>
      <w:r>
        <w:rPr>
          <w:rFonts w:hint="eastAsia" w:ascii="仿宋_GB2312" w:hAnsi="仿宋_GB2312" w:eastAsia="仿宋_GB2312" w:cs="仿宋_GB2312"/>
          <w:sz w:val="32"/>
          <w:szCs w:val="32"/>
        </w:rPr>
        <w:t>表格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中的各项数据取数之间存在</w:t>
      </w:r>
      <w:r>
        <w:rPr>
          <w:rFonts w:hint="eastAsia" w:ascii="仿宋_GB2312" w:hAnsi="仿宋_GB2312" w:eastAsia="仿宋_GB2312" w:cs="仿宋_GB2312"/>
          <w:sz w:val="32"/>
          <w:szCs w:val="32"/>
        </w:rPr>
        <w:t>0.01的尾数差异。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2、以下文字说明中，部分科目由于预算数为0，无法计算完成年初预算的百分比，故未描述“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完成年初预算的XX%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”。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 w14:paraId="4A15DDEA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一、收入支出决算总体情况说明</w:t>
      </w:r>
    </w:p>
    <w:p w14:paraId="3364F7F5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年度收、支总计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6350.18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万元。与上年相比，减少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1248.52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16.43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%，主要是因为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公务交通补助未纳入预算中，基建项目支出减少。</w:t>
      </w:r>
    </w:p>
    <w:p w14:paraId="1D2FB591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二、收入决算情况说明</w:t>
      </w:r>
    </w:p>
    <w:p w14:paraId="1FE76C01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年度收入合计6350.1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万元，其中：财政拨款收入4978.74万元，占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78.40</w:t>
      </w:r>
      <w:r>
        <w:rPr>
          <w:rFonts w:hint="eastAsia" w:ascii="仿宋_GB2312" w:hAnsi="仿宋_GB2312" w:eastAsia="仿宋_GB2312" w:cs="仿宋_GB2312"/>
          <w:sz w:val="32"/>
          <w:szCs w:val="32"/>
        </w:rPr>
        <w:t>%；上级补助收入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%；事业收入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%；经营收入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%；附属单位上缴收入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%；其他收入1371.44万元，占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21.6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 w14:paraId="5123A8A2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三、支出决算情况说明</w:t>
      </w:r>
    </w:p>
    <w:p w14:paraId="1E89CE4A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年度支出合计6350.19万元，其中：基本支出2543.14万元，占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40.05</w:t>
      </w:r>
      <w:r>
        <w:rPr>
          <w:rFonts w:hint="eastAsia" w:ascii="仿宋_GB2312" w:hAnsi="仿宋_GB2312" w:eastAsia="仿宋_GB2312" w:cs="仿宋_GB2312"/>
          <w:sz w:val="32"/>
          <w:szCs w:val="32"/>
        </w:rPr>
        <w:t>%；项目支出3807.05万元，占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59.95</w:t>
      </w:r>
      <w:r>
        <w:rPr>
          <w:rFonts w:hint="eastAsia" w:ascii="仿宋_GB2312" w:hAnsi="仿宋_GB2312" w:eastAsia="仿宋_GB2312" w:cs="仿宋_GB2312"/>
          <w:sz w:val="32"/>
          <w:szCs w:val="32"/>
        </w:rPr>
        <w:t>%；上缴上级支出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%；经营支出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%；对附属单位补助支出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 w14:paraId="3E5B0FCD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四、财政拨款收入支出决算总体情况说明</w:t>
      </w:r>
    </w:p>
    <w:p w14:paraId="4F471CFC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年度财政拨款收、支总计4978.74万元，与上年相比，减少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774.73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万元,减少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13.47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%，主要是因为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公务交通补助未纳入预算，基建项目支出减少</w:t>
      </w:r>
      <w:r>
        <w:rPr>
          <w:rFonts w:hint="eastAsia" w:ascii="宋体" w:hAnsi="Times New Roman" w:eastAsia="宋体" w:cs="宋体"/>
          <w:sz w:val="32"/>
          <w:szCs w:val="32"/>
          <w:lang w:eastAsia="zh-CN"/>
        </w:rPr>
        <w:t>。</w:t>
      </w:r>
    </w:p>
    <w:p w14:paraId="621FA10C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五、一般公共预算财政拨款支出决算情况说明</w:t>
      </w:r>
    </w:p>
    <w:p w14:paraId="092449F9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（一）一般公共预算财政拨款支出决算总体情况</w:t>
      </w:r>
    </w:p>
    <w:p w14:paraId="6A6FE937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年度财政拨款支出4978.74万元，占本年支出合计的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78.40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%，与上年相比，财政拨款支出减少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774.73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13.47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%，主要是因主要是因为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公务交通补助未纳入预算，基建项目支出减少</w:t>
      </w:r>
      <w:r>
        <w:rPr>
          <w:rFonts w:hint="eastAsia" w:ascii="宋体" w:hAnsi="Times New Roman" w:eastAsia="宋体" w:cs="宋体"/>
          <w:sz w:val="32"/>
          <w:szCs w:val="32"/>
          <w:lang w:eastAsia="zh-CN"/>
        </w:rPr>
        <w:t>。</w:t>
      </w:r>
    </w:p>
    <w:p w14:paraId="571097DC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86AB855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（二）一般公共预算财政拨款支出决算结构情况</w:t>
      </w:r>
    </w:p>
    <w:p w14:paraId="5912EA09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年度财政拨款支出4978.74万元，主要用于以下方面：公共安全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（类）</w:t>
      </w:r>
      <w:r>
        <w:rPr>
          <w:rFonts w:hint="eastAsia" w:ascii="仿宋_GB2312" w:hAnsi="仿宋_GB2312" w:eastAsia="仿宋_GB2312" w:cs="仿宋_GB2312"/>
          <w:sz w:val="32"/>
          <w:szCs w:val="32"/>
        </w:rPr>
        <w:t>支出4664.39万元，占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93.69</w:t>
      </w:r>
      <w:r>
        <w:rPr>
          <w:rFonts w:hint="eastAsia" w:ascii="仿宋_GB2312" w:hAnsi="仿宋_GB2312" w:eastAsia="仿宋_GB2312" w:cs="仿宋_GB2312"/>
          <w:sz w:val="32"/>
          <w:szCs w:val="32"/>
        </w:rPr>
        <w:t>%；文化旅游体育与传媒（类）支出1.42万元，占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0.03</w:t>
      </w:r>
      <w:r>
        <w:rPr>
          <w:rFonts w:hint="eastAsia" w:ascii="仿宋_GB2312" w:hAnsi="仿宋_GB2312" w:eastAsia="仿宋_GB2312" w:cs="仿宋_GB2312"/>
          <w:sz w:val="32"/>
          <w:szCs w:val="32"/>
        </w:rPr>
        <w:t>%;社会保障和就业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（类）</w:t>
      </w:r>
      <w:r>
        <w:rPr>
          <w:rFonts w:hint="eastAsia" w:ascii="仿宋_GB2312" w:hAnsi="仿宋_GB2312" w:eastAsia="仿宋_GB2312" w:cs="仿宋_GB2312"/>
          <w:sz w:val="32"/>
          <w:szCs w:val="32"/>
        </w:rPr>
        <w:t>支出160.78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3.23%；住房保障（类）支出152.15万元，占3.05%。</w:t>
      </w:r>
    </w:p>
    <w:p w14:paraId="6D3F7273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（三）一般公共预算财政拨款支出决算具体情况</w:t>
      </w:r>
    </w:p>
    <w:p w14:paraId="6F7FED94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2023年度财政拨款支出年初预算数为2639.32万元，支出决算数为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4978.74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万元，完成年初预算的188.64%，其中：</w:t>
      </w:r>
    </w:p>
    <w:p w14:paraId="40033340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1、公共安全支出（类）公安（款）行政运行（项）。</w:t>
      </w:r>
    </w:p>
    <w:p w14:paraId="0D7826F9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年初预算为1874.24元，支出决算为3166.09万元，完成年初预算的168.93%，决算数大于年初预算数的主要原因是：人员工资调标、医保铺底、公务交通。</w:t>
      </w:r>
    </w:p>
    <w:p w14:paraId="5AAAB223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2、公共安全支出（类）公安（款）一般行政管理事务（项）。</w:t>
      </w:r>
    </w:p>
    <w:p w14:paraId="4A66B21C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年初预算为455.46万元，支出决算为1324.78万元，完成年初预算的290.87%，决算数大于年初预算数的主要原因是：财政追加在职民警和退休人员年终先进单位奖金、基础绩效奖，转移支付公安装备的投入等。</w:t>
      </w:r>
    </w:p>
    <w:p w14:paraId="54EF31DE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3、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公安安全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（类）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公安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（款）执法办案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（项）。</w:t>
      </w:r>
    </w:p>
    <w:p w14:paraId="3F2A49EB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支出决算为7.55元，年初预算为0万元，决算数大于年初预算数的主要原因是：办案执法费用增加。</w:t>
      </w:r>
    </w:p>
    <w:p w14:paraId="5889A201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4、公安安全（类）公安（款）其他公安支出（项）</w:t>
      </w:r>
    </w:p>
    <w:p w14:paraId="1FC0C9A4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支出决算为165.97元，年初预算为0万元，决算数大于年初预算数的主要原因是：非税收入超收返回的办案经费及财政追加公安工作经费。</w:t>
      </w:r>
    </w:p>
    <w:p w14:paraId="20ED82DE"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Chars="200" w:firstLine="320" w:firstLineChars="100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hAnsi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5、</w:t>
      </w: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文化旅游体育与传媒支出（类）新闻出版电影（款）其他新闻出版电影支出（项）</w:t>
      </w:r>
    </w:p>
    <w:p w14:paraId="4669B2F8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支出决算为1.42元，年初预算为0万元，决算数大于年初预算数的主要原因是：文明城市创建和反诈宣传经费增加。</w:t>
      </w:r>
    </w:p>
    <w:p w14:paraId="0EF718B4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6、社会保障和就业支出（类）行政事业单位养老支出（款）机关事业单位基本养老保险缴费支出（项）</w:t>
      </w:r>
    </w:p>
    <w:p w14:paraId="522ACCE2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年初预算为157.47万元，支出决算为157.47元，完成年初预算的100%，决算数等于年初预算数的主要原因是：支出按年初预算精准落实。</w:t>
      </w:r>
    </w:p>
    <w:p w14:paraId="0A56143E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default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7、社会保障和就业支出（类）抚恤（款）其他优抚支出（项）</w:t>
      </w:r>
    </w:p>
    <w:p w14:paraId="12366EFA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支出决算为3.31万元，年初预算安排0万元，决算数大于年初预算数的主要原因是：抚恤金支出。</w:t>
      </w:r>
    </w:p>
    <w:p w14:paraId="686A5853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8、住房保障支出（类）住房保障支出（款）住房公积金（项）</w:t>
      </w:r>
    </w:p>
    <w:p w14:paraId="602562EE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年初预算为152.15万元，支出决算为152.15元，完成年初预算的100%，决算数等于年初预算数的主要原因是：支出按年初预算精准落实。</w:t>
      </w:r>
    </w:p>
    <w:p w14:paraId="3EE6F743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六、一般公共预算财政拨款基本支出决算情况说明</w:t>
      </w:r>
    </w:p>
    <w:p w14:paraId="7A9977AA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年度财政拨款基本支出2543.14万元，其中：</w:t>
      </w:r>
    </w:p>
    <w:p w14:paraId="1E48CFAF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人员经费</w:t>
      </w:r>
      <w:r>
        <w:rPr>
          <w:rFonts w:hint="eastAsia" w:ascii="仿宋_GB2312" w:hAnsi="仿宋_GB2312" w:eastAsia="仿宋_GB2312" w:cs="仿宋_GB2312"/>
          <w:sz w:val="32"/>
          <w:szCs w:val="32"/>
        </w:rPr>
        <w:t>2150.53万元，占基本支出的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84.56</w:t>
      </w:r>
      <w:r>
        <w:rPr>
          <w:rFonts w:hint="eastAsia" w:ascii="仿宋_GB2312" w:hAnsi="仿宋_GB2312" w:eastAsia="仿宋_GB2312" w:cs="仿宋_GB2312"/>
          <w:sz w:val="32"/>
          <w:szCs w:val="32"/>
        </w:rPr>
        <w:t>%,主要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主要包括基本工资、津贴补贴、奖金、伙食补助费、机关事业单位基本养老保险缴费、职业年金缴费、职工基本医疗保险缴费、其他社会保障缴费、对个人和家庭的补助。</w:t>
      </w:r>
    </w:p>
    <w:p w14:paraId="207C2734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公用经费</w:t>
      </w:r>
      <w:r>
        <w:rPr>
          <w:rFonts w:hint="eastAsia" w:ascii="仿宋_GB2312" w:hAnsi="仿宋_GB2312" w:eastAsia="仿宋_GB2312" w:cs="仿宋_GB2312"/>
          <w:sz w:val="32"/>
          <w:szCs w:val="32"/>
        </w:rPr>
        <w:t>392.61万元，占基本支出的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15.44</w:t>
      </w:r>
      <w:r>
        <w:rPr>
          <w:rFonts w:hint="eastAsia" w:ascii="仿宋_GB2312" w:hAnsi="仿宋_GB2312" w:eastAsia="仿宋_GB2312" w:cs="仿宋_GB2312"/>
          <w:sz w:val="32"/>
          <w:szCs w:val="32"/>
        </w:rPr>
        <w:t>%，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主要包括办公费、印刷费、咨询费、手续费、水费、电费、邮电费、差旅费、培训费、公务接待费、劳务费、工会经费、福利费、公务用车运行维护费、其他交通费用、其他商品和服务支出。</w:t>
      </w:r>
    </w:p>
    <w:p w14:paraId="37F7B075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七、政府性基金预算收入支出决算情况</w:t>
      </w:r>
    </w:p>
    <w:p w14:paraId="7AF4D6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textAlignment w:val="auto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年度政府性基金预算财政拨款收入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元；年初结转和结余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万元，其中基本支出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万元，项目支出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万元；年末结转和结余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 w14:paraId="3DB1E9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-SA"/>
        </w:rPr>
        <w:t>八、国有资本经营预算财政拨款支出决算情况</w:t>
      </w:r>
    </w:p>
    <w:p w14:paraId="4FC84E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2023年度国有资本经营预算财政拨款收入0万元；年初结转和结余0万；支出0万元；年末结转和结余0万元。</w:t>
      </w:r>
    </w:p>
    <w:p w14:paraId="049B5E48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/>
          <w:b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eastAsia="zh-CN"/>
        </w:rPr>
        <w:t>九、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财政拨款三公经费支出决算情况说明</w:t>
      </w:r>
    </w:p>
    <w:p w14:paraId="5A093843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</w:rPr>
        <w:t>（一）“三公”经费财政拨款支出决算总体情况说明</w:t>
      </w:r>
    </w:p>
    <w:p w14:paraId="2B872E35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“三公”经费财政拨款支出预算为171.41万元，支出决算为171.41万元，完成预算的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%，决算数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等于</w:t>
      </w:r>
      <w:r>
        <w:rPr>
          <w:rFonts w:hint="eastAsia" w:ascii="仿宋_GB2312" w:hAnsi="仿宋_GB2312" w:eastAsia="仿宋_GB2312" w:cs="仿宋_GB2312"/>
          <w:sz w:val="32"/>
          <w:szCs w:val="32"/>
        </w:rPr>
        <w:t>预算数的主要原因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是我单位严格按预算执行决算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与上年相比增加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15.92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10.24</w:t>
      </w:r>
      <w:r>
        <w:rPr>
          <w:rFonts w:hint="eastAsia" w:ascii="仿宋_GB2312" w:hAnsi="仿宋_GB2312" w:eastAsia="仿宋_GB2312" w:cs="仿宋_GB2312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增长的主要原因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根据省公安厅要求各派出所新增“一所一队”执法执勤用车8</w:t>
      </w:r>
      <w:r>
        <w:rPr>
          <w:rFonts w:hint="eastAsia" w:ascii="仿宋_GB2312" w:hAnsi="仿宋_GB2312" w:eastAsia="仿宋_GB2312" w:cs="仿宋_GB2312"/>
          <w:sz w:val="32"/>
          <w:szCs w:val="32"/>
        </w:rPr>
        <w:t>辆。其中：</w:t>
      </w:r>
    </w:p>
    <w:p w14:paraId="5480AB62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因公出国（境）费支出预算为0万元，支出决算为0万元，决算数等于预算数，主要原因是我单位严格按预算执行决算；与上年一致，无增减变动，主要原因是未安排因公出国（境）活动。</w:t>
      </w:r>
    </w:p>
    <w:p w14:paraId="5A500B3B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公务接待费支出预算为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决算数等于预算数，主要原因是我单位严格按预算执行决算</w:t>
      </w:r>
      <w:r>
        <w:rPr>
          <w:rFonts w:hint="eastAsia" w:ascii="仿宋_GB2312" w:hAnsi="仿宋_GB2312" w:eastAsia="仿宋_GB2312" w:cs="仿宋_GB2312"/>
          <w:sz w:val="32"/>
          <w:szCs w:val="32"/>
        </w:rPr>
        <w:t>，与上年相比减少</w:t>
      </w:r>
      <w:r>
        <w:rPr>
          <w:rFonts w:hint="eastAsia" w:ascii="Times New Roman" w:hAnsi="Times New Roman" w:eastAsia="仿宋_GB2312"/>
          <w:sz w:val="32"/>
          <w:szCs w:val="32"/>
        </w:rPr>
        <w:t>0.78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%,减少的主要原因是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我单位2023年度无公务接待费支出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1748ED27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公务用车购置费支出预算为104.26万元，支出决算为104.26万元，完成预算的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</w:t>
      </w:r>
      <w:r>
        <w:rPr>
          <w:rFonts w:hint="eastAsia" w:ascii="Times New Roman" w:hAnsi="Times New Roman" w:eastAsia="仿宋_GB2312"/>
          <w:sz w:val="32"/>
          <w:szCs w:val="32"/>
        </w:rPr>
        <w:t>决算数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与</w:t>
      </w:r>
      <w:r>
        <w:rPr>
          <w:rFonts w:hint="eastAsia" w:ascii="Times New Roman" w:hAnsi="Times New Roman" w:eastAsia="仿宋_GB2312"/>
          <w:sz w:val="32"/>
          <w:szCs w:val="32"/>
        </w:rPr>
        <w:t>预算数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持平，严格按预算执行</w:t>
      </w:r>
      <w:r>
        <w:rPr>
          <w:rFonts w:hint="eastAsia" w:ascii="仿宋_GB2312" w:hAnsi="仿宋_GB2312" w:eastAsia="仿宋_GB2312" w:cs="仿宋_GB2312"/>
          <w:sz w:val="32"/>
          <w:szCs w:val="32"/>
        </w:rPr>
        <w:t>，与上年相比增加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17.14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19.67%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主要原因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根据省公安厅要求各派出所新增“一所一队”执法执勤用车8</w:t>
      </w:r>
      <w:r>
        <w:rPr>
          <w:rFonts w:hint="eastAsia" w:ascii="仿宋_GB2312" w:hAnsi="仿宋_GB2312" w:eastAsia="仿宋_GB2312" w:cs="仿宋_GB2312"/>
          <w:sz w:val="32"/>
          <w:szCs w:val="32"/>
        </w:rPr>
        <w:t>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727A5D3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公务用车运行维护费支出预算为67.15万元，支出决算为67.15万元，完成预算的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sz w:val="32"/>
          <w:szCs w:val="32"/>
        </w:rPr>
        <w:t>决算数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与</w:t>
      </w:r>
      <w:r>
        <w:rPr>
          <w:rFonts w:hint="eastAsia" w:ascii="Times New Roman" w:hAnsi="Times New Roman" w:eastAsia="仿宋_GB2312"/>
          <w:sz w:val="32"/>
          <w:szCs w:val="32"/>
        </w:rPr>
        <w:t>预算数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持平，</w:t>
      </w:r>
      <w:r>
        <w:rPr>
          <w:rFonts w:hint="eastAsia" w:ascii="Times New Roman" w:hAnsi="Times New Roman" w:eastAsia="仿宋_GB2312"/>
          <w:sz w:val="32"/>
          <w:szCs w:val="32"/>
        </w:rPr>
        <w:t>加强公车管理严控费用</w:t>
      </w:r>
      <w:r>
        <w:rPr>
          <w:rFonts w:hint="eastAsia" w:ascii="仿宋_GB2312" w:hAnsi="仿宋_GB2312" w:eastAsia="仿宋_GB2312" w:cs="仿宋_GB2312"/>
          <w:sz w:val="32"/>
          <w:szCs w:val="32"/>
        </w:rPr>
        <w:t>，与上年相比减少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0.43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0.64</w:t>
      </w:r>
      <w:r>
        <w:rPr>
          <w:rFonts w:hint="eastAsia" w:ascii="仿宋_GB2312" w:hAnsi="仿宋_GB2312" w:eastAsia="仿宋_GB2312" w:cs="仿宋_GB2312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减少的主要原因是</w:t>
      </w:r>
      <w:r>
        <w:rPr>
          <w:rFonts w:hint="eastAsia" w:ascii="Times New Roman" w:hAnsi="Times New Roman" w:eastAsia="仿宋_GB2312"/>
          <w:sz w:val="32"/>
          <w:szCs w:val="32"/>
        </w:rPr>
        <w:t>加强公车管理严控费用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463A3E02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</w:rPr>
        <w:t>（二）“三公”经费财政拨款支出决算具体情况说明</w:t>
      </w:r>
    </w:p>
    <w:p w14:paraId="3A995758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年度“三公”经费财政拨款支出决算中，公务接待费支出决算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%,因公出国（境）费支出决算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%,公务用车购置费及运行维护费支出决算171.41万元，占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%。其中：</w:t>
      </w:r>
    </w:p>
    <w:p w14:paraId="666DAF40">
      <w:pPr>
        <w:pStyle w:val="14"/>
        <w:ind w:firstLine="640" w:firstLineChars="200"/>
        <w:rPr>
          <w:rFonts w:hint="eastAsia" w:ascii="仿宋_GB2312" w:hAnsi="仿宋_GB2312" w:eastAsia="仿宋_GB2312" w:cs="仿宋_GB2312"/>
          <w:b/>
          <w:bCs/>
          <w:i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</w:rPr>
        <w:t>因公出国（境）费支出决算为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全年安排因公出国（境）团组0个，累计0人次，我单位202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 xml:space="preserve">年度无因公出国（境）费支出。 </w:t>
      </w:r>
    </w:p>
    <w:p w14:paraId="16906EC4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2、公务接待费支出决算为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万元，全年共接待来访团组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个、来宾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人次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我单位2023年度无公务接待费支出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15E4A3B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b/>
          <w:bCs/>
          <w:i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3、公务用车购置费及运行维护费支出决算为171.41万元，其中：公务用车购置费104.26万元，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新增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林角佬派出所、柳林洲派出所、广兴洲派出所、许市派出所、采桑湖派出所、钱粮湖派出所、良心堡派出所、钱粮湖派出所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“一所一队”执法执勤</w:t>
      </w:r>
      <w:r>
        <w:rPr>
          <w:rFonts w:hint="eastAsia" w:ascii="Times New Roman" w:hAnsi="Times New Roman" w:eastAsia="仿宋_GB2312"/>
          <w:sz w:val="32"/>
          <w:szCs w:val="32"/>
        </w:rPr>
        <w:t>用车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eastAsia="仿宋_GB2312"/>
          <w:sz w:val="32"/>
          <w:szCs w:val="32"/>
        </w:rPr>
        <w:t>辆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公务用车运行维护费67.15万元，主要是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公务用车燃料、保险、年检、车辆维修维护等费用</w:t>
      </w:r>
      <w:r>
        <w:rPr>
          <w:rFonts w:hint="eastAsia" w:ascii="Times New Roman" w:hAnsi="Times New Roman" w:eastAsia="仿宋_GB2312"/>
          <w:sz w:val="32"/>
          <w:szCs w:val="32"/>
        </w:rPr>
        <w:t>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，截止202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年12月31日，我单位开支财政拨款的公务用车保有量为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</w:rPr>
        <w:t>辆。</w:t>
      </w:r>
    </w:p>
    <w:p w14:paraId="0B83F499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/>
          <w:b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b/>
          <w:color w:val="auto"/>
          <w:sz w:val="32"/>
          <w:szCs w:val="32"/>
          <w:lang w:eastAsia="zh-CN"/>
        </w:rPr>
        <w:t>十</w:t>
      </w:r>
      <w:r>
        <w:rPr>
          <w:rFonts w:hint="eastAsia" w:ascii="Times New Roman" w:hAnsi="Times New Roman" w:eastAsia="仿宋_GB2312"/>
          <w:b/>
          <w:color w:val="auto"/>
          <w:sz w:val="32"/>
          <w:szCs w:val="32"/>
        </w:rPr>
        <w:t>、关于机关运行经费支出说明</w:t>
      </w:r>
    </w:p>
    <w:p w14:paraId="26C83B37">
      <w:pPr>
        <w:pStyle w:val="14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本部门202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年度机关运行经费支出392.61万元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比年初预算数增加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119.89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万元，增长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43.96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%。主要原因是：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公务交通补助未纳入预算。</w:t>
      </w:r>
    </w:p>
    <w:p w14:paraId="0AB42463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十</w:t>
      </w:r>
      <w:r>
        <w:rPr>
          <w:rFonts w:hint="eastAsia" w:hAnsi="黑体" w:cs="黑体"/>
          <w:b w:val="0"/>
          <w:bCs/>
          <w:color w:val="auto"/>
          <w:sz w:val="32"/>
          <w:szCs w:val="32"/>
          <w:lang w:eastAsia="zh-CN"/>
        </w:rPr>
        <w:t>一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、一般性支出情况说明</w:t>
      </w:r>
    </w:p>
    <w:p w14:paraId="678C636F">
      <w:pPr>
        <w:pStyle w:val="14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度，会议费年初预算0.5万元，支出决算为0.29万元，完成年初预算的58%。用于召开学习习近平新时代中国特色社会主义思想教育主题会、扫黑除恶警示教育和以案促改主题会、“夏季行动”和“平安城市”主题会，</w:t>
      </w:r>
      <w:r>
        <w:rPr>
          <w:rFonts w:hint="eastAsia" w:ascii="仿宋_GB2312" w:hAnsi="仿宋_GB2312" w:eastAsia="仿宋_GB2312" w:cs="仿宋_GB2312"/>
          <w:sz w:val="32"/>
          <w:szCs w:val="32"/>
        </w:rPr>
        <w:t>人数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140</w:t>
      </w:r>
      <w:r>
        <w:rPr>
          <w:rFonts w:hint="eastAsia" w:ascii="仿宋_GB2312" w:hAnsi="仿宋_GB2312" w:eastAsia="仿宋_GB2312" w:cs="仿宋_GB2312"/>
          <w:sz w:val="32"/>
          <w:szCs w:val="32"/>
        </w:rPr>
        <w:t>人，内容为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学习习近平新时代中国特色社会主义思想教育内容、扫黑除恶警示教育和以案促改、“夏季行动”和“平安城市”专题会议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6A2A043A">
      <w:pPr>
        <w:widowControl w:val="0"/>
        <w:autoSpaceDE w:val="0"/>
        <w:autoSpaceDN w:val="0"/>
        <w:adjustRightInd w:val="0"/>
        <w:ind w:firstLine="640" w:firstLineChars="2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培训费年初预算3万元，支出决算为3.3万元，完成年初预算的110%。用于开展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开展新警培训、人民警察晋衔培训、警察专业技术培训，人数58人，内容为警察职业技能、心理危机干预、舆论引导等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。</w:t>
      </w:r>
    </w:p>
    <w:p w14:paraId="5503D1A6">
      <w:pPr>
        <w:pStyle w:val="14"/>
        <w:ind w:firstLine="640" w:firstLineChars="200"/>
        <w:rPr>
          <w:rFonts w:hint="eastAsia" w:ascii="仿宋_GB2312" w:hAnsi="仿宋_GB2312" w:eastAsia="仿宋_GB2312" w:cs="仿宋_GB2312"/>
          <w:b/>
          <w:bCs/>
          <w:i/>
          <w:color w:val="FF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/>
          <w:sz w:val="32"/>
          <w:szCs w:val="32"/>
        </w:rPr>
        <w:t>举办节庆、晚会、论坛、赛事活动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年初预算0万元，支出决算为0万元，</w:t>
      </w:r>
      <w:r>
        <w:rPr>
          <w:rFonts w:hint="eastAsia" w:ascii="Times New Roman" w:hAnsi="Times New Roman" w:eastAsia="仿宋_GB2312"/>
          <w:sz w:val="32"/>
          <w:szCs w:val="32"/>
        </w:rPr>
        <w:t>主要是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本单位无举办节庆、晚会、论坛、赛事等活动的预算和支出决算数</w:t>
      </w:r>
      <w:r>
        <w:rPr>
          <w:rFonts w:hint="eastAsia" w:ascii="Times New Roman" w:hAnsi="Times New Roman" w:eastAsia="仿宋_GB2312"/>
          <w:sz w:val="32"/>
          <w:szCs w:val="32"/>
        </w:rPr>
        <w:t>。</w:t>
      </w:r>
    </w:p>
    <w:p w14:paraId="466A314B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十</w:t>
      </w:r>
      <w:r>
        <w:rPr>
          <w:rFonts w:hint="eastAsia" w:hAnsi="黑体" w:cs="黑体"/>
          <w:b w:val="0"/>
          <w:bCs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、关于政府采购支出说明</w:t>
      </w:r>
    </w:p>
    <w:p w14:paraId="24B2CA15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本部门202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年度政府采购支出总额1635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元，其中：政府采购货物支出494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53万元、政府采购工程支出592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63万元、政府采购服务支出548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万元。授予中小企业合同金额1635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万元，占政府采购支出总额的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%，其中：授予小微企业合同金额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1043.22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授予中小企业合同金额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63.77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%。货物采购授予中小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企业合同金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额占货物支出金额的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30.23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%，工程采购授予中小企业合同金额占工程支出金额的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36.23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%，服务采购授予中小企业合同金额占服务支出金额的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33.54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%。</w:t>
      </w:r>
    </w:p>
    <w:p w14:paraId="764B7591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十</w:t>
      </w:r>
      <w:r>
        <w:rPr>
          <w:rFonts w:hint="eastAsia" w:hAnsi="黑体" w:cs="黑体"/>
          <w:b w:val="0"/>
          <w:bCs/>
          <w:color w:val="auto"/>
          <w:sz w:val="32"/>
          <w:szCs w:val="32"/>
          <w:lang w:eastAsia="zh-CN"/>
        </w:rPr>
        <w:t>三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、关于国有资产占用情况说明</w:t>
      </w:r>
    </w:p>
    <w:p w14:paraId="0D76F9A7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截至202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年12月31日，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部门（单位）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共有车辆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辆，其中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，副部（省）级及以上领导用车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主要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负责人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机要通信用车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辆、应急保障用车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辆、执法执勤用车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辆、特种专业技术用车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离退休干部服务用车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辆、其他用车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辆；单位价值100万元以上设备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（不含车辆）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台（套）。</w:t>
      </w:r>
    </w:p>
    <w:p w14:paraId="6C06B04D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十</w:t>
      </w:r>
      <w:r>
        <w:rPr>
          <w:rFonts w:hint="eastAsia" w:hAnsi="黑体" w:cs="黑体"/>
          <w:b w:val="0"/>
          <w:bCs/>
          <w:color w:val="auto"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、关于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202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年度</w:t>
      </w:r>
      <w:r>
        <w:rPr>
          <w:rFonts w:hint="eastAsia" w:hAnsi="黑体" w:cs="黑体"/>
          <w:b w:val="0"/>
          <w:bCs/>
          <w:color w:val="auto"/>
          <w:sz w:val="32"/>
          <w:szCs w:val="32"/>
          <w:lang w:eastAsia="zh-CN"/>
        </w:rPr>
        <w:t>预算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绩效情况的说明</w:t>
      </w:r>
    </w:p>
    <w:p w14:paraId="4DD0D36D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（一）绩效管理工作开展情况</w:t>
      </w:r>
    </w:p>
    <w:p w14:paraId="70CBFB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根据预算绩效管理要求，我们组织对2023年度整体支出和项目资金实施了全覆盖性的绩效评价，撰写了绩效自评报告。</w:t>
      </w:r>
    </w:p>
    <w:p w14:paraId="1A1E12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组织开展整体支出绩效评价，涉及一般公共预算支出4978.74万元，政府性基金预算支出0万元，国有资本经营预算支出0万元。从评价情况来看，整体支出绩效评价中，2023年整体支出6350.19万元，其中：基本支出2543.14万元，项目支出3807.05万元，本单位整体支出绩效自评综合评分99分，评价结果等次为优。</w:t>
      </w:r>
    </w:p>
    <w:p w14:paraId="2E9986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highlight w:val="none"/>
          <w:lang w:val="en-US" w:eastAsia="zh-CN" w:bidi="ar-SA"/>
        </w:rPr>
        <w:t>组织对一般公共预算项目支出全面开展绩效自评，项目4个，共涉及资金518.11万元，占一般公共预算项目支出总额的21.27%。组织对政府性基金预算项目支出开展绩效自评，项目0个，共涉及资金0万元，由于政府性基金预算项目支出总额为0，故无法计算占政府性基金预算项目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highlight w:val="none"/>
          <w:lang w:val="en-US" w:eastAsia="zh-CN" w:bidi="ar-SA"/>
        </w:rPr>
        <w:t>支出总额的比重。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组织对国有资本经营预算项目支出开展绩效自评，项目0个，共涉及资金0万元，由于国有资本经营预算项目支出总额为0，故无法计算占国有资本经营预算项目支出总额的比重。从评价情况来看，项目绩效自评得分99分，评价结果等次为优。</w:t>
      </w:r>
    </w:p>
    <w:p w14:paraId="6C50EDCA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（二）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部门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（单位）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整体支出绩效情况</w:t>
      </w:r>
    </w:p>
    <w:p w14:paraId="4DD65E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根据年初设定的绩效目标，绩效自评得分为99.32 分。全年预算数为6809.59万元，执行数为6347.82万元，完成预算的93.22%。绩效目标完成情况：一是维护全区治安稳定，被评为全市公安机关扫黑除恶、打击治理电信网络诈骗犯罪、执法规范化建设、云端打击主战模式、缉毒执法、警务评议6个方面工作成绩突出单位工作；二是开展了一系列打击违反犯罪、禁毒等专项行动，有效地打击了各类违法犯罪活动，维护了全区治安大局稳定；三是打牢根基、助力发展，进一步夯实基层基础“金字塔”，林角佬派出所获评全市“枫桥式派出所”；四是完成对派出所和执法单位14台公务用车的全面更换。</w:t>
      </w:r>
    </w:p>
    <w:p w14:paraId="4BA856B4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（三）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存在的问题及原因分析</w:t>
      </w:r>
    </w:p>
    <w:p w14:paraId="501A4E87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5" w:lineRule="atLeast"/>
        <w:ind w:left="0" w:right="0" w:firstLine="645"/>
        <w:jc w:val="both"/>
        <w:textAlignment w:val="center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（一）我们的工作距离广大民辅警的需求还有较大上升空间，服务意识还有待进一步加强。</w:t>
      </w:r>
    </w:p>
    <w:p w14:paraId="7736D77E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5" w:lineRule="atLeast"/>
        <w:ind w:left="0" w:right="0" w:firstLine="645"/>
        <w:jc w:val="both"/>
        <w:textAlignment w:val="center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（二）创新思路还有很大的局限性，还停留在自己的一亩三分地上，远没有达到前瞻性，导致工作还有一定的被动性。</w:t>
      </w:r>
    </w:p>
    <w:p w14:paraId="45DBE4A4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5" w:lineRule="atLeast"/>
        <w:ind w:left="0" w:right="0" w:firstLine="645"/>
        <w:jc w:val="both"/>
        <w:textAlignment w:val="center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（三）争资争项还有很大欠缺，争资渠道不多，争项总有跑不动的感觉，协调能力还有待进一步加强。</w:t>
      </w:r>
    </w:p>
    <w:p w14:paraId="192837E5">
      <w:pPr>
        <w:autoSpaceDE w:val="0"/>
        <w:autoSpaceDN w:val="0"/>
        <w:adjustRightInd w:val="0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预算绩效管理开展情况、绩效目标和绩效评价报告等，已在市政府部门财政预决算公开平台上向社会公开，详见附件。</w:t>
      </w:r>
    </w:p>
    <w:p w14:paraId="152954C1">
      <w:pPr>
        <w:pStyle w:val="14"/>
        <w:jc w:val="both"/>
        <w:rPr>
          <w:sz w:val="72"/>
          <w:szCs w:val="72"/>
        </w:rPr>
      </w:pPr>
    </w:p>
    <w:p w14:paraId="1A3E854A">
      <w:pPr>
        <w:pStyle w:val="14"/>
        <w:jc w:val="center"/>
        <w:rPr>
          <w:sz w:val="72"/>
          <w:szCs w:val="72"/>
        </w:rPr>
      </w:pPr>
    </w:p>
    <w:p w14:paraId="585F6E1D">
      <w:pPr>
        <w:pStyle w:val="14"/>
        <w:jc w:val="both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305198A2">
      <w:pPr>
        <w:pStyle w:val="14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550AA1CD">
      <w:pPr>
        <w:pStyle w:val="14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38E39580">
      <w:pPr>
        <w:pStyle w:val="14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第四部分</w:t>
      </w:r>
    </w:p>
    <w:p w14:paraId="1EED3248">
      <w:pPr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70"/>
          <w:szCs w:val="70"/>
        </w:rPr>
      </w:pPr>
    </w:p>
    <w:p w14:paraId="1A739BAA">
      <w:pPr>
        <w:pStyle w:val="14"/>
        <w:jc w:val="center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70"/>
          <w:szCs w:val="70"/>
        </w:rPr>
        <w:t>名词解释</w:t>
      </w:r>
    </w:p>
    <w:p w14:paraId="6ABFB5E5">
      <w:pPr>
        <w:pStyle w:val="8"/>
      </w:pPr>
    </w:p>
    <w:p w14:paraId="344DBB70">
      <w:pPr>
        <w:pStyle w:val="4"/>
      </w:pPr>
    </w:p>
    <w:p w14:paraId="6EA4345B"/>
    <w:p w14:paraId="5E319975">
      <w:pPr>
        <w:pStyle w:val="8"/>
      </w:pPr>
    </w:p>
    <w:p w14:paraId="20AF1E93">
      <w:pPr>
        <w:pStyle w:val="4"/>
      </w:pPr>
    </w:p>
    <w:p w14:paraId="27E79D6F"/>
    <w:p w14:paraId="13AE4193">
      <w:pPr>
        <w:pStyle w:val="8"/>
      </w:pPr>
    </w:p>
    <w:p w14:paraId="23482206">
      <w:pPr>
        <w:pStyle w:val="4"/>
      </w:pPr>
    </w:p>
    <w:p w14:paraId="4F7C9312"/>
    <w:p w14:paraId="2FC88B57">
      <w:pPr>
        <w:pStyle w:val="8"/>
      </w:pPr>
    </w:p>
    <w:p w14:paraId="6DFF81EB">
      <w:pPr>
        <w:pStyle w:val="4"/>
      </w:pPr>
    </w:p>
    <w:p w14:paraId="57FC9D6C"/>
    <w:p w14:paraId="3A6C3114">
      <w:pPr>
        <w:pStyle w:val="8"/>
      </w:pPr>
    </w:p>
    <w:p w14:paraId="156BD31A">
      <w:pPr>
        <w:pStyle w:val="4"/>
      </w:pPr>
    </w:p>
    <w:p w14:paraId="080104E6"/>
    <w:p w14:paraId="571E22BD">
      <w:pPr>
        <w:pStyle w:val="8"/>
      </w:pPr>
    </w:p>
    <w:p w14:paraId="61B2AFEE">
      <w:pPr>
        <w:pStyle w:val="4"/>
      </w:pPr>
    </w:p>
    <w:p w14:paraId="72447664"/>
    <w:p w14:paraId="590E55C5">
      <w:pPr>
        <w:pStyle w:val="8"/>
      </w:pPr>
    </w:p>
    <w:p w14:paraId="5CFA3B53">
      <w:pPr>
        <w:pStyle w:val="4"/>
      </w:pPr>
    </w:p>
    <w:p w14:paraId="2B9AD5D4">
      <w:pPr>
        <w:pStyle w:val="8"/>
      </w:pPr>
    </w:p>
    <w:p w14:paraId="5D3965C7"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 w14:paraId="70576957"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 w14:paraId="163626AC"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一、“三公”经费：指用财政拨款安排的因公出国（境）费、公务用车购置及运行费和公务接待费。其中，因公出国（境）费反映出国（境）的住宿费、旅费、伙食补助费、杂费、培训费等支出；公务用车购置及运行费反映单位公务用车购置费及租用费、燃料费、维修费、过路过桥费、保险费、安全奖励费用等支出；公务接待费反映单位按规定开支的各类公务接待（含外宾接待）支出。</w:t>
      </w:r>
    </w:p>
    <w:p w14:paraId="33E70037"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二、机关运行经费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，指为保障行政单位（包括参照公务员法管理的事业单位）运行用于购买货物和服务的各项资金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，包括办公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费、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印刷费、邮电费、差旅费、会议费、日常维修费、专用材料及一般设备购置费、办公用房水电费、办公用房取暖费、办公用房物业管理费、公务用车运行维护费以及其他费用。</w:t>
      </w:r>
    </w:p>
    <w:p w14:paraId="20D21121"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三、非税收入：指除了缴纳税收以外，由各级政府、国家机关等社会团体利用政府的权力、信誉、国家资源、国有资产或提供特定公共服务、准公共服务取得的财政性资金。政府非税收入管理范围主要包括：政府性基金、彩票公益金、国有资源有偿使用收入、国有资产有偿使用收入、国有资本经营收益、罚没收入等。</w:t>
      </w:r>
    </w:p>
    <w:p w14:paraId="004133F5"/>
    <w:p w14:paraId="294D2001">
      <w:pPr>
        <w:pStyle w:val="8"/>
      </w:pPr>
    </w:p>
    <w:p w14:paraId="259B1D60">
      <w:pPr>
        <w:pStyle w:val="4"/>
      </w:pPr>
    </w:p>
    <w:p w14:paraId="6DE96740"/>
    <w:p w14:paraId="121828E3">
      <w:pPr>
        <w:pStyle w:val="8"/>
      </w:pPr>
    </w:p>
    <w:p w14:paraId="513E96C7">
      <w:pPr>
        <w:pStyle w:val="4"/>
      </w:pPr>
    </w:p>
    <w:p w14:paraId="71B77C1F"/>
    <w:p w14:paraId="2EEE8C79">
      <w:pPr>
        <w:pStyle w:val="8"/>
      </w:pPr>
    </w:p>
    <w:p w14:paraId="00B2B5E2">
      <w:pPr>
        <w:pStyle w:val="4"/>
      </w:pPr>
    </w:p>
    <w:p w14:paraId="16612CAC"/>
    <w:p w14:paraId="0ADC14EF">
      <w:pPr>
        <w:pStyle w:val="8"/>
      </w:pPr>
    </w:p>
    <w:p w14:paraId="138446C9">
      <w:pPr>
        <w:pStyle w:val="4"/>
      </w:pPr>
    </w:p>
    <w:p w14:paraId="38569B3A"/>
    <w:p w14:paraId="171097F7">
      <w:pPr>
        <w:pStyle w:val="8"/>
      </w:pPr>
    </w:p>
    <w:p w14:paraId="4550443C">
      <w:pPr>
        <w:pStyle w:val="4"/>
      </w:pPr>
    </w:p>
    <w:p w14:paraId="118E9DA2">
      <w:pPr>
        <w:pStyle w:val="14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0736919E">
      <w:pPr>
        <w:pStyle w:val="14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18DFEC48">
      <w:pPr>
        <w:pStyle w:val="14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1D3AAC05">
      <w:pPr>
        <w:pStyle w:val="14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38A2E46E">
      <w:pPr>
        <w:pStyle w:val="14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32C8D667">
      <w:pPr>
        <w:pStyle w:val="14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</w:t>
      </w:r>
      <w:r>
        <w:rPr>
          <w:rFonts w:hint="eastAsia" w:ascii="方正小标宋_GBK" w:hAnsi="方正小标宋_GBK" w:eastAsia="方正小标宋_GBK" w:cs="方正小标宋_GBK"/>
          <w:sz w:val="72"/>
          <w:szCs w:val="72"/>
          <w:lang w:eastAsia="zh-CN"/>
        </w:rPr>
        <w:t>五</w:t>
      </w: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部分</w:t>
      </w:r>
    </w:p>
    <w:p w14:paraId="010FC20F">
      <w:pPr>
        <w:pStyle w:val="14"/>
        <w:jc w:val="both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</w:p>
    <w:p w14:paraId="55604BE9">
      <w:pPr>
        <w:pStyle w:val="14"/>
        <w:jc w:val="center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  <w:t>附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lang w:val="en-US" w:eastAsia="zh-CN"/>
        </w:rPr>
        <w:t xml:space="preserve"> 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  <w:t>件</w:t>
      </w:r>
    </w:p>
    <w:p w14:paraId="3A38F30F">
      <w:pPr>
        <w:ind w:firstLine="640" w:firstLineChars="200"/>
        <w:jc w:val="left"/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</w:pPr>
    </w:p>
    <w:p w14:paraId="0F51F5AF">
      <w:pPr>
        <w:ind w:firstLine="640" w:firstLineChars="200"/>
        <w:jc w:val="left"/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  <w:t>1、2023年部门决算公开表格</w:t>
      </w:r>
    </w:p>
    <w:p w14:paraId="5B4A3282">
      <w:pPr>
        <w:ind w:firstLine="640" w:firstLineChars="200"/>
        <w:jc w:val="left"/>
        <w:rPr>
          <w:rFonts w:ascii="宋体" w:hAnsi="宋体" w:eastAsia="宋体" w:cs="黑体"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  <w:t>2、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</w:rPr>
        <w:t>202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</w:rPr>
        <w:t>年度部门整体支出绩效评价报告</w:t>
      </w:r>
    </w:p>
    <w:p w14:paraId="71ADCB1D"/>
    <w:sectPr>
      <w:pgSz w:w="11906" w:h="16838"/>
      <w:pgMar w:top="720" w:right="720" w:bottom="720" w:left="72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3518C1"/>
    <w:multiLevelType w:val="multilevel"/>
    <w:tmpl w:val="373518C1"/>
    <w:lvl w:ilvl="0" w:tentative="0">
      <w:start w:val="1"/>
      <w:numFmt w:val="none"/>
      <w:lvlText w:val="一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D8B217A"/>
    <w:multiLevelType w:val="singleLevel"/>
    <w:tmpl w:val="4D8B217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lYjhhYjE1MTNlYjg0MTJlMzgxN2U1NjI5NTliNzUifQ=="/>
  </w:docVars>
  <w:rsids>
    <w:rsidRoot w:val="004506F9"/>
    <w:rsid w:val="0002229B"/>
    <w:rsid w:val="000273BD"/>
    <w:rsid w:val="00040CBC"/>
    <w:rsid w:val="000415B7"/>
    <w:rsid w:val="00041E3F"/>
    <w:rsid w:val="00055DAA"/>
    <w:rsid w:val="00061F7B"/>
    <w:rsid w:val="000658A3"/>
    <w:rsid w:val="00074155"/>
    <w:rsid w:val="000A3F69"/>
    <w:rsid w:val="00103957"/>
    <w:rsid w:val="00152C6D"/>
    <w:rsid w:val="00162D39"/>
    <w:rsid w:val="001678BD"/>
    <w:rsid w:val="00182373"/>
    <w:rsid w:val="001A67DB"/>
    <w:rsid w:val="001C3C29"/>
    <w:rsid w:val="001D51E5"/>
    <w:rsid w:val="001E080D"/>
    <w:rsid w:val="001E53D0"/>
    <w:rsid w:val="001F0C3B"/>
    <w:rsid w:val="00202C82"/>
    <w:rsid w:val="00214427"/>
    <w:rsid w:val="00226CB7"/>
    <w:rsid w:val="00264552"/>
    <w:rsid w:val="00264EF9"/>
    <w:rsid w:val="00265724"/>
    <w:rsid w:val="0027426B"/>
    <w:rsid w:val="002E0A30"/>
    <w:rsid w:val="003130C4"/>
    <w:rsid w:val="00316C4B"/>
    <w:rsid w:val="0032192B"/>
    <w:rsid w:val="003479BD"/>
    <w:rsid w:val="0037197D"/>
    <w:rsid w:val="003768D5"/>
    <w:rsid w:val="003926B9"/>
    <w:rsid w:val="003C47E6"/>
    <w:rsid w:val="003C4FC2"/>
    <w:rsid w:val="00416E61"/>
    <w:rsid w:val="0042790C"/>
    <w:rsid w:val="004506F9"/>
    <w:rsid w:val="004717A2"/>
    <w:rsid w:val="00473DF3"/>
    <w:rsid w:val="00487911"/>
    <w:rsid w:val="00491741"/>
    <w:rsid w:val="004B0CEE"/>
    <w:rsid w:val="00500E5F"/>
    <w:rsid w:val="005122EF"/>
    <w:rsid w:val="0051441A"/>
    <w:rsid w:val="00517C33"/>
    <w:rsid w:val="00517D5F"/>
    <w:rsid w:val="00523644"/>
    <w:rsid w:val="0054069E"/>
    <w:rsid w:val="00544866"/>
    <w:rsid w:val="005767CC"/>
    <w:rsid w:val="00590D9F"/>
    <w:rsid w:val="00595D26"/>
    <w:rsid w:val="005A74E6"/>
    <w:rsid w:val="005B404E"/>
    <w:rsid w:val="005D4D55"/>
    <w:rsid w:val="005E2CFB"/>
    <w:rsid w:val="005F2103"/>
    <w:rsid w:val="005F3D1C"/>
    <w:rsid w:val="0062378F"/>
    <w:rsid w:val="00641842"/>
    <w:rsid w:val="00651EEC"/>
    <w:rsid w:val="00686673"/>
    <w:rsid w:val="00691E8C"/>
    <w:rsid w:val="006A22C4"/>
    <w:rsid w:val="006A351B"/>
    <w:rsid w:val="006B0422"/>
    <w:rsid w:val="006C1B53"/>
    <w:rsid w:val="006D7730"/>
    <w:rsid w:val="006E5284"/>
    <w:rsid w:val="006F3EB5"/>
    <w:rsid w:val="00702E34"/>
    <w:rsid w:val="00704395"/>
    <w:rsid w:val="00710FE7"/>
    <w:rsid w:val="00717621"/>
    <w:rsid w:val="00720FF1"/>
    <w:rsid w:val="00727A53"/>
    <w:rsid w:val="00787B42"/>
    <w:rsid w:val="007C4539"/>
    <w:rsid w:val="007F3657"/>
    <w:rsid w:val="00812ED5"/>
    <w:rsid w:val="008277D9"/>
    <w:rsid w:val="0084478C"/>
    <w:rsid w:val="0086638C"/>
    <w:rsid w:val="008A3E8D"/>
    <w:rsid w:val="009237C4"/>
    <w:rsid w:val="00944C48"/>
    <w:rsid w:val="00950252"/>
    <w:rsid w:val="00967F5D"/>
    <w:rsid w:val="009A0F95"/>
    <w:rsid w:val="009B3ADF"/>
    <w:rsid w:val="009B4D8E"/>
    <w:rsid w:val="009C3B52"/>
    <w:rsid w:val="009E6817"/>
    <w:rsid w:val="009E6E9A"/>
    <w:rsid w:val="00A01D2B"/>
    <w:rsid w:val="00A42218"/>
    <w:rsid w:val="00A70249"/>
    <w:rsid w:val="00A70B02"/>
    <w:rsid w:val="00A71D9F"/>
    <w:rsid w:val="00A92E9F"/>
    <w:rsid w:val="00AB18FF"/>
    <w:rsid w:val="00B33BEA"/>
    <w:rsid w:val="00B57C9F"/>
    <w:rsid w:val="00B63572"/>
    <w:rsid w:val="00B845B3"/>
    <w:rsid w:val="00B85D8B"/>
    <w:rsid w:val="00BB4A40"/>
    <w:rsid w:val="00BD6C3E"/>
    <w:rsid w:val="00BE3674"/>
    <w:rsid w:val="00C10681"/>
    <w:rsid w:val="00C3049A"/>
    <w:rsid w:val="00C31B1E"/>
    <w:rsid w:val="00C77645"/>
    <w:rsid w:val="00CE04C3"/>
    <w:rsid w:val="00CE76A0"/>
    <w:rsid w:val="00D148C6"/>
    <w:rsid w:val="00D17A8A"/>
    <w:rsid w:val="00D415BA"/>
    <w:rsid w:val="00D63780"/>
    <w:rsid w:val="00D644EE"/>
    <w:rsid w:val="00DD06FF"/>
    <w:rsid w:val="00DD5FE9"/>
    <w:rsid w:val="00E00C7A"/>
    <w:rsid w:val="00E37D6C"/>
    <w:rsid w:val="00E55B68"/>
    <w:rsid w:val="00E561AE"/>
    <w:rsid w:val="00E67BE6"/>
    <w:rsid w:val="00E8683C"/>
    <w:rsid w:val="00EA2B72"/>
    <w:rsid w:val="00F74360"/>
    <w:rsid w:val="00FB462F"/>
    <w:rsid w:val="00FE16FA"/>
    <w:rsid w:val="00FE328A"/>
    <w:rsid w:val="00FE6269"/>
    <w:rsid w:val="00FF5CD6"/>
    <w:rsid w:val="02D7069C"/>
    <w:rsid w:val="059958AD"/>
    <w:rsid w:val="06C857E7"/>
    <w:rsid w:val="08C24A73"/>
    <w:rsid w:val="0CA0386A"/>
    <w:rsid w:val="11722ED6"/>
    <w:rsid w:val="12583BA5"/>
    <w:rsid w:val="13BA5B9C"/>
    <w:rsid w:val="14E54E9B"/>
    <w:rsid w:val="17430EC2"/>
    <w:rsid w:val="1ABC6A05"/>
    <w:rsid w:val="1D97DEFF"/>
    <w:rsid w:val="1DFF72E5"/>
    <w:rsid w:val="1EFC6F07"/>
    <w:rsid w:val="1F0527A6"/>
    <w:rsid w:val="22AC03C2"/>
    <w:rsid w:val="24570714"/>
    <w:rsid w:val="2DC31516"/>
    <w:rsid w:val="2FDF85B8"/>
    <w:rsid w:val="2FFFEE04"/>
    <w:rsid w:val="30B16D1F"/>
    <w:rsid w:val="31C95635"/>
    <w:rsid w:val="34DF85B0"/>
    <w:rsid w:val="391443C5"/>
    <w:rsid w:val="3A304552"/>
    <w:rsid w:val="3B273268"/>
    <w:rsid w:val="3B8F36BC"/>
    <w:rsid w:val="3FD32BD5"/>
    <w:rsid w:val="40EF03B8"/>
    <w:rsid w:val="441446E4"/>
    <w:rsid w:val="491FF225"/>
    <w:rsid w:val="4FFD214C"/>
    <w:rsid w:val="5352765A"/>
    <w:rsid w:val="5777D4F5"/>
    <w:rsid w:val="59DD8326"/>
    <w:rsid w:val="5DEF592A"/>
    <w:rsid w:val="5FC6BB1E"/>
    <w:rsid w:val="5FF720F1"/>
    <w:rsid w:val="620170E8"/>
    <w:rsid w:val="67FF5C0B"/>
    <w:rsid w:val="6BAA4A2F"/>
    <w:rsid w:val="6EFC0924"/>
    <w:rsid w:val="6FB74722"/>
    <w:rsid w:val="6FEF8B7E"/>
    <w:rsid w:val="71A6591B"/>
    <w:rsid w:val="737D59BA"/>
    <w:rsid w:val="737F32B1"/>
    <w:rsid w:val="76C92A2E"/>
    <w:rsid w:val="77C37683"/>
    <w:rsid w:val="79FF515B"/>
    <w:rsid w:val="7D825EB4"/>
    <w:rsid w:val="7DD61690"/>
    <w:rsid w:val="7E9E1962"/>
    <w:rsid w:val="7E9F11B4"/>
    <w:rsid w:val="7F37EC1E"/>
    <w:rsid w:val="7F7DCD9D"/>
    <w:rsid w:val="7F970A6F"/>
    <w:rsid w:val="7FC1FFF3"/>
    <w:rsid w:val="7FC69637"/>
    <w:rsid w:val="7FDF8620"/>
    <w:rsid w:val="7FFB242F"/>
    <w:rsid w:val="7FFDB408"/>
    <w:rsid w:val="7FFE4EEB"/>
    <w:rsid w:val="95FB2B98"/>
    <w:rsid w:val="9A639BC2"/>
    <w:rsid w:val="9FF7D786"/>
    <w:rsid w:val="ABBFB23D"/>
    <w:rsid w:val="C3B4DA5A"/>
    <w:rsid w:val="CBFF70E0"/>
    <w:rsid w:val="CFF50B82"/>
    <w:rsid w:val="CFFFAD89"/>
    <w:rsid w:val="DFFE359E"/>
    <w:rsid w:val="DFFE4FFD"/>
    <w:rsid w:val="EEABED75"/>
    <w:rsid w:val="F56FDF51"/>
    <w:rsid w:val="F6B69F17"/>
    <w:rsid w:val="F77F1D61"/>
    <w:rsid w:val="F7FED3A9"/>
    <w:rsid w:val="F8C9DB26"/>
    <w:rsid w:val="F97E8EAE"/>
    <w:rsid w:val="FB36E1A6"/>
    <w:rsid w:val="FB3BE134"/>
    <w:rsid w:val="FCFF4275"/>
    <w:rsid w:val="FD7FEEEA"/>
    <w:rsid w:val="FDFFB577"/>
    <w:rsid w:val="FEEA50FE"/>
    <w:rsid w:val="FF7D47A9"/>
    <w:rsid w:val="FFCF21CB"/>
    <w:rsid w:val="FFFF1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qFormat="1" w:unhideWhenUsed="0" w:uiPriority="99" w:semiHidden="0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99"/>
    <w:pPr>
      <w:spacing w:before="120" w:after="200" w:line="276" w:lineRule="auto"/>
    </w:pPr>
    <w:rPr>
      <w:rFonts w:ascii="Arial" w:hAnsi="Arial"/>
      <w:sz w:val="24"/>
    </w:rPr>
  </w:style>
  <w:style w:type="paragraph" w:styleId="3">
    <w:name w:val="Body Text Indent"/>
    <w:basedOn w:val="1"/>
    <w:next w:val="4"/>
    <w:unhideWhenUsed/>
    <w:qFormat/>
    <w:uiPriority w:val="99"/>
    <w:pPr>
      <w:widowControl/>
      <w:spacing w:after="120"/>
      <w:ind w:left="420" w:leftChars="200"/>
      <w:jc w:val="left"/>
    </w:pPr>
    <w:rPr>
      <w:rFonts w:ascii="宋体" w:hAnsi="宋体" w:eastAsia="宋体" w:cs="宋体"/>
      <w:kern w:val="0"/>
      <w:sz w:val="24"/>
    </w:rPr>
  </w:style>
  <w:style w:type="paragraph" w:styleId="4">
    <w:name w:val="Body Text First Indent 2"/>
    <w:basedOn w:val="3"/>
    <w:next w:val="1"/>
    <w:unhideWhenUsed/>
    <w:qFormat/>
    <w:uiPriority w:val="99"/>
    <w:pPr>
      <w:ind w:firstLine="420" w:firstLineChars="200"/>
    </w:pPr>
  </w:style>
  <w:style w:type="paragraph" w:styleId="5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footnote text"/>
    <w:basedOn w:val="1"/>
    <w:next w:val="4"/>
    <w:semiHidden/>
    <w:qFormat/>
    <w:uiPriority w:val="0"/>
    <w:pPr>
      <w:snapToGrid w:val="0"/>
      <w:jc w:val="left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2">
    <w:name w:val="页眉 Char"/>
    <w:basedOn w:val="11"/>
    <w:link w:val="7"/>
    <w:qFormat/>
    <w:uiPriority w:val="99"/>
    <w:rPr>
      <w:sz w:val="18"/>
      <w:szCs w:val="18"/>
    </w:rPr>
  </w:style>
  <w:style w:type="character" w:customStyle="1" w:styleId="13">
    <w:name w:val="页脚 Char"/>
    <w:basedOn w:val="11"/>
    <w:link w:val="6"/>
    <w:qFormat/>
    <w:uiPriority w:val="99"/>
    <w:rPr>
      <w:sz w:val="18"/>
      <w:szCs w:val="18"/>
    </w:rPr>
  </w:style>
  <w:style w:type="paragraph" w:customStyle="1" w:styleId="14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批注框文本 Char"/>
    <w:basedOn w:val="11"/>
    <w:link w:val="5"/>
    <w:semiHidden/>
    <w:qFormat/>
    <w:uiPriority w:val="99"/>
    <w:rPr>
      <w:sz w:val="18"/>
      <w:szCs w:val="18"/>
    </w:rPr>
  </w:style>
  <w:style w:type="character" w:customStyle="1" w:styleId="17">
    <w:name w:val="font01"/>
    <w:basedOn w:val="1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8">
    <w:name w:val="font21"/>
    <w:basedOn w:val="1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9">
    <w:name w:val="font11"/>
    <w:basedOn w:val="1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16</Pages>
  <Words>5888</Words>
  <Characters>6506</Characters>
  <Lines>63</Lines>
  <Paragraphs>18</Paragraphs>
  <TotalTime>127</TotalTime>
  <ScaleCrop>false</ScaleCrop>
  <LinksUpToDate>false</LinksUpToDate>
  <CharactersWithSpaces>6527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2020-07-08T02:32:00Z</dcterms:created>
  <dc:creator>李航 null</dc:creator>
  <cp:lastModifiedBy>Administrator</cp:lastModifiedBy>
  <cp:lastPrinted>2024-08-08T10:20:00Z</cp:lastPrinted>
  <dcterms:modified xsi:type="dcterms:W3CDTF">2025-08-25T07:09:20Z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98623D6660B449428EB8E073C6C952EA</vt:lpwstr>
  </property>
  <property fmtid="{D5CDD505-2E9C-101B-9397-08002B2CF9AE}" pid="4" name="KSOTemplateDocerSaveRecord">
    <vt:lpwstr>eyJoZGlkIjoiOTZlYjhhYjE1MTNlYjg0MTJlMzgxN2U1NjI5NTliNzUifQ==</vt:lpwstr>
  </property>
</Properties>
</file>