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10DAF">
      <w:pPr>
        <w:pStyle w:val="12"/>
        <w:jc w:val="center"/>
        <w:rPr>
          <w:sz w:val="56"/>
          <w:szCs w:val="56"/>
        </w:rPr>
      </w:pPr>
    </w:p>
    <w:p w14:paraId="0E8250CE">
      <w:pPr>
        <w:pStyle w:val="12"/>
        <w:jc w:val="center"/>
        <w:rPr>
          <w:sz w:val="56"/>
          <w:szCs w:val="56"/>
        </w:rPr>
      </w:pPr>
    </w:p>
    <w:p w14:paraId="3CE950DA">
      <w:pPr>
        <w:pStyle w:val="12"/>
        <w:jc w:val="center"/>
        <w:rPr>
          <w:sz w:val="84"/>
          <w:szCs w:val="84"/>
        </w:rPr>
      </w:pPr>
    </w:p>
    <w:p w14:paraId="09968B28">
      <w:pPr>
        <w:pStyle w:val="12"/>
        <w:jc w:val="center"/>
        <w:rPr>
          <w:sz w:val="84"/>
          <w:szCs w:val="84"/>
        </w:rPr>
      </w:pPr>
    </w:p>
    <w:p w14:paraId="0752652C">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07E7BAC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岳阳市自然资源和规划事务中心部门决算</w:t>
      </w:r>
    </w:p>
    <w:p w14:paraId="1F296651">
      <w:pPr>
        <w:pStyle w:val="12"/>
        <w:jc w:val="center"/>
        <w:rPr>
          <w:rFonts w:hint="eastAsia" w:ascii="方正小标宋_GBK" w:hAnsi="方正小标宋_GBK" w:eastAsia="方正小标宋_GBK" w:cs="方正小标宋_GBK"/>
          <w:sz w:val="56"/>
          <w:szCs w:val="56"/>
        </w:rPr>
      </w:pPr>
    </w:p>
    <w:p w14:paraId="10822D75">
      <w:pPr>
        <w:pStyle w:val="12"/>
        <w:jc w:val="center"/>
        <w:rPr>
          <w:sz w:val="56"/>
          <w:szCs w:val="56"/>
        </w:rPr>
      </w:pPr>
    </w:p>
    <w:p w14:paraId="58A9C51E">
      <w:pPr>
        <w:pStyle w:val="12"/>
        <w:jc w:val="center"/>
        <w:rPr>
          <w:sz w:val="56"/>
          <w:szCs w:val="56"/>
        </w:rPr>
      </w:pPr>
    </w:p>
    <w:p w14:paraId="3D23E088">
      <w:pPr>
        <w:pStyle w:val="12"/>
        <w:jc w:val="center"/>
        <w:rPr>
          <w:sz w:val="56"/>
          <w:szCs w:val="56"/>
        </w:rPr>
      </w:pPr>
    </w:p>
    <w:p w14:paraId="0C12110A">
      <w:pPr>
        <w:pStyle w:val="12"/>
        <w:jc w:val="center"/>
        <w:rPr>
          <w:sz w:val="32"/>
          <w:szCs w:val="32"/>
        </w:rPr>
      </w:pPr>
    </w:p>
    <w:p w14:paraId="56B5BA4D">
      <w:pPr>
        <w:pStyle w:val="12"/>
        <w:jc w:val="center"/>
        <w:rPr>
          <w:sz w:val="32"/>
          <w:szCs w:val="32"/>
        </w:rPr>
      </w:pPr>
    </w:p>
    <w:p w14:paraId="6D856FDB">
      <w:pPr>
        <w:pStyle w:val="12"/>
        <w:jc w:val="center"/>
        <w:rPr>
          <w:sz w:val="32"/>
          <w:szCs w:val="32"/>
        </w:rPr>
      </w:pPr>
    </w:p>
    <w:p w14:paraId="5FA4ED71">
      <w:pPr>
        <w:pStyle w:val="12"/>
        <w:spacing w:line="500" w:lineRule="exact"/>
        <w:jc w:val="both"/>
        <w:rPr>
          <w:b/>
          <w:sz w:val="36"/>
          <w:szCs w:val="28"/>
        </w:rPr>
      </w:pPr>
    </w:p>
    <w:p w14:paraId="46794E85">
      <w:pPr>
        <w:pStyle w:val="12"/>
        <w:spacing w:line="500" w:lineRule="exact"/>
        <w:jc w:val="center"/>
        <w:rPr>
          <w:b/>
          <w:sz w:val="36"/>
          <w:szCs w:val="28"/>
        </w:rPr>
      </w:pPr>
      <w:r>
        <w:rPr>
          <w:rFonts w:hint="eastAsia"/>
          <w:b/>
          <w:sz w:val="36"/>
          <w:szCs w:val="28"/>
        </w:rPr>
        <w:t>目录</w:t>
      </w:r>
    </w:p>
    <w:p w14:paraId="7D55F324">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岳阳市自然资源和规划事务中心</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14:paraId="6E908C3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E1FE8C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14:paraId="577823F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5994CBE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578BC73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21339C0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6D9AE8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5E5735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C7ACD4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13F75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5CAC3C3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1D9770C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25EF33B1">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4BCBEA5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3179FC04">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492B141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11D959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2FDEC2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80486E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C8A630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B2DE6B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3EA0818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180A6A3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3D2CC88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962D40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6861E28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71C8202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704D120C">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696C69D9">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861DD05">
      <w:pPr>
        <w:pStyle w:val="12"/>
        <w:jc w:val="center"/>
        <w:rPr>
          <w:rFonts w:hint="eastAsia" w:ascii="方正小标宋_GBK" w:hAnsi="方正小标宋_GBK" w:eastAsia="方正小标宋_GBK" w:cs="方正小标宋_GBK"/>
          <w:sz w:val="84"/>
          <w:szCs w:val="84"/>
        </w:rPr>
      </w:pPr>
    </w:p>
    <w:p w14:paraId="217393CF">
      <w:pPr>
        <w:pStyle w:val="12"/>
        <w:jc w:val="center"/>
        <w:rPr>
          <w:rFonts w:hint="eastAsia" w:ascii="方正小标宋_GBK" w:hAnsi="方正小标宋_GBK" w:eastAsia="方正小标宋_GBK" w:cs="方正小标宋_GBK"/>
          <w:sz w:val="84"/>
          <w:szCs w:val="84"/>
        </w:rPr>
      </w:pPr>
    </w:p>
    <w:p w14:paraId="1CEFD32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4B103016">
      <w:pPr>
        <w:pStyle w:val="12"/>
        <w:jc w:val="center"/>
        <w:rPr>
          <w:rFonts w:hint="eastAsia" w:ascii="方正小标宋_GBK" w:hAnsi="方正小标宋_GBK" w:eastAsia="方正小标宋_GBK" w:cs="方正小标宋_GBK"/>
          <w:sz w:val="84"/>
          <w:szCs w:val="84"/>
        </w:rPr>
      </w:pPr>
    </w:p>
    <w:p w14:paraId="1FAA65B2">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岳阳市自然资源和规划事务中心</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14:paraId="09D01A91">
      <w:pPr>
        <w:pStyle w:val="7"/>
        <w:rPr>
          <w:rFonts w:hint="eastAsia" w:ascii="方正小标宋_GBK" w:hAnsi="方正小标宋_GBK" w:eastAsia="方正小标宋_GBK" w:cs="方正小标宋_GBK"/>
          <w:sz w:val="84"/>
          <w:szCs w:val="84"/>
        </w:rPr>
      </w:pPr>
    </w:p>
    <w:p w14:paraId="67B812AF">
      <w:pPr>
        <w:pStyle w:val="3"/>
        <w:rPr>
          <w:rFonts w:hint="eastAsia" w:ascii="方正小标宋_GBK" w:hAnsi="方正小标宋_GBK" w:eastAsia="方正小标宋_GBK" w:cs="方正小标宋_GBK"/>
          <w:sz w:val="84"/>
          <w:szCs w:val="84"/>
        </w:rPr>
      </w:pPr>
    </w:p>
    <w:p w14:paraId="1DFAD192">
      <w:pPr>
        <w:rPr>
          <w:rFonts w:hint="eastAsia" w:ascii="方正小标宋_GBK" w:hAnsi="方正小标宋_GBK" w:eastAsia="方正小标宋_GBK" w:cs="方正小标宋_GBK"/>
          <w:sz w:val="84"/>
          <w:szCs w:val="84"/>
        </w:rPr>
      </w:pPr>
    </w:p>
    <w:p w14:paraId="09E4D43D">
      <w:pPr>
        <w:pStyle w:val="3"/>
        <w:ind w:left="0" w:leftChars="0" w:firstLine="0" w:firstLineChars="0"/>
        <w:rPr>
          <w:rFonts w:hint="eastAsia" w:ascii="方正小标宋_GBK" w:hAnsi="方正小标宋_GBK" w:eastAsia="方正小标宋_GBK" w:cs="方正小标宋_GBK"/>
          <w:sz w:val="84"/>
          <w:szCs w:val="84"/>
        </w:rPr>
      </w:pPr>
    </w:p>
    <w:p w14:paraId="0434E9D4">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7B3D6A4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（一）为机关提供支持保障的职能。</w:t>
      </w:r>
    </w:p>
    <w:p w14:paraId="0723BA0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1、</w:t>
      </w:r>
      <w:r>
        <w:rPr>
          <w:rFonts w:hint="eastAsia" w:ascii="Times New Roman" w:hAnsi="Times New Roman" w:eastAsia="仿宋_GB2312" w:cs="仿宋_GB2312"/>
          <w:sz w:val="32"/>
          <w:szCs w:val="32"/>
          <w:highlight w:val="none"/>
        </w:rPr>
        <w:t>为市自然资源和规划局依法履行全民所有土地、矿产、森林、草原、湿地、水等自然资源资产所有者职责和国土空间用途管制职责提供技术支持和服务保障。</w:t>
      </w:r>
    </w:p>
    <w:p w14:paraId="08B4B9C1">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2、</w:t>
      </w:r>
      <w:r>
        <w:rPr>
          <w:rFonts w:hint="eastAsia" w:ascii="Times New Roman" w:hAnsi="Times New Roman" w:eastAsia="仿宋_GB2312" w:cs="仿宋_GB2312"/>
          <w:sz w:val="32"/>
          <w:szCs w:val="32"/>
          <w:highlight w:val="none"/>
        </w:rPr>
        <w:t>为自然资源调查监测、开发利用、矿产资源管理工作提供技术支持和服务保障。</w:t>
      </w:r>
    </w:p>
    <w:p w14:paraId="77422C8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为建立和实施国土空间规划体系提供技术支持和服务保障。</w:t>
      </w:r>
    </w:p>
    <w:p w14:paraId="1BA4BED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4</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为建筑工程、市政工程规划管理提供技术支持和服务保障。</w:t>
      </w:r>
    </w:p>
    <w:p w14:paraId="6578FB2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5</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为统筹国土空间生态修复、用途管制、全域土地综合整治工作提供技术支持和服务保障。</w:t>
      </w:r>
    </w:p>
    <w:p w14:paraId="0DAF6E6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6</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为组织实施最严格的耕地保护制度提供技术支持和服务保障。</w:t>
      </w:r>
    </w:p>
    <w:p w14:paraId="39D1CD7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7</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为地质管理、地质灾害防治等相关工作提供技术支持和服务保障。</w:t>
      </w:r>
    </w:p>
    <w:p w14:paraId="5FCF810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8</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为自然资源和规划地理信息管理、系统信息化建设工作提供技术支持和服务保障。</w:t>
      </w:r>
    </w:p>
    <w:p w14:paraId="27AEFC4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9</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为自然资源和规划系统档案利用、管理提供技术支持和服务保障。</w:t>
      </w:r>
    </w:p>
    <w:p w14:paraId="50C2629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eastAsia="zh-CN"/>
        </w:rPr>
        <w:t>（二）</w:t>
      </w:r>
      <w:r>
        <w:rPr>
          <w:rFonts w:hint="eastAsia" w:ascii="Times New Roman" w:hAnsi="Times New Roman" w:eastAsia="仿宋_GB2312" w:cs="仿宋_GB2312"/>
          <w:sz w:val="32"/>
          <w:szCs w:val="32"/>
          <w:highlight w:val="none"/>
        </w:rPr>
        <w:t>面向社会提供公益服务的职能。</w:t>
      </w:r>
    </w:p>
    <w:p w14:paraId="3B152DC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负责全市基础地理空间数据汇集、更新、安全、共享以及地理信息系统建设、维护等技术服务工作。</w:t>
      </w:r>
    </w:p>
    <w:p w14:paraId="0BF83DE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负责为全市城市建设提供地理空间数据和技术服务。</w:t>
      </w:r>
    </w:p>
    <w:p w14:paraId="712E3FC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为社会无偿提供档案咨询、查询公益服务工作。</w:t>
      </w:r>
    </w:p>
    <w:p w14:paraId="56B80628">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highlight w:val="none"/>
          <w:lang w:eastAsia="zh-CN"/>
        </w:rPr>
        <w:t>（三）</w:t>
      </w:r>
      <w:r>
        <w:rPr>
          <w:rFonts w:hint="eastAsia" w:ascii="Times New Roman" w:hAnsi="Times New Roman" w:eastAsia="仿宋_GB2312" w:cs="仿宋_GB2312"/>
          <w:sz w:val="32"/>
          <w:szCs w:val="32"/>
          <w:highlight w:val="none"/>
        </w:rPr>
        <w:t>完成市自然资源和规划局交办的其他任务。</w:t>
      </w:r>
    </w:p>
    <w:p w14:paraId="7FAA0207">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0B825D90">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岳阳市自然资源和规划事务中心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Times New Roman"/>
          <w:color w:val="000000"/>
          <w:kern w:val="0"/>
          <w:sz w:val="32"/>
          <w:szCs w:val="32"/>
          <w:highlight w:val="none"/>
          <w:lang w:val="en-US" w:eastAsia="zh-CN" w:bidi="ar-SA"/>
        </w:rPr>
        <w:t>综合部、资源利用服务部（市储量评审部）、规划编制研究部、规划技术服务部、土地综合整治部、耕保技术服务部、地灾防治地质监测技术部、财务部</w:t>
      </w:r>
      <w:r>
        <w:rPr>
          <w:rFonts w:hint="eastAsia" w:ascii="Times New Roman" w:hAnsi="Times New Roman" w:eastAsia="仿宋_GB2312" w:cs="仿宋_GB2312"/>
          <w:bCs/>
          <w:kern w:val="0"/>
          <w:sz w:val="32"/>
          <w:szCs w:val="32"/>
          <w:lang w:eastAsia="zh-CN"/>
        </w:rPr>
        <w:t>共</w:t>
      </w:r>
      <w:r>
        <w:rPr>
          <w:rFonts w:hint="eastAsia" w:ascii="Times New Roman" w:hAnsi="Times New Roman" w:eastAsia="仿宋_GB2312" w:cs="仿宋_GB2312"/>
          <w:bCs/>
          <w:kern w:val="0"/>
          <w:sz w:val="32"/>
          <w:szCs w:val="32"/>
        </w:rPr>
        <w:t>8个内设机构</w:t>
      </w:r>
      <w:r>
        <w:rPr>
          <w:rFonts w:hint="eastAsia" w:ascii="Times New Roman" w:hAnsi="Times New Roman" w:eastAsia="仿宋_GB2312" w:cs="Times New Roman"/>
          <w:color w:val="000000"/>
          <w:kern w:val="0"/>
          <w:sz w:val="32"/>
          <w:szCs w:val="32"/>
          <w:highlight w:val="none"/>
          <w:lang w:val="en-US" w:eastAsia="zh-CN" w:bidi="ar-SA"/>
        </w:rPr>
        <w:t>。</w:t>
      </w:r>
    </w:p>
    <w:p w14:paraId="2FDC8D9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Times New Roman" w:hAnsi="Times New Roman" w:eastAsia="黑体" w:cs="Times New Roman"/>
          <w:sz w:val="32"/>
          <w:szCs w:val="32"/>
          <w:highlight w:val="none"/>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岳阳市自然资源和规划事务中心</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岳阳市自然资源和规划事务中心</w:t>
      </w:r>
      <w:r>
        <w:rPr>
          <w:rFonts w:hint="eastAsia" w:ascii="Times New Roman" w:hAnsi="Times New Roman" w:eastAsia="仿宋_GB2312" w:cs="仿宋_GB2312"/>
          <w:bCs/>
          <w:kern w:val="0"/>
          <w:sz w:val="32"/>
          <w:szCs w:val="32"/>
        </w:rPr>
        <w:t>本级以及</w:t>
      </w:r>
      <w:r>
        <w:rPr>
          <w:rFonts w:hint="eastAsia" w:ascii="Times New Roman" w:hAnsi="Times New Roman" w:eastAsia="仿宋_GB2312" w:cs="Times New Roman"/>
          <w:color w:val="000000"/>
          <w:kern w:val="0"/>
          <w:sz w:val="32"/>
          <w:szCs w:val="32"/>
          <w:highlight w:val="none"/>
          <w:lang w:val="en-US" w:eastAsia="zh-CN" w:bidi="ar-SA"/>
        </w:rPr>
        <w:t>自然资源和规划数据中心（市地理信息中心）、自然资源和规划档案馆</w:t>
      </w:r>
      <w:r>
        <w:rPr>
          <w:rFonts w:hint="eastAsia" w:ascii="Times New Roman" w:hAnsi="Times New Roman" w:eastAsia="仿宋_GB2312" w:cs="仿宋_GB2312"/>
          <w:bCs/>
          <w:kern w:val="0"/>
          <w:sz w:val="32"/>
          <w:szCs w:val="32"/>
        </w:rPr>
        <w:t>2个分支机构</w:t>
      </w:r>
      <w:r>
        <w:rPr>
          <w:rFonts w:hint="eastAsia" w:ascii="Times New Roman" w:hAnsi="Times New Roman" w:eastAsia="仿宋_GB2312" w:cs="Times New Roman"/>
          <w:color w:val="000000"/>
          <w:kern w:val="0"/>
          <w:sz w:val="32"/>
          <w:szCs w:val="32"/>
          <w:highlight w:val="none"/>
          <w:lang w:val="en-US" w:eastAsia="zh-CN" w:bidi="ar-SA"/>
        </w:rPr>
        <w:t>。</w:t>
      </w:r>
    </w:p>
    <w:p w14:paraId="29B241EF">
      <w:pPr>
        <w:widowControl/>
        <w:spacing w:line="600" w:lineRule="exact"/>
        <w:rPr>
          <w:rFonts w:hint="eastAsia" w:ascii="Times New Roman" w:hAnsi="Times New Roman" w:eastAsia="仿宋_GB2312" w:cs="仿宋_GB2312"/>
          <w:bCs/>
          <w:kern w:val="0"/>
          <w:sz w:val="32"/>
          <w:szCs w:val="32"/>
        </w:rPr>
      </w:pPr>
    </w:p>
    <w:p w14:paraId="6DA9B5C2">
      <w:pPr>
        <w:pStyle w:val="7"/>
      </w:pPr>
    </w:p>
    <w:p w14:paraId="74D186A6">
      <w:pPr>
        <w:pStyle w:val="3"/>
      </w:pPr>
    </w:p>
    <w:p w14:paraId="48EFB2BA"/>
    <w:p w14:paraId="2699F003">
      <w:pPr>
        <w:pStyle w:val="7"/>
      </w:pPr>
    </w:p>
    <w:p w14:paraId="46CB5A1F">
      <w:pPr>
        <w:pStyle w:val="3"/>
      </w:pPr>
    </w:p>
    <w:p w14:paraId="7620BB44"/>
    <w:p w14:paraId="03506132">
      <w:pPr>
        <w:pStyle w:val="7"/>
      </w:pPr>
    </w:p>
    <w:p w14:paraId="7C8B3FA0">
      <w:pPr>
        <w:pStyle w:val="3"/>
      </w:pPr>
    </w:p>
    <w:p w14:paraId="7BB71EA0"/>
    <w:p w14:paraId="23CC9B4F">
      <w:pPr>
        <w:pStyle w:val="7"/>
      </w:pPr>
    </w:p>
    <w:p w14:paraId="62FEA513">
      <w:pPr>
        <w:pStyle w:val="3"/>
      </w:pPr>
    </w:p>
    <w:p w14:paraId="3FE5357D"/>
    <w:p w14:paraId="5F4486B1">
      <w:pPr>
        <w:pStyle w:val="7"/>
      </w:pPr>
    </w:p>
    <w:p w14:paraId="0ACE23A8">
      <w:pPr>
        <w:pStyle w:val="3"/>
      </w:pPr>
    </w:p>
    <w:p w14:paraId="34571C85"/>
    <w:p w14:paraId="57D9CE72">
      <w:pPr>
        <w:pStyle w:val="7"/>
      </w:pPr>
    </w:p>
    <w:p w14:paraId="0289E924">
      <w:pPr>
        <w:pStyle w:val="3"/>
      </w:pPr>
    </w:p>
    <w:p w14:paraId="5AB12B3C"/>
    <w:p w14:paraId="34B7D695">
      <w:pPr>
        <w:pStyle w:val="7"/>
      </w:pPr>
    </w:p>
    <w:p w14:paraId="6B63CE66">
      <w:pPr>
        <w:pStyle w:val="3"/>
      </w:pPr>
    </w:p>
    <w:p w14:paraId="7F8B7120"/>
    <w:p w14:paraId="534961FD">
      <w:pPr>
        <w:pStyle w:val="7"/>
      </w:pPr>
    </w:p>
    <w:p w14:paraId="41AFBAB9">
      <w:pPr>
        <w:pStyle w:val="3"/>
      </w:pPr>
    </w:p>
    <w:p w14:paraId="0D083EF1"/>
    <w:p w14:paraId="295E8F6E">
      <w:pPr>
        <w:pStyle w:val="12"/>
        <w:jc w:val="center"/>
        <w:rPr>
          <w:rFonts w:hint="eastAsia" w:ascii="方正小标宋_GBK" w:hAnsi="方正小标宋_GBK" w:eastAsia="方正小标宋_GBK" w:cs="方正小标宋_GBK"/>
          <w:sz w:val="84"/>
          <w:szCs w:val="84"/>
        </w:rPr>
      </w:pPr>
    </w:p>
    <w:p w14:paraId="6D30806F">
      <w:pPr>
        <w:pStyle w:val="12"/>
        <w:jc w:val="center"/>
        <w:rPr>
          <w:rFonts w:hint="eastAsia" w:ascii="方正小标宋_GBK" w:hAnsi="方正小标宋_GBK" w:eastAsia="方正小标宋_GBK" w:cs="方正小标宋_GBK"/>
          <w:sz w:val="84"/>
          <w:szCs w:val="84"/>
        </w:rPr>
      </w:pPr>
    </w:p>
    <w:p w14:paraId="2B1FDC95">
      <w:pPr>
        <w:pStyle w:val="12"/>
        <w:jc w:val="center"/>
        <w:rPr>
          <w:rFonts w:hint="eastAsia" w:ascii="方正小标宋_GBK" w:hAnsi="方正小标宋_GBK" w:eastAsia="方正小标宋_GBK" w:cs="方正小标宋_GBK"/>
          <w:sz w:val="84"/>
          <w:szCs w:val="84"/>
        </w:rPr>
      </w:pPr>
    </w:p>
    <w:p w14:paraId="23CE229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4F804FED">
      <w:pPr>
        <w:pStyle w:val="12"/>
        <w:jc w:val="center"/>
        <w:rPr>
          <w:rFonts w:hint="eastAsia" w:ascii="方正小标宋_GBK" w:hAnsi="方正小标宋_GBK" w:eastAsia="方正小标宋_GBK" w:cs="方正小标宋_GBK"/>
          <w:sz w:val="84"/>
          <w:szCs w:val="84"/>
        </w:rPr>
      </w:pPr>
    </w:p>
    <w:p w14:paraId="3E3690E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1BCF17A4">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1EDCBF8">
      <w:pPr>
        <w:pStyle w:val="12"/>
        <w:jc w:val="center"/>
        <w:rPr>
          <w:rFonts w:hint="eastAsia" w:ascii="仿宋_GB2312" w:hAnsi="仿宋_GB2312" w:eastAsia="仿宋_GB2312" w:cs="仿宋_GB2312"/>
          <w:b w:val="0"/>
          <w:bCs w:val="0"/>
          <w:sz w:val="72"/>
          <w:szCs w:val="72"/>
          <w:lang w:eastAsia="zh-CN"/>
        </w:rPr>
      </w:pPr>
    </w:p>
    <w:p w14:paraId="5C512F53">
      <w:pPr>
        <w:pStyle w:val="12"/>
        <w:jc w:val="center"/>
        <w:rPr>
          <w:rFonts w:hint="eastAsia" w:ascii="仿宋_GB2312" w:hAnsi="仿宋_GB2312" w:eastAsia="仿宋_GB2312" w:cs="仿宋_GB2312"/>
          <w:b w:val="0"/>
          <w:bCs w:val="0"/>
          <w:sz w:val="72"/>
          <w:szCs w:val="72"/>
          <w:lang w:eastAsia="zh-CN"/>
        </w:rPr>
      </w:pPr>
    </w:p>
    <w:p w14:paraId="6407DFFC">
      <w:pPr>
        <w:pStyle w:val="12"/>
        <w:jc w:val="center"/>
        <w:rPr>
          <w:rFonts w:hint="eastAsia" w:ascii="仿宋_GB2312" w:hAnsi="仿宋_GB2312" w:eastAsia="仿宋_GB2312" w:cs="仿宋_GB2312"/>
          <w:b w:val="0"/>
          <w:bCs w:val="0"/>
          <w:sz w:val="72"/>
          <w:szCs w:val="72"/>
          <w:lang w:eastAsia="zh-CN"/>
        </w:rPr>
      </w:pPr>
    </w:p>
    <w:p w14:paraId="62AA482F">
      <w:pPr>
        <w:pStyle w:val="12"/>
        <w:jc w:val="center"/>
        <w:rPr>
          <w:rFonts w:hint="eastAsia" w:ascii="仿宋_GB2312" w:hAnsi="仿宋_GB2312" w:eastAsia="仿宋_GB2312" w:cs="仿宋_GB2312"/>
          <w:b w:val="0"/>
          <w:bCs w:val="0"/>
          <w:sz w:val="72"/>
          <w:szCs w:val="72"/>
          <w:lang w:eastAsia="zh-CN"/>
        </w:rPr>
      </w:pPr>
    </w:p>
    <w:p w14:paraId="5FB6AE49">
      <w:pPr>
        <w:pStyle w:val="12"/>
        <w:jc w:val="center"/>
        <w:rPr>
          <w:rFonts w:hint="eastAsia" w:ascii="仿宋_GB2312" w:hAnsi="仿宋_GB2312" w:eastAsia="仿宋_GB2312" w:cs="仿宋_GB2312"/>
          <w:b w:val="0"/>
          <w:bCs w:val="0"/>
          <w:sz w:val="72"/>
          <w:szCs w:val="72"/>
          <w:lang w:eastAsia="zh-CN"/>
        </w:rPr>
      </w:pPr>
    </w:p>
    <w:p w14:paraId="786C7E58">
      <w:pPr>
        <w:pStyle w:val="12"/>
        <w:jc w:val="center"/>
        <w:rPr>
          <w:rFonts w:hint="eastAsia" w:ascii="仿宋_GB2312" w:hAnsi="仿宋_GB2312" w:eastAsia="仿宋_GB2312" w:cs="仿宋_GB2312"/>
          <w:b w:val="0"/>
          <w:bCs w:val="0"/>
          <w:sz w:val="72"/>
          <w:szCs w:val="72"/>
          <w:lang w:eastAsia="zh-CN"/>
        </w:rPr>
      </w:pPr>
    </w:p>
    <w:p w14:paraId="7FF7D926">
      <w:pPr>
        <w:pStyle w:val="12"/>
        <w:jc w:val="center"/>
        <w:rPr>
          <w:rFonts w:hint="eastAsia" w:ascii="仿宋_GB2312" w:hAnsi="仿宋_GB2312" w:eastAsia="仿宋_GB2312" w:cs="仿宋_GB2312"/>
          <w:b w:val="0"/>
          <w:bCs w:val="0"/>
          <w:sz w:val="72"/>
          <w:szCs w:val="72"/>
          <w:lang w:eastAsia="zh-CN"/>
        </w:rPr>
      </w:pPr>
    </w:p>
    <w:p w14:paraId="67BD0D06">
      <w:pPr>
        <w:pStyle w:val="12"/>
        <w:jc w:val="center"/>
        <w:rPr>
          <w:rFonts w:hint="eastAsia" w:ascii="方正小标宋_GBK" w:hAnsi="方正小标宋_GBK" w:eastAsia="方正小标宋_GBK" w:cs="方正小标宋_GBK"/>
          <w:sz w:val="72"/>
          <w:szCs w:val="72"/>
        </w:rPr>
      </w:pPr>
    </w:p>
    <w:p w14:paraId="767C5899">
      <w:pPr>
        <w:pStyle w:val="12"/>
        <w:jc w:val="center"/>
        <w:rPr>
          <w:rFonts w:hint="eastAsia" w:ascii="方正小标宋_GBK" w:hAnsi="方正小标宋_GBK" w:eastAsia="方正小标宋_GBK" w:cs="方正小标宋_GBK"/>
          <w:sz w:val="72"/>
          <w:szCs w:val="72"/>
        </w:rPr>
      </w:pPr>
    </w:p>
    <w:p w14:paraId="669051B7">
      <w:pPr>
        <w:pStyle w:val="12"/>
        <w:jc w:val="both"/>
        <w:rPr>
          <w:rFonts w:hint="eastAsia" w:ascii="方正小标宋_GBK" w:hAnsi="方正小标宋_GBK" w:eastAsia="方正小标宋_GBK" w:cs="方正小标宋_GBK"/>
          <w:sz w:val="72"/>
          <w:szCs w:val="72"/>
        </w:rPr>
      </w:pPr>
    </w:p>
    <w:p w14:paraId="2D800A5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24B9E291">
      <w:pPr>
        <w:pStyle w:val="12"/>
        <w:jc w:val="center"/>
        <w:rPr>
          <w:rFonts w:hint="eastAsia" w:ascii="方正小标宋_GBK" w:hAnsi="方正小标宋_GBK" w:eastAsia="方正小标宋_GBK" w:cs="方正小标宋_GBK"/>
          <w:sz w:val="70"/>
          <w:szCs w:val="70"/>
        </w:rPr>
      </w:pPr>
    </w:p>
    <w:p w14:paraId="1E67BBD4">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28B0DB18">
      <w:pPr>
        <w:pStyle w:val="12"/>
        <w:jc w:val="center"/>
        <w:rPr>
          <w:rFonts w:hint="eastAsia" w:ascii="方正小标宋_GBK" w:hAnsi="方正小标宋_GBK" w:eastAsia="方正小标宋_GBK" w:cs="方正小标宋_GBK"/>
          <w:sz w:val="70"/>
          <w:szCs w:val="70"/>
        </w:rPr>
      </w:pPr>
    </w:p>
    <w:p w14:paraId="4E1E7614">
      <w:pPr>
        <w:pStyle w:val="12"/>
        <w:jc w:val="center"/>
        <w:rPr>
          <w:rFonts w:hint="eastAsia" w:ascii="方正小标宋_GBK" w:hAnsi="方正小标宋_GBK" w:eastAsia="方正小标宋_GBK" w:cs="方正小标宋_GBK"/>
          <w:sz w:val="70"/>
          <w:szCs w:val="70"/>
        </w:rPr>
      </w:pPr>
    </w:p>
    <w:p w14:paraId="22FB4088">
      <w:pPr>
        <w:pStyle w:val="12"/>
        <w:jc w:val="center"/>
        <w:rPr>
          <w:rFonts w:hint="eastAsia" w:ascii="方正小标宋_GBK" w:hAnsi="方正小标宋_GBK" w:eastAsia="方正小标宋_GBK" w:cs="方正小标宋_GBK"/>
          <w:sz w:val="70"/>
          <w:szCs w:val="70"/>
        </w:rPr>
      </w:pPr>
    </w:p>
    <w:p w14:paraId="1F98E2ED">
      <w:pPr>
        <w:pStyle w:val="12"/>
        <w:jc w:val="center"/>
        <w:rPr>
          <w:rFonts w:hint="eastAsia" w:ascii="方正小标宋_GBK" w:hAnsi="方正小标宋_GBK" w:eastAsia="方正小标宋_GBK" w:cs="方正小标宋_GBK"/>
          <w:sz w:val="70"/>
          <w:szCs w:val="70"/>
        </w:rPr>
      </w:pPr>
    </w:p>
    <w:p w14:paraId="78715801">
      <w:pPr>
        <w:pStyle w:val="12"/>
        <w:jc w:val="center"/>
        <w:rPr>
          <w:rFonts w:hint="eastAsia" w:ascii="方正小标宋_GBK" w:hAnsi="方正小标宋_GBK" w:eastAsia="方正小标宋_GBK" w:cs="方正小标宋_GBK"/>
          <w:sz w:val="70"/>
          <w:szCs w:val="70"/>
        </w:rPr>
      </w:pPr>
    </w:p>
    <w:p w14:paraId="10929E45">
      <w:pPr>
        <w:pStyle w:val="12"/>
        <w:jc w:val="center"/>
        <w:rPr>
          <w:rFonts w:hint="eastAsia" w:ascii="方正小标宋_GBK" w:hAnsi="方正小标宋_GBK" w:eastAsia="方正小标宋_GBK" w:cs="方正小标宋_GBK"/>
          <w:sz w:val="70"/>
          <w:szCs w:val="70"/>
        </w:rPr>
      </w:pPr>
    </w:p>
    <w:p w14:paraId="49367FA6">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198CD71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3EC3041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233.02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10.43</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我单位全面实施绩效管理，严控项目预算申报与支出管理，优化资源配置和提高资金使用效率。</w:t>
      </w:r>
    </w:p>
    <w:p w14:paraId="5C2C3EF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5A7EA9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98.07</w:t>
      </w:r>
      <w:r>
        <w:rPr>
          <w:rFonts w:hint="eastAsia" w:ascii="仿宋_GB2312" w:hAnsi="仿宋_GB2312" w:eastAsia="仿宋_GB2312" w:cs="仿宋_GB2312"/>
          <w:sz w:val="32"/>
          <w:szCs w:val="32"/>
        </w:rPr>
        <w:t>%；上级补助收入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%；事业收入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%；经营收入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38.57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1.93</w:t>
      </w:r>
      <w:r>
        <w:rPr>
          <w:rFonts w:hint="eastAsia" w:ascii="仿宋_GB2312" w:hAnsi="仿宋_GB2312" w:eastAsia="仿宋_GB2312" w:cs="仿宋_GB2312"/>
          <w:sz w:val="32"/>
          <w:szCs w:val="32"/>
        </w:rPr>
        <w:t>%。</w:t>
      </w:r>
    </w:p>
    <w:p w14:paraId="65DF36E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E1BDDF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1779.96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88.92</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221.85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11.08</w:t>
      </w:r>
      <w:r>
        <w:rPr>
          <w:rFonts w:hint="eastAsia" w:ascii="仿宋_GB2312" w:hAnsi="仿宋_GB2312" w:eastAsia="仿宋_GB2312" w:cs="仿宋_GB2312"/>
          <w:sz w:val="32"/>
          <w:szCs w:val="32"/>
        </w:rPr>
        <w:t>%；上缴上级支出</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%；经营支出</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Times New Roman" w:hAnsi="Times New Roman" w:eastAsia="仿宋_GB2312"/>
          <w:sz w:val="32"/>
          <w:szCs w:val="32"/>
          <w:lang w:val="en-US" w:eastAsia="zh-CN"/>
        </w:rPr>
        <w:t>0</w:t>
      </w:r>
      <w:r>
        <w:rPr>
          <w:rFonts w:hint="eastAsia" w:ascii="仿宋_GB2312" w:hAnsi="仿宋_GB2312" w:eastAsia="仿宋_GB2312" w:cs="仿宋_GB2312"/>
          <w:sz w:val="32"/>
          <w:szCs w:val="32"/>
        </w:rPr>
        <w:t>万元，占</w:t>
      </w:r>
      <w:r>
        <w:rPr>
          <w:rFonts w:hint="eastAsia" w:ascii="Times New Roman" w:hAnsi="Times New Roman" w:eastAsia="仿宋_GB2312"/>
          <w:sz w:val="32"/>
          <w:szCs w:val="32"/>
          <w:lang w:eastAsia="zh-CN"/>
        </w:rPr>
        <w:t>0.00</w:t>
      </w:r>
      <w:r>
        <w:rPr>
          <w:rFonts w:hint="eastAsia" w:ascii="仿宋_GB2312" w:hAnsi="仿宋_GB2312" w:eastAsia="仿宋_GB2312" w:cs="仿宋_GB2312"/>
          <w:sz w:val="32"/>
          <w:szCs w:val="32"/>
        </w:rPr>
        <w:t>%。</w:t>
      </w:r>
    </w:p>
    <w:p w14:paraId="7084CE0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246BFAFD">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59.49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29.41</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我单位全面实施绩效管理，严控项目预算申报与支出管理，优化资源配置和提高资金使用效率。</w:t>
      </w:r>
    </w:p>
    <w:p w14:paraId="0AEBF39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A345C0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26505F0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98.07</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18.58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0.94</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我单位全面实施绩效管理，严控项目预算申报与支出管理，优化资源配置和提高资金使用效率。</w:t>
      </w:r>
    </w:p>
    <w:p w14:paraId="3355BD5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74B9C6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eastAsia="zh-CN"/>
        </w:rPr>
        <w:t>科学技术</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173.23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8.82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106.03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城乡社区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1527.13万元，占77.79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自然资源海洋气象等</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支出14.96万元，占0.76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住房保障</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支出100.95万元，占5.14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灾害防治及应急管理</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支出40.95万元，占2.09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p>
    <w:p w14:paraId="1A6584B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color w:val="1F497D" w:themeColor="text2"/>
          <w:sz w:val="32"/>
          <w:szCs w:val="32"/>
          <w14:textFill>
            <w14:solidFill>
              <w14:schemeClr w14:val="tx2"/>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（三）一般公共预算财政拨款支出决算具体情况</w:t>
      </w:r>
    </w:p>
    <w:p w14:paraId="02DDD2D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1374.12</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1963.25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142.87</w:t>
      </w:r>
      <w:r>
        <w:rPr>
          <w:rFonts w:hint="eastAsia" w:ascii="仿宋_GB2312" w:hAnsi="仿宋_GB2312" w:eastAsia="仿宋_GB2312" w:cs="仿宋_GB2312"/>
          <w:sz w:val="32"/>
          <w:szCs w:val="32"/>
        </w:rPr>
        <w:t>%，其中：</w:t>
      </w:r>
    </w:p>
    <w:p w14:paraId="2344DE7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1、科学技术支出（类）其他科学技术支出（款）其他科学技术支出（项）</w:t>
      </w:r>
    </w:p>
    <w:p w14:paraId="6F0FFBB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173.23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6A35FD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2、社会保障和就业支出（类）行政事业单位养老支出（款）机关事业单位基本养老保险缴费支出（项）</w:t>
      </w:r>
    </w:p>
    <w:p w14:paraId="580AB31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102.88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102.88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我单位严格按预算执行决算。</w:t>
      </w:r>
    </w:p>
    <w:p w14:paraId="6EC06390">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、社会保障和就业支出（类）其他社会保障和就业支出</w:t>
      </w:r>
      <w:r>
        <w:rPr>
          <w:rFonts w:hint="eastAsia" w:ascii="仿宋_GB2312" w:hAnsi="仿宋_GB2312" w:eastAsia="仿宋_GB2312" w:cs="仿宋_GB2312"/>
          <w:sz w:val="32"/>
          <w:szCs w:val="32"/>
          <w:lang w:eastAsia="zh-CN"/>
        </w:rPr>
        <w:t>（款）其他社会保障和就业支出（项）</w:t>
      </w:r>
    </w:p>
    <w:p w14:paraId="669DA9D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3.15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3.15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我单位严格按预算执行决算。</w:t>
      </w:r>
    </w:p>
    <w:p w14:paraId="7936794D">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、城乡社区支出（类）城乡社区管理事务</w:t>
      </w:r>
      <w:r>
        <w:rPr>
          <w:rFonts w:hint="eastAsia" w:ascii="仿宋_GB2312" w:hAnsi="仿宋_GB2312" w:eastAsia="仿宋_GB2312" w:cs="仿宋_GB2312"/>
          <w:sz w:val="32"/>
          <w:szCs w:val="32"/>
          <w:lang w:eastAsia="zh-CN"/>
        </w:rPr>
        <w:t>（款）行政运行（项）</w:t>
      </w:r>
    </w:p>
    <w:p w14:paraId="1664D39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1166.65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1150.49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98.61</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我单位厉行节约，从严控制支出。</w:t>
      </w:r>
    </w:p>
    <w:p w14:paraId="463587C9">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、城乡社区支出（类）城乡社区管理事务</w:t>
      </w:r>
      <w:r>
        <w:rPr>
          <w:rFonts w:hint="eastAsia" w:ascii="仿宋_GB2312" w:hAnsi="仿宋_GB2312" w:eastAsia="仿宋_GB2312" w:cs="仿宋_GB2312"/>
          <w:sz w:val="32"/>
          <w:szCs w:val="32"/>
          <w:lang w:eastAsia="zh-CN"/>
        </w:rPr>
        <w:t>（款）其他城乡社区管理事务支出（项）</w:t>
      </w:r>
    </w:p>
    <w:p w14:paraId="3DA85A0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124.15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3CAF73D8">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、城乡社区支出（类）其他城乡社区支出</w:t>
      </w:r>
      <w:r>
        <w:rPr>
          <w:rFonts w:hint="eastAsia" w:ascii="仿宋_GB2312" w:hAnsi="仿宋_GB2312" w:eastAsia="仿宋_GB2312" w:cs="仿宋_GB2312"/>
          <w:sz w:val="32"/>
          <w:szCs w:val="32"/>
          <w:lang w:eastAsia="zh-CN"/>
        </w:rPr>
        <w:t>（款）其他城乡社区支出（项）</w:t>
      </w:r>
    </w:p>
    <w:p w14:paraId="5EFE728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252.49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5A36BFB5">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、自然资源海洋气象等支出（类）自然资源事务</w:t>
      </w:r>
      <w:r>
        <w:rPr>
          <w:rFonts w:hint="eastAsia" w:ascii="仿宋_GB2312" w:hAnsi="仿宋_GB2312" w:eastAsia="仿宋_GB2312" w:cs="仿宋_GB2312"/>
          <w:sz w:val="32"/>
          <w:szCs w:val="32"/>
          <w:lang w:eastAsia="zh-CN"/>
        </w:rPr>
        <w:t>（款）地质勘查与矿产资源管理（项）</w:t>
      </w:r>
    </w:p>
    <w:p w14:paraId="5F0B723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14.96</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3D5A9A88">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、住房保障支出（类）住房改革支出</w:t>
      </w:r>
      <w:r>
        <w:rPr>
          <w:rFonts w:hint="eastAsia" w:ascii="仿宋_GB2312" w:hAnsi="仿宋_GB2312" w:eastAsia="仿宋_GB2312" w:cs="仿宋_GB2312"/>
          <w:sz w:val="32"/>
          <w:szCs w:val="32"/>
          <w:lang w:eastAsia="zh-CN"/>
        </w:rPr>
        <w:t>（款）住房公积金（项）</w:t>
      </w:r>
    </w:p>
    <w:p w14:paraId="25DA3A7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101.44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100.95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99.52</w:t>
      </w:r>
      <w:r>
        <w:rPr>
          <w:rFonts w:hint="eastAsia" w:ascii="仿宋_GB2312" w:hAnsi="仿宋_GB2312" w:eastAsia="仿宋_GB2312" w:cs="仿宋_GB2312"/>
          <w:sz w:val="32"/>
          <w:szCs w:val="32"/>
        </w:rPr>
        <w:t>%，决算数小于年初预算数的主要原因是：</w:t>
      </w:r>
      <w:r>
        <w:rPr>
          <w:rFonts w:hint="eastAsia" w:ascii="仿宋_GB2312" w:hAnsi="仿宋_GB2312" w:eastAsia="仿宋_GB2312" w:cs="仿宋_GB2312"/>
          <w:sz w:val="32"/>
          <w:szCs w:val="32"/>
          <w:lang w:eastAsia="zh-CN"/>
        </w:rPr>
        <w:t>人员异动，导致住房公积金缴纳与预算有出入。</w:t>
      </w:r>
    </w:p>
    <w:p w14:paraId="3DAD2B87">
      <w:pPr>
        <w:pStyle w:val="12"/>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、灾害防治及应急管理支出（类）</w:t>
      </w:r>
      <w:r>
        <w:rPr>
          <w:rFonts w:hint="eastAsia" w:ascii="仿宋_GB2312" w:hAnsi="仿宋_GB2312" w:eastAsia="仿宋_GB2312" w:cs="仿宋_GB2312"/>
          <w:sz w:val="32"/>
          <w:szCs w:val="32"/>
          <w:lang w:eastAsia="zh-CN"/>
        </w:rPr>
        <w:t>自然灾害防治（款）地质灾害防治（项）</w:t>
      </w:r>
    </w:p>
    <w:p w14:paraId="180BFC6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40.95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highlight w:val="none"/>
          <w:lang w:eastAsia="zh-CN"/>
        </w:rPr>
        <w:t>年初预算计入行政运行，决算进行细化。</w:t>
      </w:r>
    </w:p>
    <w:p w14:paraId="3FF2C9D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5C2B1D6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1741.4</w:t>
      </w:r>
      <w:r>
        <w:rPr>
          <w:rFonts w:hint="eastAsia" w:ascii="仿宋_GB2312" w:hAnsi="仿宋_GB2312" w:eastAsia="仿宋_GB2312" w:cs="仿宋_GB2312"/>
          <w:sz w:val="32"/>
          <w:szCs w:val="32"/>
        </w:rPr>
        <w:t>万元，其中：</w:t>
      </w:r>
    </w:p>
    <w:p w14:paraId="444B854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1487.48</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85.42</w:t>
      </w:r>
      <w:r>
        <w:rPr>
          <w:rFonts w:hint="eastAsia" w:ascii="仿宋_GB2312" w:hAnsi="仿宋_GB2312" w:eastAsia="仿宋_GB2312" w:cs="仿宋_GB2312"/>
          <w:sz w:val="32"/>
          <w:szCs w:val="32"/>
        </w:rPr>
        <w:t>%,主要包括基本工资、津贴补贴、奖金、伙食补助费、绩效工资</w:t>
      </w:r>
      <w:r>
        <w:rPr>
          <w:rFonts w:hint="eastAsia" w:ascii="仿宋_GB2312" w:hAnsi="仿宋_GB2312" w:eastAsia="仿宋_GB2312" w:cs="仿宋_GB2312"/>
          <w:sz w:val="32"/>
          <w:szCs w:val="32"/>
          <w:lang w:eastAsia="zh-CN"/>
        </w:rPr>
        <w:t>、机关事业单位基本养老保险缴费、 职业年金缴费、职工基本医疗保险缴费、 其他社会保障缴费、住房公积金、 医疗费、其他工资福利支出、退休费、医疗费补助、其他对个人和家庭的补助。</w:t>
      </w:r>
      <w:r>
        <w:rPr>
          <w:rFonts w:hint="eastAsia" w:ascii="仿宋_GB2312" w:hAnsi="仿宋_GB2312" w:eastAsia="仿宋_GB2312" w:cs="仿宋_GB2312"/>
          <w:sz w:val="32"/>
          <w:szCs w:val="32"/>
          <w:lang w:val="en-US" w:eastAsia="zh-CN"/>
        </w:rPr>
        <w:t xml:space="preserve">   </w:t>
      </w:r>
    </w:p>
    <w:p w14:paraId="2FD19CB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253.92万元，占基本支出的</w:t>
      </w:r>
      <w:r>
        <w:rPr>
          <w:rFonts w:hint="eastAsia" w:ascii="仿宋_GB2312" w:hAnsi="仿宋_GB2312" w:eastAsia="仿宋_GB2312" w:cs="仿宋_GB2312"/>
          <w:sz w:val="32"/>
          <w:szCs w:val="32"/>
          <w:lang w:val="en-US" w:eastAsia="zh-CN"/>
        </w:rPr>
        <w:t>14.58</w:t>
      </w:r>
      <w:r>
        <w:rPr>
          <w:rFonts w:hint="eastAsia" w:ascii="仿宋_GB2312" w:hAnsi="仿宋_GB2312" w:eastAsia="仿宋_GB2312" w:cs="仿宋_GB2312"/>
          <w:sz w:val="32"/>
          <w:szCs w:val="32"/>
        </w:rPr>
        <w:t>%，主要包括办公费、印刷费、邮电费、</w:t>
      </w:r>
      <w:r>
        <w:rPr>
          <w:rFonts w:hint="eastAsia" w:ascii="仿宋_GB2312" w:hAnsi="仿宋_GB2312" w:eastAsia="仿宋_GB2312" w:cs="仿宋_GB2312"/>
          <w:sz w:val="32"/>
          <w:szCs w:val="32"/>
          <w:lang w:eastAsia="zh-CN"/>
        </w:rPr>
        <w:t>差旅费、维修（护）费、培训费、公务接待费、劳务费、委托业务费、工会经费、福利费、公务用车运行维护、其他交通费用、</w:t>
      </w:r>
      <w:r>
        <w:rPr>
          <w:rFonts w:hint="eastAsia" w:ascii="仿宋_GB2312" w:hAnsi="仿宋_GB2312" w:eastAsia="仿宋_GB2312" w:cs="仿宋_GB2312"/>
          <w:sz w:val="32"/>
          <w:szCs w:val="32"/>
        </w:rPr>
        <w:t>其他商品和服务支出。</w:t>
      </w:r>
    </w:p>
    <w:p w14:paraId="37E5E6F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3976957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01B439E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7FD934D">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14:paraId="7B50C62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72959B6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180E0FA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8.73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8.73</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决算数等于预算数，主要原因是我单位严格按预算执行决算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与上年相比减少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2.54</w:t>
      </w:r>
      <w:r>
        <w:rPr>
          <w:rFonts w:hint="eastAsia" w:ascii="仿宋_GB2312" w:hAnsi="仿宋_GB2312" w:eastAsia="仿宋_GB2312" w:cs="仿宋_GB2312"/>
          <w:color w:val="000000" w:themeColor="text1"/>
          <w:sz w:val="32"/>
          <w:szCs w:val="32"/>
          <w14:textFill>
            <w14:solidFill>
              <w14:schemeClr w14:val="tx1"/>
            </w14:solidFill>
          </w14:textFill>
        </w:rPr>
        <w:t>万元，减少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22.54</w:t>
      </w:r>
      <w:r>
        <w:rPr>
          <w:rFonts w:hint="eastAsia" w:ascii="仿宋_GB2312" w:hAnsi="仿宋_GB2312" w:eastAsia="仿宋_GB2312" w:cs="仿宋_GB2312"/>
          <w:color w:val="000000" w:themeColor="text1"/>
          <w:sz w:val="32"/>
          <w:szCs w:val="32"/>
          <w14:textFill>
            <w14:solidFill>
              <w14:schemeClr w14:val="tx1"/>
            </w14:solidFill>
          </w14:textFill>
        </w:rPr>
        <w:t>%,减少的主要原因是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落实习惯过紧日子的精神，严格执行厉行节约的原则。</w:t>
      </w:r>
      <w:r>
        <w:rPr>
          <w:rFonts w:hint="eastAsia" w:ascii="仿宋_GB2312" w:hAnsi="仿宋_GB2312" w:eastAsia="仿宋_GB2312" w:cs="仿宋_GB2312"/>
          <w:sz w:val="32"/>
          <w:szCs w:val="32"/>
        </w:rPr>
        <w:t>其中：</w:t>
      </w:r>
    </w:p>
    <w:p w14:paraId="7B21B837">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因公出国（境）费支出预算为0万元，支出决算为0万元，决算数等于预算数，主要原因是我单位严格按预算执行决算；与上年一致，无增减变动，主要原因是未安排因公出国（境）活动。</w:t>
      </w:r>
    </w:p>
    <w:p w14:paraId="52300D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0.71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710</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因特殊事件与活动开展的的影响，及上年疫情和基数偏低的影响</w:t>
      </w:r>
      <w:r>
        <w:rPr>
          <w:rFonts w:hint="eastAsia" w:ascii="仿宋_GB2312" w:hAnsi="仿宋_GB2312" w:eastAsia="仿宋_GB2312" w:cs="仿宋_GB2312"/>
          <w:sz w:val="32"/>
          <w:szCs w:val="32"/>
        </w:rPr>
        <w:t>。</w:t>
      </w:r>
    </w:p>
    <w:p w14:paraId="0E837E2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决算数等于预算数</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；与上年一致，无增减变动，主要原因是未安排</w:t>
      </w:r>
      <w:r>
        <w:rPr>
          <w:rFonts w:hint="eastAsia" w:ascii="仿宋_GB2312" w:hAnsi="仿宋_GB2312" w:eastAsia="仿宋_GB2312" w:cs="仿宋_GB2312"/>
          <w:sz w:val="32"/>
          <w:szCs w:val="32"/>
        </w:rPr>
        <w:t>公务用车购置费。</w:t>
      </w:r>
    </w:p>
    <w:p w14:paraId="20E9B4D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3.25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29.1</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color w:val="000000" w:themeColor="text1"/>
          <w:sz w:val="32"/>
          <w:szCs w:val="32"/>
          <w14:textFill>
            <w14:solidFill>
              <w14:schemeClr w14:val="tx1"/>
            </w14:solidFill>
          </w14:textFill>
        </w:rPr>
        <w:t>是</w:t>
      </w:r>
      <w:r>
        <w:rPr>
          <w:rFonts w:hint="eastAsia" w:ascii="仿宋_GB2312" w:hAnsi="仿宋_GB2312" w:eastAsia="仿宋_GB2312" w:cs="仿宋_GB2312"/>
          <w:color w:val="000000" w:themeColor="text1"/>
          <w:sz w:val="32"/>
          <w:szCs w:val="32"/>
          <w:lang w:eastAsia="zh-CN"/>
          <w14:textFill>
            <w14:solidFill>
              <w14:schemeClr w14:val="tx1"/>
            </w14:solidFill>
          </w14:textFill>
        </w:rPr>
        <w:t>落实习惯过紧日子的精神，严格执行厉行节约的原则</w:t>
      </w:r>
      <w:r>
        <w:rPr>
          <w:rFonts w:hint="eastAsia" w:ascii="仿宋_GB2312" w:hAnsi="仿宋_GB2312" w:eastAsia="仿宋_GB2312" w:cs="仿宋_GB2312"/>
          <w:color w:val="000000" w:themeColor="text1"/>
          <w:sz w:val="32"/>
          <w:szCs w:val="32"/>
          <w14:textFill>
            <w14:solidFill>
              <w14:schemeClr w14:val="tx1"/>
            </w14:solidFill>
          </w14:textFill>
        </w:rPr>
        <w:t>。</w:t>
      </w:r>
    </w:p>
    <w:p w14:paraId="3B25499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FF9578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9.28</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90.72</w:t>
      </w:r>
      <w:r>
        <w:rPr>
          <w:rFonts w:hint="eastAsia" w:ascii="仿宋_GB2312" w:hAnsi="仿宋_GB2312" w:eastAsia="仿宋_GB2312" w:cs="仿宋_GB2312"/>
          <w:sz w:val="32"/>
          <w:szCs w:val="32"/>
        </w:rPr>
        <w:t>%。其中：</w:t>
      </w:r>
    </w:p>
    <w:p w14:paraId="1A59E05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 xml:space="preserve">因公出国（境）费支出决算为0万元，全年安排因公出国（境）团组0个，累计0人次，我单位2023年度无因公出国（境）费支出。 </w:t>
      </w:r>
    </w:p>
    <w:p w14:paraId="1305CAC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0.81</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56</w:t>
      </w:r>
      <w:r>
        <w:rPr>
          <w:rFonts w:hint="eastAsia" w:ascii="仿宋_GB2312" w:hAnsi="仿宋_GB2312" w:eastAsia="仿宋_GB2312" w:cs="仿宋_GB2312"/>
          <w:sz w:val="32"/>
          <w:szCs w:val="32"/>
        </w:rPr>
        <w:t>人次，</w:t>
      </w:r>
      <w:r>
        <w:rPr>
          <w:rFonts w:hint="eastAsia" w:ascii="Times New Roman" w:hAnsi="Times New Roman" w:eastAsia="仿宋_GB2312"/>
          <w:sz w:val="32"/>
          <w:szCs w:val="32"/>
          <w:highlight w:val="none"/>
        </w:rPr>
        <w:t>主要是与有关单位交流工作情况及接受相关部门检查指导工作发生的接待支出。</w:t>
      </w:r>
    </w:p>
    <w:p w14:paraId="5FC59C5C">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黑体" w:hAnsi="黑体" w:eastAsia="黑体" w:cs="黑体"/>
          <w:b w:val="0"/>
          <w:bCs/>
          <w:sz w:val="32"/>
          <w:szCs w:val="32"/>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万元，其中：</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公务用车购置费0万元，当年没有购置公务用车。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万元，主要是</w:t>
      </w:r>
      <w:r>
        <w:rPr>
          <w:rFonts w:hint="eastAsia" w:ascii="Times New Roman" w:hAnsi="Times New Roman" w:eastAsia="仿宋_GB2312"/>
          <w:sz w:val="32"/>
          <w:szCs w:val="32"/>
          <w:highlight w:val="none"/>
        </w:rPr>
        <w:t>按规定保留的公务用车的燃料费、维修费、过桥过路费、保险费、安全奖励费用等支出</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p>
    <w:p w14:paraId="37AB33B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019B595">
      <w:pPr>
        <w:pStyle w:val="12"/>
        <w:ind w:firstLine="640" w:firstLineChars="200"/>
        <w:rPr>
          <w:rFonts w:ascii="Times New Roman" w:hAnsi="Times New Roman" w:eastAsia="仿宋_GB2312"/>
          <w:sz w:val="32"/>
          <w:szCs w:val="32"/>
        </w:rPr>
      </w:pPr>
      <w:r>
        <w:rPr>
          <w:rFonts w:hint="eastAsia" w:ascii="Times New Roman" w:hAnsi="Times New Roman" w:eastAsia="仿宋_GB2312"/>
          <w:sz w:val="32"/>
          <w:szCs w:val="32"/>
          <w:highlight w:val="none"/>
        </w:rPr>
        <w:t>岳阳市自然资源和规划事务中心</w:t>
      </w:r>
      <w:r>
        <w:rPr>
          <w:rFonts w:hint="eastAsia" w:ascii="Times New Roman" w:hAnsi="Times New Roman" w:eastAsia="仿宋_GB2312"/>
          <w:sz w:val="32"/>
          <w:szCs w:val="32"/>
          <w:highlight w:val="none"/>
          <w:lang w:val="en-US" w:eastAsia="zh-CN"/>
        </w:rPr>
        <w:t>本级和所属单位均为事业单位，按照机关运行经费的口径，本年度机关运行经费为0。</w:t>
      </w:r>
    </w:p>
    <w:p w14:paraId="1D8D4AC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4296CF5">
      <w:pPr>
        <w:pStyle w:val="12"/>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w:t>
      </w:r>
      <w:r>
        <w:rPr>
          <w:rFonts w:hint="eastAsia" w:ascii="Times New Roman" w:hAnsi="Times New Roman" w:eastAsia="仿宋_GB2312"/>
          <w:sz w:val="32"/>
          <w:szCs w:val="32"/>
          <w:highlight w:val="none"/>
          <w:lang w:val="en-US" w:eastAsia="zh-CN"/>
        </w:rPr>
        <w:t>本单位无会议费的预算和支出决算数.</w:t>
      </w:r>
    </w:p>
    <w:p w14:paraId="6A9A91D8">
      <w:pPr>
        <w:pStyle w:val="12"/>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培训费年初预算0万元，支出决算为2万元，</w:t>
      </w:r>
      <w:r>
        <w:rPr>
          <w:rFonts w:hint="eastAsia" w:ascii="Times New Roman" w:hAnsi="Times New Roman" w:eastAsia="仿宋_GB2312"/>
          <w:sz w:val="32"/>
          <w:szCs w:val="32"/>
          <w:highlight w:val="none"/>
        </w:rPr>
        <w:t>由于预算数为0，无法计算完成年初预算的百分比</w:t>
      </w:r>
      <w:r>
        <w:rPr>
          <w:rFonts w:hint="eastAsia" w:ascii="Times New Roman" w:hAnsi="Times New Roman" w:eastAsia="仿宋_GB2312"/>
          <w:sz w:val="32"/>
          <w:szCs w:val="32"/>
          <w:highlight w:val="none"/>
          <w:lang w:val="en-US" w:eastAsia="zh-CN"/>
        </w:rPr>
        <w:t>。</w:t>
      </w:r>
      <w:r>
        <w:rPr>
          <w:rFonts w:hint="eastAsia" w:ascii="Times New Roman" w:hAnsi="Times New Roman" w:eastAsia="仿宋_GB2312"/>
          <w:sz w:val="32"/>
          <w:szCs w:val="32"/>
          <w:highlight w:val="none"/>
        </w:rPr>
        <w:t>用于开展</w:t>
      </w:r>
      <w:r>
        <w:rPr>
          <w:rFonts w:hint="eastAsia" w:ascii="Times New Roman" w:hAnsi="Times New Roman" w:eastAsia="仿宋_GB2312"/>
          <w:sz w:val="32"/>
          <w:szCs w:val="32"/>
          <w:highlight w:val="none"/>
          <w:lang w:val="en-US" w:eastAsia="zh-CN"/>
        </w:rPr>
        <w:t>10次</w:t>
      </w:r>
      <w:r>
        <w:rPr>
          <w:rFonts w:hint="eastAsia" w:ascii="Times New Roman" w:hAnsi="Times New Roman" w:eastAsia="仿宋_GB2312"/>
          <w:sz w:val="32"/>
          <w:szCs w:val="32"/>
          <w:highlight w:val="none"/>
        </w:rPr>
        <w:t>培训，人数</w:t>
      </w:r>
      <w:r>
        <w:rPr>
          <w:rFonts w:hint="eastAsia" w:ascii="Times New Roman" w:hAnsi="Times New Roman" w:eastAsia="仿宋_GB2312"/>
          <w:sz w:val="32"/>
          <w:szCs w:val="32"/>
          <w:highlight w:val="none"/>
          <w:lang w:val="en-US" w:eastAsia="zh-CN"/>
        </w:rPr>
        <w:t>60</w:t>
      </w:r>
      <w:r>
        <w:rPr>
          <w:rFonts w:hint="eastAsia" w:ascii="Times New Roman" w:hAnsi="Times New Roman" w:eastAsia="仿宋_GB2312"/>
          <w:sz w:val="32"/>
          <w:szCs w:val="32"/>
          <w:highlight w:val="none"/>
        </w:rPr>
        <w:t>人，内容为</w:t>
      </w:r>
      <w:r>
        <w:rPr>
          <w:rFonts w:hint="eastAsia" w:ascii="Times New Roman" w:hAnsi="Times New Roman" w:eastAsia="仿宋_GB2312"/>
          <w:sz w:val="32"/>
          <w:szCs w:val="32"/>
          <w:highlight w:val="none"/>
          <w:lang w:eastAsia="zh-CN"/>
        </w:rPr>
        <w:t>地质灾害风险培训、业务工作培训等。</w:t>
      </w:r>
    </w:p>
    <w:p w14:paraId="69BA66A0">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本单位无举办节庆、晚会、论坛、赛事活动的预算和支出决算数。</w:t>
      </w:r>
    </w:p>
    <w:p w14:paraId="5DDDA8E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22739CC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282.06</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14.94</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23.58</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243.54</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282.06</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282.06</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1948DD2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16DCFBA5">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Times New Roman" w:hAnsi="Times New Roman" w:eastAsia="仿宋_GB2312"/>
          <w:sz w:val="32"/>
          <w:szCs w:val="32"/>
        </w:rPr>
        <w:t>其他用车主要是</w:t>
      </w:r>
      <w:r>
        <w:rPr>
          <w:rFonts w:hint="eastAsia" w:ascii="Times New Roman" w:hAnsi="Times New Roman" w:eastAsia="仿宋_GB2312"/>
          <w:sz w:val="32"/>
          <w:szCs w:val="32"/>
          <w:lang w:eastAsia="zh-CN"/>
        </w:rPr>
        <w:t>公务用车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638ADA8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45261560">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8FB4B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5A858F2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1963.25万元，政府性基金预算支出0万元，国有资本经营预算支出0万元。从评价情况来看，整体支出绩效评价中，2023年整体支出2001.81万元，其中：基本支出1779.96万元，项目支出221.85万元，本单位整体支出绩效自评综合评分100分，评价结果等次为优秀。</w:t>
      </w:r>
    </w:p>
    <w:p w14:paraId="25240E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221.85万元，占一般公共预算项目支出总额的100.00%。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w:t>
      </w:r>
      <w:bookmarkStart w:id="0" w:name="_GoBack"/>
      <w:bookmarkEnd w:id="0"/>
      <w:r>
        <w:rPr>
          <w:rFonts w:hint="eastAsia" w:ascii="仿宋_GB2312" w:hAnsi="仿宋_GB2312" w:eastAsia="仿宋_GB2312" w:cs="仿宋_GB2312"/>
          <w:b w:val="0"/>
          <w:bCs w:val="0"/>
          <w:color w:val="000000"/>
          <w:kern w:val="0"/>
          <w:sz w:val="32"/>
          <w:szCs w:val="32"/>
          <w:lang w:val="en-US" w:eastAsia="zh-CN" w:bidi="ar-SA"/>
        </w:rPr>
        <w:t>从评价情况来看，项目绩效自评得分100分，评价结果等次为优秀。</w:t>
      </w:r>
    </w:p>
    <w:p w14:paraId="760C02B9">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179A46F">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根据年初设定的绩效目标，绩效自评得分为100分。全年预算数为</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b w:val="0"/>
          <w:bCs w:val="0"/>
          <w:sz w:val="32"/>
          <w:szCs w:val="32"/>
          <w:lang w:val="en-US" w:eastAsia="zh-CN"/>
        </w:rPr>
        <w:t>万元，执行数为</w:t>
      </w:r>
      <w:r>
        <w:rPr>
          <w:rFonts w:hint="eastAsia" w:ascii="仿宋_GB2312" w:hAnsi="仿宋_GB2312" w:eastAsia="仿宋_GB2312" w:cs="仿宋_GB2312"/>
          <w:sz w:val="32"/>
          <w:szCs w:val="32"/>
          <w:lang w:val="en-US" w:eastAsia="zh-CN"/>
        </w:rPr>
        <w:t>2001.81</w:t>
      </w:r>
      <w:r>
        <w:rPr>
          <w:rFonts w:hint="eastAsia" w:ascii="仿宋_GB2312" w:hAnsi="仿宋_GB2312" w:eastAsia="仿宋_GB2312" w:cs="仿宋_GB2312"/>
          <w:b w:val="0"/>
          <w:bCs w:val="0"/>
          <w:sz w:val="32"/>
          <w:szCs w:val="32"/>
          <w:lang w:val="en-US" w:eastAsia="zh-CN"/>
        </w:rPr>
        <w:t>万元，完成预算的100.00%。绩效目标完成情况：一是党建引领抓建有力；二是强化内部管理；三是技术服务主动作为；四是信息化建设高效推进；五是强化档案宣传管理接收利用；六是地灾防治扛牢责任；七是支撑保障尽职尽责；八是创新开展“清廉资规”系统建设，创建网络安全示范单位。</w:t>
      </w:r>
    </w:p>
    <w:p w14:paraId="35246C21">
      <w:pPr>
        <w:pStyle w:val="12"/>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14:paraId="199E234A">
      <w:pPr>
        <w:pStyle w:val="12"/>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楷体" w:hAnsi="楷体" w:eastAsia="楷体" w:cs="楷体"/>
          <w:b/>
          <w:bCs/>
          <w:sz w:val="32"/>
          <w:szCs w:val="32"/>
          <w:lang w:val="en-US" w:eastAsia="zh-CN"/>
        </w:rPr>
      </w:pPr>
      <w:r>
        <w:rPr>
          <w:rFonts w:hint="eastAsia" w:ascii="仿宋_GB2312" w:hAnsi="仿宋_GB2312" w:eastAsia="仿宋_GB2312" w:cs="仿宋_GB2312"/>
          <w:b w:val="0"/>
          <w:bCs w:val="0"/>
          <w:sz w:val="32"/>
          <w:szCs w:val="32"/>
          <w:lang w:val="en-US" w:eastAsia="zh-CN"/>
        </w:rPr>
        <w:t>存在的主要问题及原因：一是专业支撑力量有待提升；二是信息数据共享要加快步伐;三是创新意识有待提高。下一步改进措施：一是常抓业务水平提高不放松；二是续推进局内部业务系统整合改造项目建设；三是持续做好地灾的防治；四是进一步加强廉政建设；五是完成争先创优工作目标。</w:t>
      </w:r>
    </w:p>
    <w:p w14:paraId="6E5BACBC">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70FC6A92">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67C3C16D">
      <w:pPr>
        <w:pStyle w:val="12"/>
        <w:jc w:val="both"/>
        <w:rPr>
          <w:sz w:val="72"/>
          <w:szCs w:val="72"/>
        </w:rPr>
      </w:pPr>
    </w:p>
    <w:p w14:paraId="499A44E9">
      <w:pPr>
        <w:pStyle w:val="12"/>
        <w:jc w:val="both"/>
        <w:rPr>
          <w:sz w:val="72"/>
          <w:szCs w:val="72"/>
        </w:rPr>
      </w:pPr>
    </w:p>
    <w:p w14:paraId="46EE5814">
      <w:pPr>
        <w:pStyle w:val="12"/>
        <w:jc w:val="both"/>
        <w:rPr>
          <w:sz w:val="72"/>
          <w:szCs w:val="72"/>
        </w:rPr>
      </w:pPr>
    </w:p>
    <w:p w14:paraId="147C63D6">
      <w:pPr>
        <w:pStyle w:val="12"/>
        <w:jc w:val="both"/>
        <w:rPr>
          <w:sz w:val="72"/>
          <w:szCs w:val="72"/>
        </w:rPr>
      </w:pPr>
    </w:p>
    <w:p w14:paraId="4D74A512">
      <w:pPr>
        <w:pStyle w:val="12"/>
        <w:jc w:val="both"/>
        <w:rPr>
          <w:sz w:val="72"/>
          <w:szCs w:val="72"/>
        </w:rPr>
      </w:pPr>
    </w:p>
    <w:p w14:paraId="3A4E430A">
      <w:pPr>
        <w:pStyle w:val="12"/>
        <w:jc w:val="both"/>
        <w:rPr>
          <w:sz w:val="72"/>
          <w:szCs w:val="72"/>
        </w:rPr>
      </w:pPr>
    </w:p>
    <w:p w14:paraId="1EA93D0B">
      <w:pPr>
        <w:pStyle w:val="12"/>
        <w:jc w:val="center"/>
        <w:rPr>
          <w:sz w:val="72"/>
          <w:szCs w:val="72"/>
        </w:rPr>
      </w:pPr>
    </w:p>
    <w:p w14:paraId="60C62B97">
      <w:pPr>
        <w:pStyle w:val="12"/>
        <w:jc w:val="center"/>
        <w:rPr>
          <w:rFonts w:hint="eastAsia" w:ascii="方正小标宋_GBK" w:hAnsi="方正小标宋_GBK" w:eastAsia="方正小标宋_GBK" w:cs="方正小标宋_GBK"/>
          <w:sz w:val="70"/>
          <w:szCs w:val="70"/>
          <w:lang w:eastAsia="zh-CN"/>
        </w:rPr>
      </w:pPr>
    </w:p>
    <w:p w14:paraId="1A463CE6">
      <w:pPr>
        <w:pStyle w:val="12"/>
        <w:jc w:val="center"/>
        <w:rPr>
          <w:rFonts w:hint="eastAsia" w:ascii="方正小标宋_GBK" w:hAnsi="方正小标宋_GBK" w:eastAsia="方正小标宋_GBK" w:cs="方正小标宋_GBK"/>
          <w:sz w:val="70"/>
          <w:szCs w:val="70"/>
          <w:lang w:eastAsia="zh-CN"/>
        </w:rPr>
      </w:pPr>
    </w:p>
    <w:p w14:paraId="12627A9E">
      <w:pPr>
        <w:pStyle w:val="12"/>
        <w:jc w:val="center"/>
        <w:rPr>
          <w:rFonts w:hint="eastAsia" w:ascii="方正小标宋_GBK" w:hAnsi="方正小标宋_GBK" w:eastAsia="方正小标宋_GBK" w:cs="方正小标宋_GBK"/>
          <w:sz w:val="72"/>
          <w:szCs w:val="72"/>
        </w:rPr>
      </w:pPr>
    </w:p>
    <w:p w14:paraId="1FF8A755">
      <w:pPr>
        <w:pStyle w:val="12"/>
        <w:jc w:val="center"/>
        <w:rPr>
          <w:rFonts w:hint="eastAsia" w:ascii="方正小标宋_GBK" w:hAnsi="方正小标宋_GBK" w:eastAsia="方正小标宋_GBK" w:cs="方正小标宋_GBK"/>
          <w:sz w:val="72"/>
          <w:szCs w:val="72"/>
        </w:rPr>
      </w:pPr>
    </w:p>
    <w:p w14:paraId="70FA4AFB">
      <w:pPr>
        <w:pStyle w:val="12"/>
        <w:jc w:val="center"/>
        <w:rPr>
          <w:rFonts w:hint="eastAsia" w:ascii="方正小标宋_GBK" w:hAnsi="方正小标宋_GBK" w:eastAsia="方正小标宋_GBK" w:cs="方正小标宋_GBK"/>
          <w:sz w:val="72"/>
          <w:szCs w:val="72"/>
        </w:rPr>
      </w:pPr>
    </w:p>
    <w:p w14:paraId="695F1CFA">
      <w:pPr>
        <w:pStyle w:val="12"/>
        <w:jc w:val="center"/>
        <w:rPr>
          <w:rFonts w:hint="eastAsia" w:ascii="方正小标宋_GBK" w:hAnsi="方正小标宋_GBK" w:eastAsia="方正小标宋_GBK" w:cs="方正小标宋_GBK"/>
          <w:sz w:val="72"/>
          <w:szCs w:val="72"/>
        </w:rPr>
      </w:pPr>
    </w:p>
    <w:p w14:paraId="3092497F">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62820BB">
      <w:pPr>
        <w:jc w:val="center"/>
        <w:rPr>
          <w:rFonts w:hint="eastAsia" w:ascii="方正小标宋_GBK" w:hAnsi="方正小标宋_GBK" w:eastAsia="方正小标宋_GBK" w:cs="方正小标宋_GBK"/>
          <w:color w:val="000000"/>
          <w:kern w:val="0"/>
          <w:sz w:val="70"/>
          <w:szCs w:val="70"/>
        </w:rPr>
      </w:pPr>
    </w:p>
    <w:p w14:paraId="6ADD978B">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33A1703">
      <w:pPr>
        <w:pStyle w:val="7"/>
      </w:pPr>
    </w:p>
    <w:p w14:paraId="0780E087">
      <w:pPr>
        <w:pStyle w:val="3"/>
      </w:pPr>
    </w:p>
    <w:p w14:paraId="5EC1D85D"/>
    <w:p w14:paraId="560D5016">
      <w:pPr>
        <w:pStyle w:val="7"/>
      </w:pPr>
    </w:p>
    <w:p w14:paraId="39F2CBC0">
      <w:pPr>
        <w:pStyle w:val="3"/>
      </w:pPr>
    </w:p>
    <w:p w14:paraId="1748CD1C"/>
    <w:p w14:paraId="1B0F46F3">
      <w:pPr>
        <w:pStyle w:val="7"/>
      </w:pPr>
    </w:p>
    <w:p w14:paraId="721AEED4">
      <w:pPr>
        <w:pStyle w:val="3"/>
      </w:pPr>
    </w:p>
    <w:p w14:paraId="7218FF6F"/>
    <w:p w14:paraId="12E3CF3A">
      <w:pPr>
        <w:pStyle w:val="7"/>
      </w:pPr>
    </w:p>
    <w:p w14:paraId="14981C82">
      <w:pPr>
        <w:pStyle w:val="3"/>
      </w:pPr>
    </w:p>
    <w:p w14:paraId="41F8376E"/>
    <w:p w14:paraId="0E9913F1">
      <w:pPr>
        <w:pStyle w:val="7"/>
      </w:pPr>
    </w:p>
    <w:p w14:paraId="47D03028">
      <w:pPr>
        <w:pStyle w:val="3"/>
      </w:pPr>
    </w:p>
    <w:p w14:paraId="225827C4"/>
    <w:p w14:paraId="5B15BA3D">
      <w:pPr>
        <w:pStyle w:val="7"/>
      </w:pPr>
    </w:p>
    <w:p w14:paraId="4DA7F5F1">
      <w:pPr>
        <w:pStyle w:val="3"/>
      </w:pPr>
    </w:p>
    <w:p w14:paraId="5F3D86C2"/>
    <w:p w14:paraId="10C8DE04">
      <w:pPr>
        <w:pStyle w:val="7"/>
      </w:pPr>
    </w:p>
    <w:p w14:paraId="1C32365F">
      <w:pPr>
        <w:pStyle w:val="3"/>
        <w:ind w:left="0" w:leftChars="0" w:firstLine="0" w:firstLineChars="0"/>
      </w:pPr>
    </w:p>
    <w:p w14:paraId="17512768">
      <w:pPr>
        <w:pStyle w:val="3"/>
      </w:pPr>
    </w:p>
    <w:p w14:paraId="6257F921"/>
    <w:p w14:paraId="383622E9">
      <w:pPr>
        <w:pStyle w:val="7"/>
      </w:pPr>
    </w:p>
    <w:p w14:paraId="0BDF288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25D05E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485D7CF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三、财政拨款收入：指本级财政当年拨付的资金。</w:t>
      </w:r>
    </w:p>
    <w:p w14:paraId="0EE5C3F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四、其他收入：指除上述“财政拨款收入”、“上级补助收入”、“事业收入”、“经营收入”、“附属单位上缴收入”等以外的收入。</w:t>
      </w:r>
    </w:p>
    <w:p w14:paraId="47FF8A5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五、上年结转和结余：指以前年度尚未完成、结转到本年按有关规定继续使用的资金。</w:t>
      </w:r>
    </w:p>
    <w:p w14:paraId="76CE52A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六、年末结转和结余资金：指本年度或以前年度预算安排、因客观条件发生变化无法按原计划实施，需要延迟到以后年度按有关规定继续使用的资金。</w:t>
      </w:r>
    </w:p>
    <w:p w14:paraId="63F113C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6761F8D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八、卫生健康支出（类）：是指用于医疗卫生与计划生育方面的支出，包括保障机构正常运转、完成日常和特定的工作任务或事业发展目标的支出。</w:t>
      </w:r>
    </w:p>
    <w:p w14:paraId="2C4080EB">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九、城乡社区支出（类）：是指用于城乡社区事务支出，包括保障机构正常运转、完成日常和特定的工作任务或事业发展目标的支出。</w:t>
      </w:r>
    </w:p>
    <w:p w14:paraId="4710749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十、自然资源海洋气象等支出（类）：是指用于自然资源、海洋、测绘、气象等公益服务事业方面的支出，包括保障机构正常运转、完成日常和特定的工作任务或事业发展目标的支出。</w:t>
      </w:r>
    </w:p>
    <w:p w14:paraId="74678B5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十一、基本支出：指保障机构正常运转、完成支日常工作任务而发生的人员支出和公用支出。</w:t>
      </w:r>
    </w:p>
    <w:p w14:paraId="5B4EFEB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十二、项目支出：指在基本支出之外为完成特定行政任务和事业发展目标所发生的支出。</w:t>
      </w:r>
    </w:p>
    <w:p w14:paraId="152AAE7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十三、工资福利支出：反映单位开支的在职职工和编制外长期聘用人员的各类劳动报酬，以及为上述人员缴纳的各项社会保险费等。</w:t>
      </w:r>
    </w:p>
    <w:p w14:paraId="158587B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1CF8214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十五、奖金：反映机关工作人员年终一次性奖金。</w:t>
      </w:r>
    </w:p>
    <w:p w14:paraId="756BF87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十六、伙食补助费：反映单位发给职工的伙食补助费，如误餐补助等。</w:t>
      </w:r>
    </w:p>
    <w:p w14:paraId="4A9AF2E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十七、绩效工资：反映事业单位工作人员的绩效工资。机关事业单位基本养老保险缴费：反映机关事业单位缴纳的基本养老保险费。由单位代扣的工作人员基本养老保险缴费，不在此科目反映。</w:t>
      </w:r>
    </w:p>
    <w:p w14:paraId="5EC6E66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十八、职工基本医疗保险缴费：反映单位为职工缴纳的基本医疗保险费。</w:t>
      </w:r>
    </w:p>
    <w:p w14:paraId="2694588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十九、其他社会保障缴费：反映单位为职工缴纳的基本医疗、失业、工伤、生育等社会保险费，残疾人就业保障金，军队（含武警）为军人缴纳的伤亡、退役医疗等社会保险费。</w:t>
      </w:r>
    </w:p>
    <w:p w14:paraId="649C009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二十、商品和服务支出：反映单位购买商品和服务的支出（不包括用于购置固定资产的支出、战略性和应急储备支出）。</w:t>
      </w:r>
    </w:p>
    <w:p w14:paraId="543C98F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二十一、办公费：反映单位购买按财务会计制度规定不符合固定资产确认标准的日常办公用品、书报杂志等支出。</w:t>
      </w:r>
    </w:p>
    <w:p w14:paraId="23935B3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二十二、印刷费：反映单位的印刷费支出。</w:t>
      </w:r>
    </w:p>
    <w:p w14:paraId="2DB481C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二十三、邮电费：反映单位开支的信函、包裹、货物等物品的邮寄费及电话费、电报费、传真费、网络通讯费等。</w:t>
      </w:r>
    </w:p>
    <w:p w14:paraId="5CA8FDC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二十四、差旅费：反映单位工作人员出差发生的城市间交通费、住宿费、伙食补贴费和市内交通费。</w:t>
      </w:r>
    </w:p>
    <w:p w14:paraId="61C3128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二十五、维修(护)费：反映单位日常开支的固定资产（不包括车船等交通工具）修理和维护费用，网络信息系统运行与维护费用，以及按规定提取的修购基金。</w:t>
      </w:r>
    </w:p>
    <w:p w14:paraId="710B525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二十六、公务接待费：反映单位按规定开支的各类公务接待（含外宾接待）费用。</w:t>
      </w:r>
    </w:p>
    <w:p w14:paraId="7B6AB58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二十七、劳务费：反映支付给单位和个人的劳务费用，如临时聘用人员、钟点工工资，稿费、翻译费，评审费等。</w:t>
      </w:r>
    </w:p>
    <w:p w14:paraId="37633DB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二十八、公务用车运行维护费：反映单位按规定保留的公务用车燃料费、维修费、过桥过路费、保险费、安全奖励费用等支出。</w:t>
      </w:r>
    </w:p>
    <w:p w14:paraId="6FB4640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二十九、其他交通费用：反映单位除公务用车运行维护费以外的其他交通费用。如公务交通补贴，租车费用、出租车费用，飞机、船舶等的燃料费、维修费、保险费等。</w:t>
      </w:r>
    </w:p>
    <w:p w14:paraId="30F7A34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三十、其他商品和服务支出：反映上述科目未包括的日常公用支出。如行政赔偿费和诉讼费、国内组织的会员费、来访费、广告宣传、其他劳务费及离休人员特需费、公用经费等。</w:t>
      </w:r>
    </w:p>
    <w:p w14:paraId="6D5F394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三十一、对个人和家庭的补助：反映政府用于对个人和家庭的补助支出。</w:t>
      </w:r>
    </w:p>
    <w:p w14:paraId="337B2FF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三十二、奖励金：反映政府各部门的奖励支出，如对个体私营经济的奖励、计划生育目标责任奖励、独生子女父母奖励等。</w:t>
      </w:r>
    </w:p>
    <w:p w14:paraId="0069CE2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14:paraId="4DDDED8F"/>
    <w:p w14:paraId="35279476">
      <w:pPr>
        <w:pStyle w:val="7"/>
      </w:pPr>
    </w:p>
    <w:p w14:paraId="3137516A">
      <w:pPr>
        <w:pStyle w:val="3"/>
      </w:pPr>
    </w:p>
    <w:p w14:paraId="23C6AAF1"/>
    <w:p w14:paraId="1C459396">
      <w:pPr>
        <w:pStyle w:val="7"/>
      </w:pPr>
    </w:p>
    <w:p w14:paraId="277228F3">
      <w:pPr>
        <w:pStyle w:val="3"/>
      </w:pPr>
    </w:p>
    <w:p w14:paraId="41BC0A1E"/>
    <w:p w14:paraId="46B479C9">
      <w:pPr>
        <w:pStyle w:val="7"/>
      </w:pPr>
    </w:p>
    <w:p w14:paraId="3445DE3A">
      <w:pPr>
        <w:pStyle w:val="3"/>
      </w:pPr>
    </w:p>
    <w:p w14:paraId="1ACF24F1"/>
    <w:p w14:paraId="37BC3AF0">
      <w:pPr>
        <w:pStyle w:val="7"/>
      </w:pPr>
    </w:p>
    <w:p w14:paraId="4FEEFFBB">
      <w:pPr>
        <w:pStyle w:val="3"/>
      </w:pPr>
    </w:p>
    <w:p w14:paraId="3246C178"/>
    <w:p w14:paraId="01D153EB">
      <w:pPr>
        <w:pStyle w:val="7"/>
      </w:pPr>
    </w:p>
    <w:p w14:paraId="4AF1ED4C">
      <w:pPr>
        <w:pStyle w:val="3"/>
      </w:pPr>
    </w:p>
    <w:p w14:paraId="2A87FFD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42C193E3">
      <w:pPr>
        <w:pStyle w:val="12"/>
        <w:jc w:val="both"/>
        <w:rPr>
          <w:rFonts w:hint="eastAsia" w:ascii="方正小标宋_GBK" w:hAnsi="方正小标宋_GBK" w:eastAsia="方正小标宋_GBK" w:cs="方正小标宋_GBK"/>
          <w:sz w:val="70"/>
          <w:szCs w:val="70"/>
          <w:lang w:eastAsia="zh-CN"/>
        </w:rPr>
      </w:pPr>
    </w:p>
    <w:p w14:paraId="1D70324D">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74EBB67A">
      <w:pPr>
        <w:ind w:firstLine="640" w:firstLineChars="200"/>
        <w:jc w:val="left"/>
        <w:rPr>
          <w:rFonts w:hint="eastAsia" w:ascii="宋体" w:hAnsi="宋体" w:eastAsia="宋体" w:cs="黑体"/>
          <w:b/>
          <w:color w:val="000000"/>
          <w:kern w:val="0"/>
          <w:sz w:val="32"/>
          <w:szCs w:val="32"/>
          <w:lang w:val="en-US" w:eastAsia="zh-CN"/>
        </w:rPr>
      </w:pPr>
    </w:p>
    <w:p w14:paraId="3B2295E2">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C387455">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3008C8B3"/>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534733"/>
    <w:multiLevelType w:val="singleLevel"/>
    <w:tmpl w:val="C3534733"/>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2M2QxYjEwY2RjMzVmZWM2N2Q0MTlhZmIxYTcxOGQ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1E5D7E"/>
    <w:rsid w:val="02414855"/>
    <w:rsid w:val="03487496"/>
    <w:rsid w:val="052B2CE9"/>
    <w:rsid w:val="05512178"/>
    <w:rsid w:val="059958AD"/>
    <w:rsid w:val="061303DE"/>
    <w:rsid w:val="06163BD1"/>
    <w:rsid w:val="077B17D6"/>
    <w:rsid w:val="08E06CD8"/>
    <w:rsid w:val="09720735"/>
    <w:rsid w:val="09E73C4C"/>
    <w:rsid w:val="0F5D0B31"/>
    <w:rsid w:val="105D23E9"/>
    <w:rsid w:val="12583BA5"/>
    <w:rsid w:val="13AA0E0E"/>
    <w:rsid w:val="13BA5B9C"/>
    <w:rsid w:val="164044EC"/>
    <w:rsid w:val="16BD61A6"/>
    <w:rsid w:val="1AFB4783"/>
    <w:rsid w:val="1D6F08BD"/>
    <w:rsid w:val="1D97DEFF"/>
    <w:rsid w:val="1DFF72E5"/>
    <w:rsid w:val="1EFC6F07"/>
    <w:rsid w:val="21AD4721"/>
    <w:rsid w:val="21C23943"/>
    <w:rsid w:val="22AC03C2"/>
    <w:rsid w:val="22E35D21"/>
    <w:rsid w:val="234A0DA9"/>
    <w:rsid w:val="235B65B8"/>
    <w:rsid w:val="23E9602A"/>
    <w:rsid w:val="252029B8"/>
    <w:rsid w:val="261F5D33"/>
    <w:rsid w:val="268E19F6"/>
    <w:rsid w:val="26AC3A6A"/>
    <w:rsid w:val="282D4FFC"/>
    <w:rsid w:val="29643392"/>
    <w:rsid w:val="29F237F7"/>
    <w:rsid w:val="2C90685C"/>
    <w:rsid w:val="2DD04B15"/>
    <w:rsid w:val="2E9B1989"/>
    <w:rsid w:val="2ED20EE7"/>
    <w:rsid w:val="2FDF85B8"/>
    <w:rsid w:val="2FF0534C"/>
    <w:rsid w:val="2FFFEE04"/>
    <w:rsid w:val="31C95635"/>
    <w:rsid w:val="326927AA"/>
    <w:rsid w:val="32844507"/>
    <w:rsid w:val="342B057B"/>
    <w:rsid w:val="345222A6"/>
    <w:rsid w:val="34DF85B0"/>
    <w:rsid w:val="351647A5"/>
    <w:rsid w:val="36304799"/>
    <w:rsid w:val="36924962"/>
    <w:rsid w:val="39E54D22"/>
    <w:rsid w:val="39FD7407"/>
    <w:rsid w:val="3AAA1EFA"/>
    <w:rsid w:val="3B8F36BC"/>
    <w:rsid w:val="3BE5003D"/>
    <w:rsid w:val="3D2F771F"/>
    <w:rsid w:val="3E8B6D3D"/>
    <w:rsid w:val="452A22D2"/>
    <w:rsid w:val="46A43980"/>
    <w:rsid w:val="491FF225"/>
    <w:rsid w:val="49293AB6"/>
    <w:rsid w:val="498434BD"/>
    <w:rsid w:val="4C363E1B"/>
    <w:rsid w:val="4F2C4E99"/>
    <w:rsid w:val="4FFD214C"/>
    <w:rsid w:val="51E574B8"/>
    <w:rsid w:val="52DA79DA"/>
    <w:rsid w:val="533D19AF"/>
    <w:rsid w:val="5352765A"/>
    <w:rsid w:val="54F2448F"/>
    <w:rsid w:val="5777D4F5"/>
    <w:rsid w:val="58201B9A"/>
    <w:rsid w:val="586A35B4"/>
    <w:rsid w:val="59DD8326"/>
    <w:rsid w:val="5ABF2EA3"/>
    <w:rsid w:val="5D7D2E48"/>
    <w:rsid w:val="5DEF592A"/>
    <w:rsid w:val="5EAC7607"/>
    <w:rsid w:val="5FC6BB1E"/>
    <w:rsid w:val="5FF720F1"/>
    <w:rsid w:val="60B62CA5"/>
    <w:rsid w:val="60C04A3D"/>
    <w:rsid w:val="63DF5F8B"/>
    <w:rsid w:val="6513602F"/>
    <w:rsid w:val="67FF5C0B"/>
    <w:rsid w:val="68646FFA"/>
    <w:rsid w:val="6B6268E9"/>
    <w:rsid w:val="6BAA4A2F"/>
    <w:rsid w:val="6BD277B9"/>
    <w:rsid w:val="6C2F27EF"/>
    <w:rsid w:val="6C814479"/>
    <w:rsid w:val="6CD06643"/>
    <w:rsid w:val="6EFC0924"/>
    <w:rsid w:val="6FB74722"/>
    <w:rsid w:val="6FEF8B7E"/>
    <w:rsid w:val="702768EF"/>
    <w:rsid w:val="71A6591B"/>
    <w:rsid w:val="72F14C16"/>
    <w:rsid w:val="737D59BA"/>
    <w:rsid w:val="737F32B1"/>
    <w:rsid w:val="73EE6C5D"/>
    <w:rsid w:val="77AC4E63"/>
    <w:rsid w:val="77C37683"/>
    <w:rsid w:val="78ED31A0"/>
    <w:rsid w:val="79FF515B"/>
    <w:rsid w:val="7CD53E4F"/>
    <w:rsid w:val="7E9E1962"/>
    <w:rsid w:val="7E9F11B4"/>
    <w:rsid w:val="7F37EC1E"/>
    <w:rsid w:val="7F7DCD9D"/>
    <w:rsid w:val="7F970A6F"/>
    <w:rsid w:val="7FC1FFF3"/>
    <w:rsid w:val="7FC69637"/>
    <w:rsid w:val="7FDF8620"/>
    <w:rsid w:val="7FFB242F"/>
    <w:rsid w:val="7FFDB408"/>
    <w:rsid w:val="7FFE4EEB"/>
    <w:rsid w:val="7FFF3E2A"/>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7753</Words>
  <Characters>8374</Characters>
  <Lines>63</Lines>
  <Paragraphs>18</Paragraphs>
  <TotalTime>0</TotalTime>
  <ScaleCrop>false</ScaleCrop>
  <LinksUpToDate>false</LinksUpToDate>
  <CharactersWithSpaces>8393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2025-08-25T07:07:02Z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98623D6660B449428EB8E073C6C952EA</vt:lpwstr>
  </property>
  <property fmtid="{D5CDD505-2E9C-101B-9397-08002B2CF9AE}" pid="4" name="KSOTemplateDocerSaveRecord">
    <vt:lpwstr>eyJoZGlkIjoiNjgxZmIyZGM1NjlmYzFmNTczZGVkNWYyNWIwMGFjMmUiLCJ1c2VySWQiOiIyOTMyNjEyNDMifQ==</vt:lpwstr>
  </property>
</Properties>
</file>