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DBE19">
      <w:pPr>
        <w:pStyle w:val="12"/>
        <w:jc w:val="center"/>
        <w:rPr>
          <w:sz w:val="56"/>
          <w:szCs w:val="56"/>
        </w:rPr>
      </w:pPr>
    </w:p>
    <w:p w14:paraId="5208FE25">
      <w:pPr>
        <w:pStyle w:val="12"/>
        <w:jc w:val="center"/>
        <w:rPr>
          <w:sz w:val="56"/>
          <w:szCs w:val="56"/>
        </w:rPr>
      </w:pPr>
    </w:p>
    <w:p w14:paraId="1E3BAEC7">
      <w:pPr>
        <w:pStyle w:val="12"/>
        <w:jc w:val="center"/>
        <w:rPr>
          <w:sz w:val="84"/>
          <w:szCs w:val="84"/>
        </w:rPr>
      </w:pPr>
    </w:p>
    <w:p w14:paraId="446BE885">
      <w:pPr>
        <w:pStyle w:val="12"/>
        <w:jc w:val="center"/>
        <w:rPr>
          <w:sz w:val="84"/>
          <w:szCs w:val="84"/>
        </w:rPr>
      </w:pPr>
    </w:p>
    <w:p w14:paraId="29B3855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595C4C4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岳阳市生态环境局部门决算</w:t>
      </w:r>
    </w:p>
    <w:p w14:paraId="28FBED72">
      <w:pPr>
        <w:pStyle w:val="12"/>
        <w:jc w:val="center"/>
        <w:rPr>
          <w:rFonts w:hint="eastAsia" w:ascii="方正小标宋_GBK" w:hAnsi="方正小标宋_GBK" w:eastAsia="方正小标宋_GBK" w:cs="方正小标宋_GBK"/>
          <w:sz w:val="56"/>
          <w:szCs w:val="56"/>
        </w:rPr>
      </w:pPr>
    </w:p>
    <w:p w14:paraId="14BF7604">
      <w:pPr>
        <w:pStyle w:val="12"/>
        <w:jc w:val="center"/>
        <w:rPr>
          <w:sz w:val="56"/>
          <w:szCs w:val="56"/>
        </w:rPr>
      </w:pPr>
    </w:p>
    <w:p w14:paraId="1AAA856A">
      <w:pPr>
        <w:pStyle w:val="12"/>
        <w:jc w:val="center"/>
        <w:rPr>
          <w:sz w:val="56"/>
          <w:szCs w:val="56"/>
        </w:rPr>
      </w:pPr>
    </w:p>
    <w:p w14:paraId="11125232">
      <w:pPr>
        <w:pStyle w:val="12"/>
        <w:jc w:val="center"/>
        <w:rPr>
          <w:sz w:val="56"/>
          <w:szCs w:val="56"/>
        </w:rPr>
      </w:pPr>
    </w:p>
    <w:p w14:paraId="180B73AB">
      <w:pPr>
        <w:pStyle w:val="12"/>
        <w:jc w:val="center"/>
        <w:rPr>
          <w:sz w:val="32"/>
          <w:szCs w:val="32"/>
        </w:rPr>
      </w:pPr>
    </w:p>
    <w:p w14:paraId="202CD789">
      <w:pPr>
        <w:pStyle w:val="12"/>
        <w:jc w:val="center"/>
        <w:rPr>
          <w:sz w:val="32"/>
          <w:szCs w:val="32"/>
        </w:rPr>
      </w:pPr>
    </w:p>
    <w:p w14:paraId="1686F6D8">
      <w:pPr>
        <w:pStyle w:val="12"/>
        <w:jc w:val="center"/>
        <w:rPr>
          <w:sz w:val="32"/>
          <w:szCs w:val="32"/>
        </w:rPr>
      </w:pPr>
    </w:p>
    <w:p w14:paraId="0EBA86AB">
      <w:pPr>
        <w:pStyle w:val="12"/>
        <w:jc w:val="center"/>
        <w:rPr>
          <w:sz w:val="32"/>
          <w:szCs w:val="32"/>
        </w:rPr>
      </w:pPr>
    </w:p>
    <w:p w14:paraId="073F8F51">
      <w:pPr>
        <w:pStyle w:val="12"/>
        <w:jc w:val="center"/>
        <w:rPr>
          <w:sz w:val="32"/>
          <w:szCs w:val="32"/>
        </w:rPr>
      </w:pPr>
    </w:p>
    <w:p w14:paraId="68F80BB3">
      <w:pPr>
        <w:pStyle w:val="12"/>
        <w:spacing w:line="540" w:lineRule="exact"/>
        <w:jc w:val="center"/>
        <w:rPr>
          <w:sz w:val="56"/>
          <w:szCs w:val="56"/>
        </w:rPr>
      </w:pPr>
    </w:p>
    <w:p w14:paraId="50DE44EF">
      <w:pPr>
        <w:pStyle w:val="12"/>
        <w:spacing w:line="500" w:lineRule="exact"/>
        <w:jc w:val="both"/>
        <w:rPr>
          <w:b/>
          <w:sz w:val="36"/>
          <w:szCs w:val="28"/>
        </w:rPr>
      </w:pPr>
    </w:p>
    <w:p w14:paraId="2B417F66">
      <w:pPr>
        <w:pStyle w:val="12"/>
        <w:spacing w:line="500" w:lineRule="exact"/>
        <w:jc w:val="center"/>
        <w:rPr>
          <w:b/>
          <w:sz w:val="36"/>
          <w:szCs w:val="28"/>
        </w:rPr>
      </w:pPr>
      <w:r>
        <w:rPr>
          <w:rFonts w:hint="eastAsia"/>
          <w:b/>
          <w:sz w:val="36"/>
          <w:szCs w:val="28"/>
        </w:rPr>
        <w:t>目录</w:t>
      </w:r>
    </w:p>
    <w:p w14:paraId="1BDBC52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14:paraId="276F031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D24AFDE">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4E51040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1A9C4EA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430211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9C5EA2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612C83F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B32BA2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67942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9E2130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0C4F70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49D1F0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3BA2BCB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1B16D9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5980820">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47F082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D02451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4D8F38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504FA7B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8504B3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CE9C8B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5D4B63A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6F6DD3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E956CA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61A937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075554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6E1D26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303ED9B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1A12348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3DB2A704">
      <w:pPr>
        <w:pStyle w:val="12"/>
        <w:jc w:val="center"/>
        <w:rPr>
          <w:rFonts w:hint="eastAsia" w:ascii="方正小标宋_GBK" w:hAnsi="方正小标宋_GBK" w:eastAsia="方正小标宋_GBK" w:cs="方正小标宋_GBK"/>
          <w:sz w:val="84"/>
          <w:szCs w:val="84"/>
        </w:rPr>
      </w:pPr>
    </w:p>
    <w:p w14:paraId="259A723A">
      <w:pPr>
        <w:pStyle w:val="12"/>
        <w:jc w:val="center"/>
        <w:rPr>
          <w:rFonts w:hint="eastAsia" w:ascii="方正小标宋_GBK" w:hAnsi="方正小标宋_GBK" w:eastAsia="方正小标宋_GBK" w:cs="方正小标宋_GBK"/>
          <w:sz w:val="84"/>
          <w:szCs w:val="84"/>
        </w:rPr>
      </w:pPr>
    </w:p>
    <w:p w14:paraId="56E5B56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0B2D99C4">
      <w:pPr>
        <w:pStyle w:val="12"/>
        <w:jc w:val="center"/>
        <w:rPr>
          <w:rFonts w:hint="eastAsia" w:ascii="方正小标宋_GBK" w:hAnsi="方正小标宋_GBK" w:eastAsia="方正小标宋_GBK" w:cs="方正小标宋_GBK"/>
          <w:sz w:val="84"/>
          <w:szCs w:val="84"/>
        </w:rPr>
      </w:pPr>
    </w:p>
    <w:p w14:paraId="058612FA">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3FE2C93E">
      <w:pPr>
        <w:pStyle w:val="7"/>
        <w:rPr>
          <w:rFonts w:hint="eastAsia" w:ascii="方正小标宋_GBK" w:hAnsi="方正小标宋_GBK" w:eastAsia="方正小标宋_GBK" w:cs="方正小标宋_GBK"/>
          <w:sz w:val="84"/>
          <w:szCs w:val="84"/>
        </w:rPr>
      </w:pPr>
    </w:p>
    <w:p w14:paraId="7D1F4066">
      <w:pPr>
        <w:pStyle w:val="3"/>
        <w:rPr>
          <w:rFonts w:hint="eastAsia" w:ascii="方正小标宋_GBK" w:hAnsi="方正小标宋_GBK" w:eastAsia="方正小标宋_GBK" w:cs="方正小标宋_GBK"/>
          <w:sz w:val="84"/>
          <w:szCs w:val="84"/>
        </w:rPr>
      </w:pPr>
    </w:p>
    <w:p w14:paraId="77B95736">
      <w:pPr>
        <w:rPr>
          <w:rFonts w:hint="eastAsia" w:ascii="方正小标宋_GBK" w:hAnsi="方正小标宋_GBK" w:eastAsia="方正小标宋_GBK" w:cs="方正小标宋_GBK"/>
          <w:sz w:val="84"/>
          <w:szCs w:val="84"/>
        </w:rPr>
      </w:pPr>
    </w:p>
    <w:p w14:paraId="63A29F9F">
      <w:pPr>
        <w:pStyle w:val="7"/>
        <w:rPr>
          <w:rFonts w:hint="eastAsia" w:ascii="方正小标宋_GBK" w:hAnsi="方正小标宋_GBK" w:eastAsia="方正小标宋_GBK" w:cs="方正小标宋_GBK"/>
          <w:sz w:val="84"/>
          <w:szCs w:val="84"/>
        </w:rPr>
      </w:pPr>
    </w:p>
    <w:p w14:paraId="0F0012F9">
      <w:pPr>
        <w:pStyle w:val="3"/>
        <w:rPr>
          <w:rFonts w:hint="eastAsia" w:ascii="方正小标宋_GBK" w:hAnsi="方正小标宋_GBK" w:eastAsia="方正小标宋_GBK" w:cs="方正小标宋_GBK"/>
          <w:sz w:val="84"/>
          <w:szCs w:val="84"/>
        </w:rPr>
      </w:pPr>
    </w:p>
    <w:p w14:paraId="60EFFC23">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9DA51E0">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（一）</w:t>
      </w:r>
      <w:r>
        <w:rPr>
          <w:rFonts w:hint="eastAsia" w:ascii="Times New Roman" w:hAnsi="Times New Roman" w:eastAsia="仿宋_GB2312" w:cs="仿宋_GB2312"/>
          <w:sz w:val="32"/>
          <w:szCs w:val="32"/>
        </w:rPr>
        <w:t>贯彻执行生态环境法律法规和标准，会同有关部门拟订本市生态环境政策、规划并组织实施，配合制定生态环境有关地方性法规和政府规章草案；会同有关部门编制并监督实施重点区域、流域、饮用水水源地保护等生态环境规划和水、大气环境、声环境功能区划。</w:t>
      </w:r>
    </w:p>
    <w:p w14:paraId="64D2DC85">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（二）</w:t>
      </w:r>
      <w:r>
        <w:rPr>
          <w:rFonts w:hint="eastAsia" w:ascii="Times New Roman" w:hAnsi="Times New Roman" w:eastAsia="仿宋_GB2312" w:cs="仿宋_GB2312"/>
          <w:sz w:val="32"/>
          <w:szCs w:val="32"/>
        </w:rPr>
        <w:t>负责全市生态环境问题的统筹协调和监督管理。</w:t>
      </w:r>
    </w:p>
    <w:p w14:paraId="7DC039FA">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（三）</w:t>
      </w:r>
      <w:r>
        <w:rPr>
          <w:rFonts w:hint="eastAsia" w:ascii="Times New Roman" w:hAnsi="Times New Roman" w:eastAsia="仿宋_GB2312" w:cs="仿宋_GB2312"/>
          <w:sz w:val="32"/>
          <w:szCs w:val="32"/>
        </w:rPr>
        <w:t>负责监督管理减排目标的落实。</w:t>
      </w:r>
    </w:p>
    <w:p w14:paraId="0A581C87">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（四）</w:t>
      </w:r>
      <w:r>
        <w:rPr>
          <w:rFonts w:hint="eastAsia" w:ascii="Times New Roman" w:hAnsi="Times New Roman" w:eastAsia="仿宋_GB2312" w:cs="仿宋_GB2312"/>
          <w:sz w:val="32"/>
          <w:szCs w:val="32"/>
        </w:rPr>
        <w:t>负责提出生态环境领域固定资产投资规模和方向、市级财政性资金安排的意见，按规定权限审批、核准规划内和年度计划规模内生态环境领域固定资产投资项目，配合有关部门做好组织实施和监督工作。</w:t>
      </w:r>
    </w:p>
    <w:p w14:paraId="7DA3830D">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（五）</w:t>
      </w:r>
      <w:r>
        <w:rPr>
          <w:rFonts w:hint="eastAsia" w:ascii="Times New Roman" w:hAnsi="Times New Roman" w:eastAsia="仿宋_GB2312" w:cs="仿宋_GB2312"/>
          <w:sz w:val="32"/>
          <w:szCs w:val="32"/>
        </w:rPr>
        <w:t>负责环境污染防治的监督管理。</w:t>
      </w:r>
    </w:p>
    <w:p w14:paraId="372C2CEB">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（六）</w:t>
      </w:r>
      <w:r>
        <w:rPr>
          <w:rFonts w:hint="eastAsia" w:ascii="Times New Roman" w:hAnsi="Times New Roman" w:eastAsia="仿宋_GB2312" w:cs="仿宋_GB2312"/>
          <w:sz w:val="32"/>
          <w:szCs w:val="32"/>
        </w:rPr>
        <w:t>指导协调和监督生态保护修复工作。</w:t>
      </w:r>
    </w:p>
    <w:p w14:paraId="21E9D5EA">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（七）</w:t>
      </w:r>
      <w:r>
        <w:rPr>
          <w:rFonts w:hint="eastAsia" w:ascii="Times New Roman" w:hAnsi="Times New Roman" w:eastAsia="仿宋_GB2312" w:cs="仿宋_GB2312"/>
          <w:sz w:val="32"/>
          <w:szCs w:val="32"/>
        </w:rPr>
        <w:t>负责核与辐射安全的监督管理。</w:t>
      </w:r>
    </w:p>
    <w:p w14:paraId="379283FB">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（八）</w:t>
      </w:r>
      <w:r>
        <w:rPr>
          <w:rFonts w:hint="eastAsia" w:ascii="Times New Roman" w:hAnsi="Times New Roman" w:eastAsia="仿宋_GB2312" w:cs="仿宋_GB2312"/>
          <w:sz w:val="32"/>
          <w:szCs w:val="32"/>
        </w:rPr>
        <w:t>负责生态环境准入的监督管理。</w:t>
      </w:r>
    </w:p>
    <w:p w14:paraId="0319109F">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（九）</w:t>
      </w:r>
      <w:r>
        <w:rPr>
          <w:rFonts w:hint="eastAsia" w:ascii="Times New Roman" w:hAnsi="Times New Roman" w:eastAsia="仿宋_GB2312" w:cs="仿宋_GB2312"/>
          <w:sz w:val="32"/>
          <w:szCs w:val="32"/>
        </w:rPr>
        <w:t>负责重点污染源监测工作。</w:t>
      </w:r>
    </w:p>
    <w:p w14:paraId="69FC290D">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w:t>
      </w:r>
      <w:r>
        <w:rPr>
          <w:rFonts w:hint="eastAsia" w:ascii="Times New Roman" w:hAnsi="Times New Roman" w:eastAsia="仿宋_GB2312" w:cs="仿宋_GB2312"/>
          <w:sz w:val="32"/>
          <w:szCs w:val="32"/>
        </w:rPr>
        <w:t>负责应对气候变化工作。</w:t>
      </w:r>
    </w:p>
    <w:p w14:paraId="147E238F">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（十一）</w:t>
      </w:r>
      <w:r>
        <w:rPr>
          <w:rFonts w:hint="eastAsia" w:ascii="Times New Roman" w:hAnsi="Times New Roman" w:eastAsia="仿宋_GB2312" w:cs="仿宋_GB2312"/>
          <w:sz w:val="32"/>
          <w:szCs w:val="32"/>
        </w:rPr>
        <w:t>配合开展生态环境保护督察工作。</w:t>
      </w:r>
    </w:p>
    <w:p w14:paraId="2E99CF1B">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（十二）</w:t>
      </w:r>
      <w:r>
        <w:rPr>
          <w:rFonts w:hint="eastAsia" w:ascii="Times New Roman" w:hAnsi="Times New Roman" w:eastAsia="仿宋_GB2312" w:cs="仿宋_GB2312"/>
          <w:sz w:val="32"/>
          <w:szCs w:val="32"/>
        </w:rPr>
        <w:t>统一监督生态环境执法工作。</w:t>
      </w:r>
    </w:p>
    <w:p w14:paraId="652CFD36">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（十三）</w:t>
      </w:r>
      <w:r>
        <w:rPr>
          <w:rFonts w:hint="eastAsia" w:ascii="Times New Roman" w:hAnsi="Times New Roman" w:eastAsia="仿宋_GB2312" w:cs="仿宋_GB2312"/>
          <w:sz w:val="32"/>
          <w:szCs w:val="32"/>
        </w:rPr>
        <w:t>组织指导和协调生态环境宣传教育工作，贯彻实施生态环境保护宣传教育纲要，推动社会组织和公众参与生态环境保护。</w:t>
      </w:r>
    </w:p>
    <w:p w14:paraId="78CBD9C6">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（十四）</w:t>
      </w:r>
      <w:r>
        <w:rPr>
          <w:rFonts w:hint="eastAsia" w:ascii="Times New Roman" w:hAnsi="Times New Roman" w:eastAsia="仿宋_GB2312" w:cs="仿宋_GB2312"/>
          <w:sz w:val="32"/>
          <w:szCs w:val="32"/>
        </w:rPr>
        <w:t>开展生态环境对外合作交流，研究提出生态环境对外合作中有关问题的建议，组织协调有关生态环境国际条约的本市履约工作，参与处理涉外生态环境事务。</w:t>
      </w:r>
    </w:p>
    <w:p w14:paraId="46200FF1">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（十五）</w:t>
      </w:r>
      <w:r>
        <w:rPr>
          <w:rFonts w:hint="eastAsia" w:ascii="Times New Roman" w:hAnsi="Times New Roman" w:eastAsia="仿宋_GB2312" w:cs="仿宋_GB2312"/>
          <w:sz w:val="32"/>
          <w:szCs w:val="32"/>
        </w:rPr>
        <w:t>完成市委、市政府交办的其他事项。</w:t>
      </w:r>
    </w:p>
    <w:p w14:paraId="21C0CD67">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（十六）</w:t>
      </w:r>
      <w:r>
        <w:rPr>
          <w:rFonts w:hint="eastAsia" w:ascii="Times New Roman" w:hAnsi="Times New Roman" w:eastAsia="仿宋_GB2312" w:cs="仿宋_GB2312"/>
          <w:sz w:val="32"/>
          <w:szCs w:val="32"/>
        </w:rPr>
        <w:t>职能转变。</w:t>
      </w:r>
    </w:p>
    <w:p w14:paraId="1E2ECE7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7AD19D2D">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（一）内设机构设置。岳阳市生态环境局内设机构包括：2023年我局共有在职干部职工7</w:t>
      </w:r>
      <w:r>
        <w:rPr>
          <w:rFonts w:hint="eastAsia" w:ascii="Times New Roman" w:hAnsi="Times New Roman" w:eastAsia="仿宋_GB2312" w:cs="仿宋_GB2312"/>
          <w:bCs/>
          <w:kern w:val="0"/>
          <w:sz w:val="32"/>
          <w:szCs w:val="32"/>
          <w:lang w:val="en-US" w:eastAsia="zh-CN"/>
        </w:rPr>
        <w:t>06</w:t>
      </w:r>
      <w:r>
        <w:rPr>
          <w:rFonts w:hint="eastAsia" w:ascii="Times New Roman" w:hAnsi="Times New Roman" w:eastAsia="仿宋_GB2312" w:cs="仿宋_GB2312"/>
          <w:bCs/>
          <w:kern w:val="0"/>
          <w:sz w:val="32"/>
          <w:szCs w:val="32"/>
        </w:rPr>
        <w:t>人，核定编制人数7</w:t>
      </w:r>
      <w:r>
        <w:rPr>
          <w:rFonts w:hint="eastAsia" w:ascii="Times New Roman" w:hAnsi="Times New Roman" w:eastAsia="仿宋_GB2312" w:cs="仿宋_GB2312"/>
          <w:bCs/>
          <w:kern w:val="0"/>
          <w:sz w:val="32"/>
          <w:szCs w:val="32"/>
          <w:lang w:val="en-US" w:eastAsia="zh-CN"/>
        </w:rPr>
        <w:t>06</w:t>
      </w:r>
      <w:r>
        <w:rPr>
          <w:rFonts w:hint="eastAsia" w:ascii="Times New Roman" w:hAnsi="Times New Roman" w:eastAsia="仿宋_GB2312" w:cs="仿宋_GB2312"/>
          <w:bCs/>
          <w:kern w:val="0"/>
          <w:sz w:val="32"/>
          <w:szCs w:val="32"/>
        </w:rPr>
        <w:t>人，</w:t>
      </w:r>
      <w:r>
        <w:rPr>
          <w:rFonts w:hint="eastAsia" w:ascii="Times New Roman" w:hAnsi="Times New Roman" w:eastAsia="仿宋_GB2312" w:cs="仿宋_GB2312"/>
          <w:bCs/>
          <w:kern w:val="0"/>
          <w:sz w:val="32"/>
          <w:szCs w:val="32"/>
          <w:lang w:eastAsia="zh-CN"/>
        </w:rPr>
        <w:t>其中：行政人员</w:t>
      </w:r>
      <w:r>
        <w:rPr>
          <w:rFonts w:hint="eastAsia" w:ascii="Times New Roman" w:hAnsi="Times New Roman" w:eastAsia="仿宋_GB2312" w:cs="仿宋_GB2312"/>
          <w:bCs/>
          <w:kern w:val="0"/>
          <w:sz w:val="32"/>
          <w:szCs w:val="32"/>
          <w:lang w:val="en-US" w:eastAsia="zh-CN"/>
        </w:rPr>
        <w:t>338人，事业人员368人，退休人员239人，</w:t>
      </w:r>
      <w:r>
        <w:rPr>
          <w:rFonts w:hint="eastAsia" w:ascii="Times New Roman" w:hAnsi="Times New Roman" w:eastAsia="仿宋_GB2312" w:cs="仿宋_GB2312"/>
          <w:bCs/>
          <w:kern w:val="0"/>
          <w:sz w:val="32"/>
          <w:szCs w:val="32"/>
        </w:rPr>
        <w:t>大专以上学历占90%以上。市局内设办公室、生态环境监督科、综合协调科、法规与标准科、自然生态保护科、水生态环境科、大气环境与应对气候变化科、土壤生态环境科、固体废物与化学品科、核与辐射管理科、环评和污染排放科（行政审批办公室）、宣教与监测科、科技与财务科、人事科14个职能科室和机关党委（纪委）、机关工会、离退休人员管理服务科。下设综合行政执法支队、生态环境事务中心2个二级机构；平江、岳阳县、华容、湘阴、汨罗、临湘、岳阳楼、云溪、君山、经开、南湖、屈原、城陵矶新港区分局13个派出机构。</w:t>
      </w:r>
    </w:p>
    <w:p w14:paraId="37E0F9D2">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p>
    <w:p w14:paraId="11A178C0">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1、</w:t>
      </w:r>
      <w:r>
        <w:rPr>
          <w:rFonts w:hint="eastAsia" w:ascii="Times New Roman" w:hAnsi="Times New Roman" w:eastAsia="仿宋_GB2312" w:cs="仿宋_GB2312"/>
          <w:bCs/>
          <w:color w:val="auto"/>
          <w:kern w:val="0"/>
          <w:sz w:val="32"/>
          <w:szCs w:val="32"/>
        </w:rPr>
        <w:t>岳阳市生态环境局本级</w:t>
      </w:r>
    </w:p>
    <w:p w14:paraId="432970B3">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2、</w:t>
      </w:r>
      <w:r>
        <w:rPr>
          <w:rFonts w:hint="eastAsia" w:ascii="Times New Roman" w:hAnsi="Times New Roman" w:eastAsia="仿宋_GB2312" w:cs="仿宋_GB2312"/>
          <w:bCs/>
          <w:color w:val="auto"/>
          <w:kern w:val="0"/>
          <w:sz w:val="32"/>
          <w:szCs w:val="32"/>
        </w:rPr>
        <w:t>岳阳市生态环境局平江分局</w:t>
      </w:r>
    </w:p>
    <w:p w14:paraId="3878707F">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3、</w:t>
      </w:r>
      <w:r>
        <w:rPr>
          <w:rFonts w:hint="eastAsia" w:ascii="Times New Roman" w:hAnsi="Times New Roman" w:eastAsia="仿宋_GB2312" w:cs="仿宋_GB2312"/>
          <w:bCs/>
          <w:color w:val="auto"/>
          <w:kern w:val="0"/>
          <w:sz w:val="32"/>
          <w:szCs w:val="32"/>
        </w:rPr>
        <w:t>岳阳市生态环境局岳阳县分局</w:t>
      </w:r>
    </w:p>
    <w:p w14:paraId="500295B1">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4、</w:t>
      </w:r>
      <w:r>
        <w:rPr>
          <w:rFonts w:hint="eastAsia" w:ascii="Times New Roman" w:hAnsi="Times New Roman" w:eastAsia="仿宋_GB2312" w:cs="仿宋_GB2312"/>
          <w:bCs/>
          <w:color w:val="auto"/>
          <w:kern w:val="0"/>
          <w:sz w:val="32"/>
          <w:szCs w:val="32"/>
        </w:rPr>
        <w:t>岳阳市生态环境局华容分局</w:t>
      </w:r>
    </w:p>
    <w:p w14:paraId="6A0D9CB8">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5、</w:t>
      </w:r>
      <w:r>
        <w:rPr>
          <w:rFonts w:hint="eastAsia" w:ascii="Times New Roman" w:hAnsi="Times New Roman" w:eastAsia="仿宋_GB2312" w:cs="仿宋_GB2312"/>
          <w:bCs/>
          <w:color w:val="auto"/>
          <w:kern w:val="0"/>
          <w:sz w:val="32"/>
          <w:szCs w:val="32"/>
        </w:rPr>
        <w:t>岳阳市生态环境局湘阴分局</w:t>
      </w:r>
    </w:p>
    <w:p w14:paraId="4093CE85">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6、</w:t>
      </w:r>
      <w:r>
        <w:rPr>
          <w:rFonts w:hint="eastAsia" w:ascii="Times New Roman" w:hAnsi="Times New Roman" w:eastAsia="仿宋_GB2312" w:cs="仿宋_GB2312"/>
          <w:bCs/>
          <w:color w:val="auto"/>
          <w:kern w:val="0"/>
          <w:sz w:val="32"/>
          <w:szCs w:val="32"/>
        </w:rPr>
        <w:t>岳阳市生态环境局汨罗分局</w:t>
      </w:r>
    </w:p>
    <w:p w14:paraId="299EC9A1">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7、</w:t>
      </w:r>
      <w:r>
        <w:rPr>
          <w:rFonts w:hint="eastAsia" w:ascii="Times New Roman" w:hAnsi="Times New Roman" w:eastAsia="仿宋_GB2312" w:cs="仿宋_GB2312"/>
          <w:bCs/>
          <w:color w:val="auto"/>
          <w:kern w:val="0"/>
          <w:sz w:val="32"/>
          <w:szCs w:val="32"/>
        </w:rPr>
        <w:t>岳阳市生态环境局临湘分局</w:t>
      </w:r>
    </w:p>
    <w:p w14:paraId="53DC3683">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8、</w:t>
      </w:r>
      <w:r>
        <w:rPr>
          <w:rFonts w:hint="eastAsia" w:ascii="Times New Roman" w:hAnsi="Times New Roman" w:eastAsia="仿宋_GB2312" w:cs="仿宋_GB2312"/>
          <w:bCs/>
          <w:color w:val="auto"/>
          <w:kern w:val="0"/>
          <w:sz w:val="32"/>
          <w:szCs w:val="32"/>
        </w:rPr>
        <w:t>岳阳市生态环境局岳阳楼分局</w:t>
      </w:r>
    </w:p>
    <w:p w14:paraId="6755F24D">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9、</w:t>
      </w:r>
      <w:r>
        <w:rPr>
          <w:rFonts w:hint="eastAsia" w:ascii="Times New Roman" w:hAnsi="Times New Roman" w:eastAsia="仿宋_GB2312" w:cs="仿宋_GB2312"/>
          <w:bCs/>
          <w:color w:val="auto"/>
          <w:kern w:val="0"/>
          <w:sz w:val="32"/>
          <w:szCs w:val="32"/>
        </w:rPr>
        <w:t>岳阳市生态环境局云溪分局</w:t>
      </w:r>
    </w:p>
    <w:p w14:paraId="06F596D9">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default" w:ascii="Times New Roman" w:hAnsi="Times New Roman" w:eastAsia="仿宋_GB2312" w:cs="仿宋_GB2312"/>
          <w:bCs/>
          <w:color w:val="auto"/>
          <w:kern w:val="0"/>
          <w:sz w:val="32"/>
          <w:szCs w:val="32"/>
          <w:highlight w:val="none"/>
          <w:lang w:val="en-US" w:eastAsia="zh-CN" w:bidi="ar-SA"/>
        </w:rPr>
        <w:t>10、</w:t>
      </w:r>
      <w:r>
        <w:rPr>
          <w:rFonts w:hint="eastAsia" w:ascii="Times New Roman" w:hAnsi="Times New Roman" w:eastAsia="仿宋_GB2312" w:cs="仿宋_GB2312"/>
          <w:bCs/>
          <w:color w:val="auto"/>
          <w:kern w:val="0"/>
          <w:sz w:val="32"/>
          <w:szCs w:val="32"/>
          <w:highlight w:val="none"/>
        </w:rPr>
        <w:t>岳阳市生态环境局君山分局</w:t>
      </w:r>
    </w:p>
    <w:p w14:paraId="623DDE5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val="en-US" w:eastAsia="zh-CN" w:bidi="ar-SA"/>
        </w:rPr>
      </w:pPr>
      <w:r>
        <w:rPr>
          <w:rFonts w:hint="default" w:ascii="Times New Roman" w:hAnsi="Times New Roman" w:eastAsia="仿宋_GB2312" w:cs="仿宋_GB2312"/>
          <w:bCs/>
          <w:color w:val="auto"/>
          <w:kern w:val="0"/>
          <w:sz w:val="32"/>
          <w:szCs w:val="32"/>
          <w:highlight w:val="none"/>
          <w:lang w:val="en-US" w:eastAsia="zh-CN" w:bidi="ar-SA"/>
        </w:rPr>
        <w:t>11、</w:t>
      </w:r>
      <w:r>
        <w:rPr>
          <w:rFonts w:hint="eastAsia" w:ascii="Times New Roman" w:hAnsi="Times New Roman" w:eastAsia="仿宋_GB2312" w:cs="仿宋_GB2312"/>
          <w:bCs/>
          <w:color w:val="auto"/>
          <w:kern w:val="0"/>
          <w:sz w:val="32"/>
          <w:szCs w:val="32"/>
          <w:highlight w:val="none"/>
          <w:lang w:val="en-US" w:eastAsia="zh-CN" w:bidi="ar-SA"/>
        </w:rPr>
        <w:t>岳阳市生态环境局南湖新区分局</w:t>
      </w:r>
    </w:p>
    <w:p w14:paraId="2D986E3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12、</w:t>
      </w:r>
      <w:r>
        <w:rPr>
          <w:rFonts w:hint="eastAsia" w:ascii="Times New Roman" w:hAnsi="Times New Roman" w:eastAsia="仿宋_GB2312" w:cs="仿宋_GB2312"/>
          <w:bCs/>
          <w:color w:val="auto"/>
          <w:kern w:val="0"/>
          <w:sz w:val="32"/>
          <w:szCs w:val="32"/>
        </w:rPr>
        <w:t>岳阳市生态环境局屈原分局</w:t>
      </w:r>
    </w:p>
    <w:p w14:paraId="7FD0095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val="en-US" w:eastAsia="zh-CN" w:bidi="ar-SA"/>
        </w:rPr>
      </w:pPr>
      <w:r>
        <w:rPr>
          <w:rFonts w:hint="default" w:ascii="Times New Roman" w:hAnsi="Times New Roman" w:eastAsia="仿宋_GB2312" w:cs="仿宋_GB2312"/>
          <w:bCs/>
          <w:color w:val="auto"/>
          <w:kern w:val="0"/>
          <w:sz w:val="32"/>
          <w:szCs w:val="32"/>
          <w:highlight w:val="none"/>
          <w:lang w:val="en-US" w:eastAsia="zh-CN" w:bidi="ar-SA"/>
        </w:rPr>
        <w:t>13、</w:t>
      </w:r>
      <w:r>
        <w:rPr>
          <w:rFonts w:hint="eastAsia" w:ascii="Times New Roman" w:hAnsi="Times New Roman" w:eastAsia="仿宋_GB2312" w:cs="仿宋_GB2312"/>
          <w:bCs/>
          <w:color w:val="auto"/>
          <w:kern w:val="0"/>
          <w:sz w:val="32"/>
          <w:szCs w:val="32"/>
          <w:highlight w:val="none"/>
          <w:lang w:val="en-US" w:eastAsia="zh-CN" w:bidi="ar-SA"/>
        </w:rPr>
        <w:t>岳阳市生态环境局城陵矶新港分局</w:t>
      </w:r>
    </w:p>
    <w:p w14:paraId="0AEA817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default" w:ascii="Times New Roman" w:hAnsi="Times New Roman" w:eastAsia="仿宋_GB2312" w:cs="仿宋_GB2312"/>
          <w:bCs/>
          <w:color w:val="auto"/>
          <w:kern w:val="0"/>
          <w:sz w:val="32"/>
          <w:szCs w:val="32"/>
          <w:highlight w:val="none"/>
          <w:lang w:val="en-US" w:eastAsia="zh-CN" w:bidi="ar-SA"/>
        </w:rPr>
        <w:t>14、</w:t>
      </w:r>
      <w:r>
        <w:rPr>
          <w:rFonts w:hint="eastAsia" w:ascii="Times New Roman" w:hAnsi="Times New Roman" w:eastAsia="仿宋_GB2312" w:cs="仿宋_GB2312"/>
          <w:bCs/>
          <w:color w:val="auto"/>
          <w:kern w:val="0"/>
          <w:sz w:val="32"/>
          <w:szCs w:val="32"/>
          <w:highlight w:val="none"/>
        </w:rPr>
        <w:t>岳阳市生态环境保护综合行政执法支队</w:t>
      </w:r>
    </w:p>
    <w:p w14:paraId="70A58929"/>
    <w:p w14:paraId="771DD5F9">
      <w:pPr>
        <w:pStyle w:val="7"/>
      </w:pPr>
    </w:p>
    <w:p w14:paraId="0E9060A7">
      <w:pPr>
        <w:pStyle w:val="3"/>
      </w:pPr>
    </w:p>
    <w:p w14:paraId="26AF2DDA"/>
    <w:p w14:paraId="5119BBB8">
      <w:pPr>
        <w:pStyle w:val="7"/>
      </w:pPr>
    </w:p>
    <w:p w14:paraId="709BC82A">
      <w:pPr>
        <w:pStyle w:val="3"/>
      </w:pPr>
    </w:p>
    <w:p w14:paraId="5B492E2E"/>
    <w:p w14:paraId="7FCE3B81">
      <w:pPr>
        <w:pStyle w:val="7"/>
      </w:pPr>
    </w:p>
    <w:p w14:paraId="038AA82A">
      <w:pPr>
        <w:pStyle w:val="3"/>
      </w:pPr>
    </w:p>
    <w:p w14:paraId="031AED2C">
      <w:r>
        <w:br w:type="page"/>
      </w:r>
    </w:p>
    <w:p w14:paraId="325E1779"/>
    <w:p w14:paraId="11003F78">
      <w:pPr>
        <w:pStyle w:val="7"/>
      </w:pPr>
    </w:p>
    <w:p w14:paraId="7C63464E">
      <w:pPr>
        <w:pStyle w:val="3"/>
      </w:pPr>
    </w:p>
    <w:p w14:paraId="614FABF7"/>
    <w:p w14:paraId="27FC03A5">
      <w:pPr>
        <w:pStyle w:val="7"/>
      </w:pPr>
    </w:p>
    <w:p w14:paraId="04C56B2A">
      <w:pPr>
        <w:pStyle w:val="3"/>
      </w:pPr>
    </w:p>
    <w:p w14:paraId="532C6C8F"/>
    <w:p w14:paraId="75FCBD64">
      <w:pPr>
        <w:pStyle w:val="12"/>
        <w:jc w:val="center"/>
        <w:rPr>
          <w:rFonts w:hint="eastAsia" w:ascii="方正小标宋_GBK" w:hAnsi="方正小标宋_GBK" w:eastAsia="方正小标宋_GBK" w:cs="方正小标宋_GBK"/>
          <w:sz w:val="84"/>
          <w:szCs w:val="84"/>
        </w:rPr>
      </w:pPr>
    </w:p>
    <w:p w14:paraId="02BD4100">
      <w:pPr>
        <w:pStyle w:val="12"/>
        <w:jc w:val="center"/>
        <w:rPr>
          <w:rFonts w:hint="eastAsia" w:ascii="方正小标宋_GBK" w:hAnsi="方正小标宋_GBK" w:eastAsia="方正小标宋_GBK" w:cs="方正小标宋_GBK"/>
          <w:sz w:val="84"/>
          <w:szCs w:val="84"/>
        </w:rPr>
      </w:pPr>
    </w:p>
    <w:p w14:paraId="16E3006E">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0A784D53">
      <w:pPr>
        <w:pStyle w:val="12"/>
        <w:jc w:val="center"/>
        <w:rPr>
          <w:rFonts w:hint="eastAsia" w:ascii="方正小标宋_GBK" w:hAnsi="方正小标宋_GBK" w:eastAsia="方正小标宋_GBK" w:cs="方正小标宋_GBK"/>
          <w:sz w:val="84"/>
          <w:szCs w:val="84"/>
        </w:rPr>
      </w:pPr>
    </w:p>
    <w:p w14:paraId="628FB39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A794D59">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0D6E0DF4">
      <w:pPr>
        <w:pStyle w:val="12"/>
        <w:jc w:val="center"/>
        <w:rPr>
          <w:rFonts w:hint="eastAsia" w:ascii="仿宋_GB2312" w:hAnsi="仿宋_GB2312" w:eastAsia="仿宋_GB2312" w:cs="仿宋_GB2312"/>
          <w:b w:val="0"/>
          <w:bCs w:val="0"/>
          <w:sz w:val="72"/>
          <w:szCs w:val="72"/>
          <w:lang w:eastAsia="zh-CN"/>
        </w:rPr>
      </w:pPr>
    </w:p>
    <w:p w14:paraId="6FFD7BB6">
      <w:pPr>
        <w:pStyle w:val="12"/>
        <w:jc w:val="center"/>
        <w:rPr>
          <w:rFonts w:hint="eastAsia" w:ascii="仿宋_GB2312" w:hAnsi="仿宋_GB2312" w:eastAsia="仿宋_GB2312" w:cs="仿宋_GB2312"/>
          <w:b w:val="0"/>
          <w:bCs w:val="0"/>
          <w:sz w:val="72"/>
          <w:szCs w:val="72"/>
          <w:lang w:eastAsia="zh-CN"/>
        </w:rPr>
      </w:pPr>
    </w:p>
    <w:p w14:paraId="00D41988">
      <w:pPr>
        <w:pStyle w:val="12"/>
        <w:jc w:val="center"/>
        <w:rPr>
          <w:rFonts w:hint="eastAsia" w:ascii="仿宋_GB2312" w:hAnsi="仿宋_GB2312" w:eastAsia="仿宋_GB2312" w:cs="仿宋_GB2312"/>
          <w:b w:val="0"/>
          <w:bCs w:val="0"/>
          <w:sz w:val="72"/>
          <w:szCs w:val="72"/>
          <w:lang w:eastAsia="zh-CN"/>
        </w:rPr>
      </w:pPr>
    </w:p>
    <w:p w14:paraId="7C661DF2">
      <w:pPr>
        <w:pStyle w:val="12"/>
        <w:jc w:val="center"/>
        <w:rPr>
          <w:rFonts w:hint="eastAsia" w:ascii="仿宋_GB2312" w:hAnsi="仿宋_GB2312" w:eastAsia="仿宋_GB2312" w:cs="仿宋_GB2312"/>
          <w:b w:val="0"/>
          <w:bCs w:val="0"/>
          <w:sz w:val="72"/>
          <w:szCs w:val="72"/>
          <w:lang w:eastAsia="zh-CN"/>
        </w:rPr>
      </w:pPr>
    </w:p>
    <w:p w14:paraId="7E5FEB60">
      <w:pPr>
        <w:pStyle w:val="12"/>
        <w:jc w:val="center"/>
        <w:rPr>
          <w:rFonts w:hint="eastAsia" w:ascii="仿宋_GB2312" w:hAnsi="仿宋_GB2312" w:eastAsia="仿宋_GB2312" w:cs="仿宋_GB2312"/>
          <w:b w:val="0"/>
          <w:bCs w:val="0"/>
          <w:sz w:val="72"/>
          <w:szCs w:val="72"/>
          <w:lang w:eastAsia="zh-CN"/>
        </w:rPr>
      </w:pPr>
    </w:p>
    <w:p w14:paraId="2B058194">
      <w:pPr>
        <w:pStyle w:val="12"/>
        <w:jc w:val="center"/>
        <w:rPr>
          <w:rFonts w:hint="eastAsia" w:ascii="仿宋_GB2312" w:hAnsi="仿宋_GB2312" w:eastAsia="仿宋_GB2312" w:cs="仿宋_GB2312"/>
          <w:b w:val="0"/>
          <w:bCs w:val="0"/>
          <w:sz w:val="72"/>
          <w:szCs w:val="72"/>
          <w:lang w:eastAsia="zh-CN"/>
        </w:rPr>
      </w:pPr>
    </w:p>
    <w:p w14:paraId="008BDD70">
      <w:pPr>
        <w:pStyle w:val="12"/>
        <w:jc w:val="center"/>
        <w:rPr>
          <w:rFonts w:hint="eastAsia" w:ascii="仿宋_GB2312" w:hAnsi="仿宋_GB2312" w:eastAsia="仿宋_GB2312" w:cs="仿宋_GB2312"/>
          <w:b w:val="0"/>
          <w:bCs w:val="0"/>
          <w:sz w:val="72"/>
          <w:szCs w:val="72"/>
          <w:lang w:eastAsia="zh-CN"/>
        </w:rPr>
      </w:pPr>
    </w:p>
    <w:p w14:paraId="63CC7760">
      <w:pPr>
        <w:pStyle w:val="12"/>
        <w:jc w:val="center"/>
        <w:rPr>
          <w:rFonts w:hint="eastAsia" w:ascii="方正小标宋_GBK" w:hAnsi="方正小标宋_GBK" w:eastAsia="方正小标宋_GBK" w:cs="方正小标宋_GBK"/>
          <w:sz w:val="72"/>
          <w:szCs w:val="72"/>
        </w:rPr>
      </w:pPr>
    </w:p>
    <w:p w14:paraId="551658CE">
      <w:pPr>
        <w:pStyle w:val="12"/>
        <w:jc w:val="center"/>
        <w:rPr>
          <w:rFonts w:hint="eastAsia" w:ascii="方正小标宋_GBK" w:hAnsi="方正小标宋_GBK" w:eastAsia="方正小标宋_GBK" w:cs="方正小标宋_GBK"/>
          <w:sz w:val="72"/>
          <w:szCs w:val="72"/>
        </w:rPr>
      </w:pPr>
    </w:p>
    <w:p w14:paraId="57DBB3E5">
      <w:pPr>
        <w:pStyle w:val="12"/>
        <w:jc w:val="both"/>
        <w:rPr>
          <w:rFonts w:hint="eastAsia" w:ascii="方正小标宋_GBK" w:hAnsi="方正小标宋_GBK" w:eastAsia="方正小标宋_GBK" w:cs="方正小标宋_GBK"/>
          <w:sz w:val="72"/>
          <w:szCs w:val="72"/>
        </w:rPr>
      </w:pPr>
    </w:p>
    <w:p w14:paraId="2F2A34FE">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093E2F0A">
      <w:pPr>
        <w:pStyle w:val="12"/>
        <w:jc w:val="center"/>
        <w:rPr>
          <w:rFonts w:hint="eastAsia" w:ascii="方正小标宋_GBK" w:hAnsi="方正小标宋_GBK" w:eastAsia="方正小标宋_GBK" w:cs="方正小标宋_GBK"/>
          <w:sz w:val="70"/>
          <w:szCs w:val="70"/>
        </w:rPr>
      </w:pPr>
    </w:p>
    <w:p w14:paraId="0A360E7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9A0062C">
      <w:pPr>
        <w:pStyle w:val="12"/>
        <w:jc w:val="center"/>
        <w:rPr>
          <w:rFonts w:hint="eastAsia" w:ascii="方正小标宋_GBK" w:hAnsi="方正小标宋_GBK" w:eastAsia="方正小标宋_GBK" w:cs="方正小标宋_GBK"/>
          <w:sz w:val="70"/>
          <w:szCs w:val="70"/>
        </w:rPr>
      </w:pPr>
    </w:p>
    <w:p w14:paraId="4E51E5AD">
      <w:pPr>
        <w:pStyle w:val="12"/>
        <w:jc w:val="center"/>
        <w:rPr>
          <w:rFonts w:hint="eastAsia" w:ascii="方正小标宋_GBK" w:hAnsi="方正小标宋_GBK" w:eastAsia="方正小标宋_GBK" w:cs="方正小标宋_GBK"/>
          <w:sz w:val="70"/>
          <w:szCs w:val="70"/>
        </w:rPr>
      </w:pPr>
    </w:p>
    <w:p w14:paraId="610C35C0">
      <w:pPr>
        <w:pStyle w:val="12"/>
        <w:jc w:val="center"/>
        <w:rPr>
          <w:rFonts w:hint="eastAsia" w:ascii="方正小标宋_GBK" w:hAnsi="方正小标宋_GBK" w:eastAsia="方正小标宋_GBK" w:cs="方正小标宋_GBK"/>
          <w:sz w:val="70"/>
          <w:szCs w:val="70"/>
        </w:rPr>
      </w:pPr>
    </w:p>
    <w:p w14:paraId="664B9276">
      <w:pPr>
        <w:pStyle w:val="12"/>
        <w:jc w:val="center"/>
        <w:rPr>
          <w:rFonts w:hint="eastAsia" w:ascii="方正小标宋_GBK" w:hAnsi="方正小标宋_GBK" w:eastAsia="方正小标宋_GBK" w:cs="方正小标宋_GBK"/>
          <w:sz w:val="70"/>
          <w:szCs w:val="70"/>
        </w:rPr>
      </w:pPr>
    </w:p>
    <w:p w14:paraId="65E8726E">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45BB12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6236ED3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年度收、支总计39,307.83万元。与上年相比，增加4,701.11万元，增长13.58%，主要是因为污染防治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自然生态保护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污染减排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w:t>
      </w:r>
      <w:r>
        <w:rPr>
          <w:rFonts w:hint="eastAsia" w:ascii="仿宋_GB2312" w:hAnsi="仿宋_GB2312" w:eastAsia="仿宋_GB2312" w:cs="仿宋_GB2312"/>
          <w:sz w:val="32"/>
          <w:szCs w:val="32"/>
          <w:lang w:eastAsia="zh-CN"/>
        </w:rPr>
        <w:t>等项目支出增加。</w:t>
      </w:r>
    </w:p>
    <w:p w14:paraId="29B0BF9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06C648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年度收入合计38,881.00万元，其中：财政拨款收入17,437.82万元，占44.85%；上级补助收入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%；其他收入21,443.18万元，占55.15%。</w:t>
      </w:r>
    </w:p>
    <w:p w14:paraId="745FE42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0A3FC67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年度支出合计38,819.37万元，其中：基本支出13,421.85万元，占34.58%；项目支出25,397.52万元，占65.42%；上缴上级支出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3E13ECF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07BEE04B">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年度财政拨款收、支总计17,437.83万元，与上年相比，减少982.58万元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减少5.33%，主要是因为</w:t>
      </w:r>
      <w:r>
        <w:rPr>
          <w:rFonts w:hint="eastAsia" w:ascii="仿宋_GB2312" w:hAnsi="仿宋_GB2312" w:eastAsia="仿宋_GB2312" w:cs="仿宋_GB2312"/>
          <w:sz w:val="32"/>
          <w:szCs w:val="32"/>
          <w:lang w:eastAsia="zh-CN"/>
        </w:rPr>
        <w:t>单位控制行政运行支出，工资福利及补助支出减少，相关人员经费减少。</w:t>
      </w:r>
    </w:p>
    <w:p w14:paraId="5C2E95B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1C5C57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633D3E2">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年度财政拨款支出17,437.83万元，占本年支出合计的44.</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%，与上年相比，财政拨款支出减少982.58万元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减少5.33%，主要是因为</w:t>
      </w:r>
      <w:r>
        <w:rPr>
          <w:rFonts w:hint="eastAsia" w:ascii="仿宋_GB2312" w:hAnsi="仿宋_GB2312" w:eastAsia="仿宋_GB2312" w:cs="仿宋_GB2312"/>
          <w:sz w:val="32"/>
          <w:szCs w:val="32"/>
          <w:lang w:eastAsia="zh-CN"/>
        </w:rPr>
        <w:t>单位控制行政运行支出，工资福利及补助支出减少，相关人员经费减少。</w:t>
      </w:r>
    </w:p>
    <w:p w14:paraId="31385A2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A690277">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年度财政拨款支出17,437.83万元，主要用于以下方面：社会保障和就业支出1242.58万元，占7.13%；卫生健康支出588.80万元，占3.38%；节能环保支出14842.1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万元，占85.11%；住房保障支出764.29万元，占4.38%</w:t>
      </w:r>
      <w:r>
        <w:rPr>
          <w:rFonts w:hint="eastAsia" w:ascii="仿宋_GB2312" w:hAnsi="仿宋_GB2312" w:eastAsia="仿宋_GB2312" w:cs="仿宋_GB2312"/>
          <w:sz w:val="32"/>
          <w:szCs w:val="32"/>
          <w:lang w:eastAsia="zh-CN"/>
        </w:rPr>
        <w:t>。</w:t>
      </w:r>
    </w:p>
    <w:p w14:paraId="25BF59D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6842A5B">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年度财政拨款支出年初预算数为14,393.91万元，支出决算数为17,437.83万元，完成年初预算的121.15%，其中：</w:t>
      </w:r>
    </w:p>
    <w:p w14:paraId="54568AD9">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2D39D0EB">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年初预算为764.56万元，支出决算为761.08万元，完成年初预算的99.54%，决算数小于年初预算数的主要原因是：</w:t>
      </w:r>
      <w:r>
        <w:rPr>
          <w:rFonts w:hint="eastAsia" w:ascii="仿宋_GB2312" w:hAnsi="仿宋_GB2312" w:eastAsia="仿宋_GB2312" w:cs="仿宋_GB2312"/>
          <w:sz w:val="32"/>
          <w:szCs w:val="32"/>
          <w:lang w:eastAsia="zh-CN"/>
        </w:rPr>
        <w:t>年内人员变动导致相关人员经费变动。</w:t>
      </w:r>
    </w:p>
    <w:p w14:paraId="50E92C71">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2、社会保障和就业支出（类）抚恤（款）其他优抚支出（项）</w:t>
      </w:r>
      <w:r>
        <w:rPr>
          <w:rFonts w:hint="eastAsia" w:ascii="仿宋_GB2312" w:hAnsi="仿宋_GB2312" w:eastAsia="仿宋_GB2312" w:cs="仿宋_GB2312"/>
          <w:sz w:val="32"/>
          <w:szCs w:val="32"/>
          <w:lang w:eastAsia="zh-CN"/>
        </w:rPr>
        <w:t>。</w:t>
      </w:r>
    </w:p>
    <w:p w14:paraId="437636F2">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年初预算为0.00万元，支出决算为39.75万元，决算数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年初未做优抚支出预算，年中追加。</w:t>
      </w:r>
    </w:p>
    <w:p w14:paraId="3D718EDC">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06CEB2AD">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年初预算为0.15万元，支出决算为441.75万元，完成年初预算的294500.00%，决算数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年初大部分二级未做工伤保险方面的预算，年中追加。</w:t>
      </w:r>
    </w:p>
    <w:p w14:paraId="241FAEA7">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4、卫生健康支出（类）行政事业单位医疗（款）行政单位医疗（项）</w:t>
      </w:r>
      <w:r>
        <w:rPr>
          <w:rFonts w:hint="eastAsia" w:ascii="仿宋_GB2312" w:hAnsi="仿宋_GB2312" w:eastAsia="仿宋_GB2312" w:cs="仿宋_GB2312"/>
          <w:sz w:val="32"/>
          <w:szCs w:val="32"/>
          <w:lang w:eastAsia="zh-CN"/>
        </w:rPr>
        <w:t>。</w:t>
      </w:r>
    </w:p>
    <w:p w14:paraId="5D9CEAAF">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年初预算为403.76万元，支出决算为403.38万元，完成年初预算的99.91%，决算数小于年初预算数的主要原因是：</w:t>
      </w:r>
      <w:r>
        <w:rPr>
          <w:rFonts w:hint="eastAsia" w:ascii="仿宋_GB2312" w:hAnsi="仿宋_GB2312" w:eastAsia="仿宋_GB2312" w:cs="仿宋_GB2312"/>
          <w:sz w:val="32"/>
          <w:szCs w:val="32"/>
          <w:lang w:eastAsia="zh-CN"/>
        </w:rPr>
        <w:t>年内人员变动导致相关人员经费变动。</w:t>
      </w:r>
    </w:p>
    <w:p w14:paraId="2174AA32">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5、卫生健康支出（类）行政事业单位医疗（款）公务员医疗补助（项）</w:t>
      </w:r>
      <w:r>
        <w:rPr>
          <w:rFonts w:hint="eastAsia" w:ascii="仿宋_GB2312" w:hAnsi="仿宋_GB2312" w:eastAsia="仿宋_GB2312" w:cs="仿宋_GB2312"/>
          <w:sz w:val="32"/>
          <w:szCs w:val="32"/>
          <w:lang w:eastAsia="zh-CN"/>
        </w:rPr>
        <w:t>。</w:t>
      </w:r>
    </w:p>
    <w:p w14:paraId="4D52A81B">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年初预算为133.26万元，支出决算为24.68万元，完成年初预算的18.52%，决算数小于年初预算数的主要原因是：</w:t>
      </w:r>
      <w:r>
        <w:rPr>
          <w:rFonts w:hint="eastAsia" w:ascii="仿宋_GB2312" w:hAnsi="仿宋_GB2312" w:eastAsia="仿宋_GB2312" w:cs="仿宋_GB2312"/>
          <w:sz w:val="32"/>
          <w:szCs w:val="32"/>
          <w:lang w:eastAsia="zh-CN"/>
        </w:rPr>
        <w:t>年内人员变动导致相关人员经费变动。</w:t>
      </w:r>
    </w:p>
    <w:p w14:paraId="4DEA7C17">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6、卫生健康支出（类）医疗保障管理事务（款）其他医疗保障管理事务支出（项）</w:t>
      </w:r>
      <w:r>
        <w:rPr>
          <w:rFonts w:hint="eastAsia" w:ascii="仿宋_GB2312" w:hAnsi="仿宋_GB2312" w:eastAsia="仿宋_GB2312" w:cs="仿宋_GB2312"/>
          <w:sz w:val="32"/>
          <w:szCs w:val="32"/>
          <w:lang w:eastAsia="zh-CN"/>
        </w:rPr>
        <w:t>。</w:t>
      </w:r>
    </w:p>
    <w:p w14:paraId="5F3AE55C">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年初预算为160.74万元，支出决算为160.74万元，完成年初预算的100.00%，决算数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严格按照预算支出。</w:t>
      </w:r>
    </w:p>
    <w:p w14:paraId="61AC70CD">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7、节能环保支出（类）环境保护管理事务（款）行政运行（项）</w:t>
      </w:r>
      <w:r>
        <w:rPr>
          <w:rFonts w:hint="eastAsia" w:ascii="仿宋_GB2312" w:hAnsi="仿宋_GB2312" w:eastAsia="仿宋_GB2312" w:cs="仿宋_GB2312"/>
          <w:sz w:val="32"/>
          <w:szCs w:val="32"/>
          <w:lang w:eastAsia="zh-CN"/>
        </w:rPr>
        <w:t>。</w:t>
      </w:r>
    </w:p>
    <w:p w14:paraId="2B3DF468">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年初预算为9499.07万元，支出决算为9152.99万元，完成年初预算的96.36%，决算数小于年初预算数的主要原因是：</w:t>
      </w:r>
      <w:r>
        <w:rPr>
          <w:rFonts w:hint="eastAsia" w:ascii="仿宋_GB2312" w:hAnsi="仿宋_GB2312" w:eastAsia="仿宋_GB2312" w:cs="仿宋_GB2312"/>
          <w:sz w:val="32"/>
          <w:szCs w:val="32"/>
          <w:lang w:eastAsia="zh-CN"/>
        </w:rPr>
        <w:t>控制行政运行支出。</w:t>
      </w:r>
    </w:p>
    <w:p w14:paraId="011516C3">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8、节能环保支出（类）环境保护管理事务（款）一般行政管理事务（项）</w:t>
      </w:r>
      <w:r>
        <w:rPr>
          <w:rFonts w:hint="eastAsia" w:ascii="仿宋_GB2312" w:hAnsi="仿宋_GB2312" w:eastAsia="仿宋_GB2312" w:cs="仿宋_GB2312"/>
          <w:sz w:val="32"/>
          <w:szCs w:val="32"/>
          <w:lang w:eastAsia="zh-CN"/>
        </w:rPr>
        <w:t>。</w:t>
      </w:r>
    </w:p>
    <w:p w14:paraId="69AD026C">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年初预算为891.18万元，支出决算为827.68万元，完成年初预算的92.8</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控制</w:t>
      </w:r>
      <w:r>
        <w:rPr>
          <w:rFonts w:hint="eastAsia" w:ascii="仿宋_GB2312" w:hAnsi="仿宋_GB2312" w:eastAsia="仿宋_GB2312" w:cs="仿宋_GB2312"/>
          <w:sz w:val="32"/>
          <w:szCs w:val="32"/>
        </w:rPr>
        <w:t>一般行政管理事务</w:t>
      </w:r>
      <w:r>
        <w:rPr>
          <w:rFonts w:hint="eastAsia" w:ascii="仿宋_GB2312" w:hAnsi="仿宋_GB2312" w:eastAsia="仿宋_GB2312" w:cs="仿宋_GB2312"/>
          <w:sz w:val="32"/>
          <w:szCs w:val="32"/>
          <w:lang w:eastAsia="zh-CN"/>
        </w:rPr>
        <w:t>支出。</w:t>
      </w:r>
    </w:p>
    <w:p w14:paraId="1FAD727E">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9、节能环保支出（类）环境保护管理事务（款）其他环境保护管理事务支出（项）</w:t>
      </w:r>
      <w:r>
        <w:rPr>
          <w:rFonts w:hint="eastAsia" w:ascii="仿宋_GB2312" w:hAnsi="仿宋_GB2312" w:eastAsia="仿宋_GB2312" w:cs="仿宋_GB2312"/>
          <w:sz w:val="32"/>
          <w:szCs w:val="32"/>
          <w:lang w:eastAsia="zh-CN"/>
        </w:rPr>
        <w:t>。</w:t>
      </w:r>
    </w:p>
    <w:p w14:paraId="0FDC8E95">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年初预算为227.68万元，支出决算为703.90万元，完成年初预算的309.16%，决算数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eastAsia="zh-CN"/>
        </w:rPr>
        <w:t>。</w:t>
      </w:r>
    </w:p>
    <w:p w14:paraId="425A465F">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10、节能环保支出（类）环境监测与监察（款）其他环境监测与监察支出（项）</w:t>
      </w:r>
      <w:r>
        <w:rPr>
          <w:rFonts w:hint="eastAsia" w:ascii="仿宋_GB2312" w:hAnsi="仿宋_GB2312" w:eastAsia="仿宋_GB2312" w:cs="仿宋_GB2312"/>
          <w:sz w:val="32"/>
          <w:szCs w:val="32"/>
          <w:lang w:eastAsia="zh-CN"/>
        </w:rPr>
        <w:t>。</w:t>
      </w:r>
    </w:p>
    <w:p w14:paraId="60A10BA4">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年初预算为281.00万元，支出决算为367.99万元，完成年初预算的130.96%，决算数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其他环境监测与监察支出</w:t>
      </w:r>
      <w:r>
        <w:rPr>
          <w:rFonts w:hint="eastAsia" w:ascii="仿宋_GB2312" w:hAnsi="仿宋_GB2312" w:eastAsia="仿宋_GB2312" w:cs="仿宋_GB2312"/>
          <w:sz w:val="32"/>
          <w:szCs w:val="32"/>
          <w:lang w:eastAsia="zh-CN"/>
        </w:rPr>
        <w:t>。</w:t>
      </w:r>
    </w:p>
    <w:p w14:paraId="4077B82C">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11、节能环保支出（类）污染防治（款）大气（项）</w:t>
      </w:r>
      <w:r>
        <w:rPr>
          <w:rFonts w:hint="eastAsia" w:ascii="仿宋_GB2312" w:hAnsi="仿宋_GB2312" w:eastAsia="仿宋_GB2312" w:cs="仿宋_GB2312"/>
          <w:sz w:val="32"/>
          <w:szCs w:val="32"/>
          <w:lang w:eastAsia="zh-CN"/>
        </w:rPr>
        <w:t>。</w:t>
      </w:r>
    </w:p>
    <w:p w14:paraId="32382EA0">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年初预算为0.00万元，支出决算为537.67万元，决算数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14:paraId="4DC3A01C">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12、节能环保支出（类）污染防治（款）水体（项）</w:t>
      </w:r>
      <w:r>
        <w:rPr>
          <w:rFonts w:hint="eastAsia" w:ascii="仿宋_GB2312" w:hAnsi="仿宋_GB2312" w:eastAsia="仿宋_GB2312" w:cs="仿宋_GB2312"/>
          <w:sz w:val="32"/>
          <w:szCs w:val="32"/>
          <w:lang w:eastAsia="zh-CN"/>
        </w:rPr>
        <w:t>。</w:t>
      </w:r>
    </w:p>
    <w:p w14:paraId="72A390F9">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年初预算为0.00万元，支出决算为27.10万元，决算数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14:paraId="1DD045AB">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13、节能环保支出（类）污染防治（款）其他污染防治支出（项）</w:t>
      </w:r>
      <w:r>
        <w:rPr>
          <w:rFonts w:hint="eastAsia" w:ascii="仿宋_GB2312" w:hAnsi="仿宋_GB2312" w:eastAsia="仿宋_GB2312" w:cs="仿宋_GB2312"/>
          <w:sz w:val="32"/>
          <w:szCs w:val="32"/>
          <w:lang w:eastAsia="zh-CN"/>
        </w:rPr>
        <w:t>。</w:t>
      </w:r>
    </w:p>
    <w:p w14:paraId="70EB6956">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年初预算为345.00万元，支出决算为993.62万元，完成年初预算的288.01%，决算数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其他污染防治支出</w:t>
      </w:r>
      <w:r>
        <w:rPr>
          <w:rFonts w:hint="eastAsia" w:ascii="仿宋_GB2312" w:hAnsi="仿宋_GB2312" w:eastAsia="仿宋_GB2312" w:cs="仿宋_GB2312"/>
          <w:sz w:val="32"/>
          <w:szCs w:val="32"/>
          <w:lang w:eastAsia="zh-CN"/>
        </w:rPr>
        <w:t>。</w:t>
      </w:r>
    </w:p>
    <w:p w14:paraId="0F845751">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14、节能环保支出（类）自然生态保护（款）农村环境保护（项）</w:t>
      </w:r>
      <w:r>
        <w:rPr>
          <w:rFonts w:hint="eastAsia" w:ascii="仿宋_GB2312" w:hAnsi="仿宋_GB2312" w:eastAsia="仿宋_GB2312" w:cs="仿宋_GB2312"/>
          <w:sz w:val="32"/>
          <w:szCs w:val="32"/>
          <w:lang w:eastAsia="zh-CN"/>
        </w:rPr>
        <w:t>。</w:t>
      </w:r>
    </w:p>
    <w:p w14:paraId="72E35C4C">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年初预算为0.00万元，支出决算为815.15万元，决算数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14:paraId="1FF8BF73">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15、节能环保支出（类）污染减排（款）生态环境执法监察（项）</w:t>
      </w:r>
      <w:r>
        <w:rPr>
          <w:rFonts w:hint="eastAsia" w:ascii="仿宋_GB2312" w:hAnsi="仿宋_GB2312" w:eastAsia="仿宋_GB2312" w:cs="仿宋_GB2312"/>
          <w:sz w:val="32"/>
          <w:szCs w:val="32"/>
          <w:lang w:eastAsia="zh-CN"/>
        </w:rPr>
        <w:t>。</w:t>
      </w:r>
    </w:p>
    <w:p w14:paraId="5B6313E4">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年初预算为891.73万元，支出决算为820.87万元，完成年初预算的92.05%，决算数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控制项目费用支出。</w:t>
      </w:r>
    </w:p>
    <w:p w14:paraId="41B031A8">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16、节能环保支出（类）其他节能环保支出（款）其他节能环保支出（项）</w:t>
      </w:r>
      <w:r>
        <w:rPr>
          <w:rFonts w:hint="eastAsia" w:ascii="仿宋_GB2312" w:hAnsi="仿宋_GB2312" w:eastAsia="仿宋_GB2312" w:cs="仿宋_GB2312"/>
          <w:sz w:val="32"/>
          <w:szCs w:val="32"/>
          <w:lang w:eastAsia="zh-CN"/>
        </w:rPr>
        <w:t>。</w:t>
      </w:r>
    </w:p>
    <w:p w14:paraId="22E27251">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年初预算为31.00万元，支出决算为595.17万元，完成年初预算的1919.90%，决算数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w:t>
      </w:r>
    </w:p>
    <w:p w14:paraId="37172253">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17、住房保障支出（类）住房改革支出（款）住房公积金（项）</w:t>
      </w:r>
      <w:r>
        <w:rPr>
          <w:rFonts w:hint="eastAsia" w:ascii="仿宋_GB2312" w:hAnsi="仿宋_GB2312" w:eastAsia="仿宋_GB2312" w:cs="仿宋_GB2312"/>
          <w:sz w:val="32"/>
          <w:szCs w:val="32"/>
          <w:lang w:eastAsia="zh-CN"/>
        </w:rPr>
        <w:t>。</w:t>
      </w:r>
    </w:p>
    <w:p w14:paraId="5099EDA8">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年初预算为764.78万元，支出决算为764.29万元，完成年初预算的99.94%，决算数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年内人员变动导致相关人员经费变动。</w:t>
      </w:r>
    </w:p>
    <w:p w14:paraId="70869AD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176B21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年度财政拨款基本支出12,571.30万元，其中：</w:t>
      </w:r>
    </w:p>
    <w:p w14:paraId="3896E22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10,692.69万元，占基本支出的85.06%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奖励金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C50DE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1,878.61万元，占基本支出的14.94%，主要包括办公费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税金及附加费用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r>
        <w:rPr>
          <w:rFonts w:hint="eastAsia" w:ascii="仿宋_GB2312" w:hAnsi="仿宋_GB2312" w:eastAsia="仿宋_GB2312" w:cs="仿宋_GB2312"/>
          <w:sz w:val="32"/>
          <w:szCs w:val="32"/>
          <w:lang w:eastAsia="zh-CN"/>
        </w:rPr>
        <w:t>。</w:t>
      </w:r>
    </w:p>
    <w:p w14:paraId="0C3D8F9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46A8C34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4B4A05D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1B6B71F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14:paraId="0E395EE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6950F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43A53F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73.56</w:t>
      </w:r>
      <w:r>
        <w:rPr>
          <w:rFonts w:hint="eastAsia" w:ascii="仿宋_GB2312" w:hAnsi="仿宋_GB2312" w:eastAsia="仿宋_GB2312" w:cs="仿宋_GB2312"/>
          <w:sz w:val="32"/>
          <w:szCs w:val="32"/>
        </w:rPr>
        <w:t>万元，支出决算为70.75万元，</w:t>
      </w:r>
      <w:r>
        <w:rPr>
          <w:rFonts w:hint="eastAsia" w:ascii="仿宋_GB2312" w:hAnsi="仿宋_GB2312" w:eastAsia="仿宋_GB2312" w:cs="仿宋_GB2312"/>
          <w:color w:val="auto"/>
          <w:sz w:val="32"/>
          <w:szCs w:val="32"/>
        </w:rPr>
        <w:t>完成预算的</w:t>
      </w:r>
      <w:r>
        <w:rPr>
          <w:rFonts w:hint="eastAsia" w:ascii="仿宋_GB2312" w:hAnsi="仿宋_GB2312" w:eastAsia="仿宋_GB2312" w:cs="仿宋_GB2312"/>
          <w:color w:val="auto"/>
          <w:sz w:val="32"/>
          <w:szCs w:val="32"/>
          <w:lang w:val="en-US" w:eastAsia="zh-CN"/>
        </w:rPr>
        <w:t>96.18</w:t>
      </w:r>
      <w:r>
        <w:rPr>
          <w:rFonts w:hint="eastAsia" w:ascii="仿宋_GB2312" w:hAnsi="仿宋_GB2312" w:eastAsia="仿宋_GB2312" w:cs="仿宋_GB2312"/>
          <w:color w:val="auto"/>
          <w:sz w:val="32"/>
          <w:szCs w:val="32"/>
        </w:rPr>
        <w:t>%，决算数小于预算数的主要</w:t>
      </w:r>
      <w:r>
        <w:rPr>
          <w:rFonts w:hint="eastAsia" w:ascii="仿宋_GB2312" w:hAnsi="仿宋_GB2312" w:eastAsia="仿宋_GB2312" w:cs="仿宋_GB2312"/>
          <w:color w:val="auto"/>
          <w:sz w:val="32"/>
          <w:szCs w:val="32"/>
          <w:lang w:eastAsia="zh-CN"/>
        </w:rPr>
        <w:t>原因是</w:t>
      </w:r>
      <w:r>
        <w:rPr>
          <w:rFonts w:hint="eastAsia" w:ascii="仿宋_GB2312" w:hAnsi="仿宋_GB2312" w:eastAsia="仿宋_GB2312" w:cs="仿宋_GB2312"/>
          <w:color w:val="auto"/>
          <w:sz w:val="32"/>
          <w:szCs w:val="32"/>
        </w:rPr>
        <w:t>严格执行中央八项规定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与上年相比减少49.6</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万元，减少41.21%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减少的主要原因是按有关政策厉行节约，严控</w:t>
      </w:r>
      <w:r>
        <w:rPr>
          <w:rFonts w:hint="eastAsia" w:ascii="仿宋_GB2312" w:hAnsi="仿宋_GB2312" w:eastAsia="仿宋_GB2312" w:cs="仿宋_GB2312"/>
          <w:color w:val="auto"/>
          <w:sz w:val="32"/>
          <w:szCs w:val="32"/>
          <w:lang w:eastAsia="zh-CN"/>
        </w:rPr>
        <w:t>“三公”经费支出</w:t>
      </w:r>
      <w:r>
        <w:rPr>
          <w:rFonts w:hint="eastAsia" w:ascii="仿宋_GB2312" w:hAnsi="仿宋_GB2312" w:eastAsia="仿宋_GB2312" w:cs="仿宋_GB2312"/>
          <w:color w:val="auto"/>
          <w:sz w:val="32"/>
          <w:szCs w:val="32"/>
        </w:rPr>
        <w:t>。其中：</w:t>
      </w:r>
    </w:p>
    <w:p w14:paraId="53F1BBDA">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color w:val="auto"/>
          <w:sz w:val="32"/>
          <w:szCs w:val="32"/>
        </w:rPr>
        <w:t>因公出国（境）费支出预算为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b w:val="0"/>
          <w:bCs/>
          <w:color w:val="auto"/>
          <w:kern w:val="0"/>
          <w:sz w:val="32"/>
          <w:szCs w:val="32"/>
          <w:lang w:val="en-US" w:eastAsia="zh-CN" w:bidi="ar-SA"/>
        </w:rPr>
        <w:t>决算数等于预算数的主要原因是未安排因公出国（境）活动；与上年一致，无增减变动，主要原因是近两年未安排因公出国（境）活动。</w:t>
      </w:r>
    </w:p>
    <w:p w14:paraId="45EA8A3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34.45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97.76</w:t>
      </w:r>
      <w:r>
        <w:rPr>
          <w:rFonts w:hint="eastAsia" w:ascii="仿宋_GB2312" w:hAnsi="仿宋_GB2312" w:eastAsia="仿宋_GB2312" w:cs="仿宋_GB2312"/>
          <w:sz w:val="32"/>
          <w:szCs w:val="32"/>
        </w:rPr>
        <w:t>%，决算数小于预算数的主要原因是严格执行中央八项规定，与上年相比减少1.6</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万元，减少4.54%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14:paraId="541E305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公务用车购置费支出预算为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万元，决算数</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rPr>
        <w:t>预算数的主要原因是</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b w:val="0"/>
          <w:bCs/>
          <w:color w:val="auto"/>
          <w:kern w:val="0"/>
          <w:sz w:val="32"/>
          <w:szCs w:val="32"/>
          <w:lang w:val="en-US" w:eastAsia="zh-CN" w:bidi="ar-SA"/>
        </w:rPr>
        <w:t>未购置公务用车</w:t>
      </w:r>
      <w:r>
        <w:rPr>
          <w:rFonts w:hint="eastAsia" w:ascii="仿宋_GB2312" w:hAnsi="仿宋_GB2312" w:eastAsia="仿宋_GB2312" w:cs="仿宋_GB2312"/>
          <w:color w:val="auto"/>
          <w:sz w:val="32"/>
          <w:szCs w:val="32"/>
        </w:rPr>
        <w:t>，与上年相比减少20.84万元，减少</w:t>
      </w:r>
      <w:r>
        <w:rPr>
          <w:rFonts w:hint="eastAsia" w:ascii="仿宋_GB2312" w:hAnsi="仿宋_GB2312" w:eastAsia="仿宋_GB2312" w:cs="仿宋_GB2312"/>
          <w:color w:val="auto"/>
          <w:sz w:val="32"/>
          <w:szCs w:val="32"/>
          <w:lang w:val="en-US" w:eastAsia="zh-CN"/>
        </w:rPr>
        <w:t>94.78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减少的主要原因是</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b w:val="0"/>
          <w:bCs/>
          <w:color w:val="auto"/>
          <w:kern w:val="0"/>
          <w:sz w:val="32"/>
          <w:szCs w:val="32"/>
          <w:lang w:val="en-US" w:eastAsia="zh-CN" w:bidi="ar-SA"/>
        </w:rPr>
        <w:t>未购置公务用车</w:t>
      </w:r>
      <w:r>
        <w:rPr>
          <w:rFonts w:hint="eastAsia" w:ascii="仿宋_GB2312" w:hAnsi="仿宋_GB2312" w:eastAsia="仿宋_GB2312" w:cs="仿宋_GB2312"/>
          <w:color w:val="auto"/>
          <w:sz w:val="32"/>
          <w:szCs w:val="32"/>
        </w:rPr>
        <w:t>。</w:t>
      </w:r>
    </w:p>
    <w:p w14:paraId="333966E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39.11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万元，完成预算的74.</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%，决算数小于预算数的主要原因是严格执行中央八项规定，与上年相比减少27.17万元，减少42.29%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减少的主要原因是按有关政策厉行节约，公务用车运行维护费</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w:t>
      </w:r>
    </w:p>
    <w:p w14:paraId="3B1C038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572C54C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47.60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52.40</w:t>
      </w:r>
      <w:r>
        <w:rPr>
          <w:rFonts w:hint="eastAsia" w:ascii="仿宋_GB2312" w:hAnsi="仿宋_GB2312" w:eastAsia="仿宋_GB2312" w:cs="仿宋_GB2312"/>
          <w:sz w:val="32"/>
          <w:szCs w:val="32"/>
        </w:rPr>
        <w:t>%。其中：</w:t>
      </w:r>
    </w:p>
    <w:p w14:paraId="5B746A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14:paraId="7A3404E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287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eastAsia="zh-CN"/>
        </w:rPr>
        <w:t>2892</w:t>
      </w:r>
      <w:r>
        <w:rPr>
          <w:rFonts w:hint="eastAsia" w:ascii="仿宋_GB2312" w:hAnsi="仿宋_GB2312" w:eastAsia="仿宋_GB2312" w:cs="仿宋_GB2312"/>
          <w:sz w:val="32"/>
          <w:szCs w:val="32"/>
        </w:rPr>
        <w:t>人次，主要是与有关单位交流工作情况及接受相关部门检查指导工作发生的接待支出。</w:t>
      </w:r>
    </w:p>
    <w:p w14:paraId="2AFBC30E">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万元，其中：公务用车购置费0万元，当年没有购置公务用车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公务用车运行维护费37.07万元，主要是按规定保留的公务用车的燃料费、维修费、过桥过路费、保险费、安全奖励费用等支出，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辆。</w:t>
      </w:r>
    </w:p>
    <w:p w14:paraId="7AEB389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EA74091">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年度机关运行经费支出1,878.61万元，比上年决算数减少467.52万元，降低</w:t>
      </w:r>
      <w:r>
        <w:rPr>
          <w:rFonts w:hint="eastAsia" w:ascii="仿宋_GB2312" w:hAnsi="仿宋_GB2312" w:eastAsia="仿宋_GB2312" w:cs="仿宋_GB2312"/>
          <w:sz w:val="32"/>
          <w:szCs w:val="32"/>
          <w:lang w:val="en-US" w:eastAsia="zh-CN"/>
        </w:rPr>
        <w:t>19.93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控制办公经费，维修（护）费、劳务费、委托业务费、其他交通费用减少</w:t>
      </w:r>
      <w:r>
        <w:rPr>
          <w:rFonts w:hint="eastAsia" w:ascii="楷体" w:hAnsi="楷体" w:eastAsia="楷体" w:cs="楷体"/>
          <w:sz w:val="32"/>
          <w:szCs w:val="32"/>
        </w:rPr>
        <w:t>。</w:t>
      </w:r>
    </w:p>
    <w:p w14:paraId="1739076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79A3011">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3年度，会议费年初预算11.00万元，支出决算为9.52万元，完成年初预算的86.55%。用于召开60次会议，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1650</w:t>
      </w:r>
      <w:r>
        <w:rPr>
          <w:rFonts w:hint="eastAsia" w:ascii="仿宋_GB2312" w:hAnsi="仿宋_GB2312" w:eastAsia="仿宋_GB2312" w:cs="仿宋_GB2312"/>
          <w:sz w:val="32"/>
          <w:szCs w:val="32"/>
        </w:rPr>
        <w:t>人，内容为开展全市污染防治攻坚调度会、全市蓝天保卫战相关会议、中央及省级环保督查相关会议、全市生态环境保护工作会议、主城区大气污染防治工作紧急会议</w:t>
      </w:r>
      <w:r>
        <w:rPr>
          <w:rFonts w:hint="eastAsia" w:ascii="仿宋_GB2312" w:hAnsi="仿宋_GB2312" w:eastAsia="仿宋_GB2312" w:cs="仿宋_GB2312"/>
          <w:sz w:val="32"/>
          <w:szCs w:val="32"/>
          <w:lang w:eastAsia="zh-CN"/>
        </w:rPr>
        <w:t>等。</w:t>
      </w:r>
    </w:p>
    <w:p w14:paraId="7F3DF007">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培训费年初预算15.00万元，支出决算为15.07万元，完成年初预算的100.47%。用于开展80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color w:val="000000"/>
          <w:kern w:val="0"/>
          <w:sz w:val="32"/>
          <w:szCs w:val="32"/>
          <w:lang w:val="en-US" w:eastAsia="zh-CN" w:bidi="ar-SA"/>
        </w:rPr>
        <w:t>培训，人数600余人，内容为党校培训、重点企业清洁生产审核管理培训、内审集中培训、环境统计及产业统计培训等相关工作培训。</w:t>
      </w:r>
    </w:p>
    <w:p w14:paraId="3C8DB1CC">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举办节庆、晚会、论坛、赛事活动年初预算9.00万元，支出决算为7.00万元，完成年初预算的77.78%,主要是象棋比赛、跑步比赛、足球赛、篮球赛、六五环境日活动等。</w:t>
      </w:r>
    </w:p>
    <w:p w14:paraId="13D4FC3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17D782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eastAsia="zh-CN"/>
        </w:rPr>
        <w:t xml:space="preserve">   5,902.25 </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eastAsia="zh-CN"/>
        </w:rPr>
        <w:t xml:space="preserve">1,218.64 </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eastAsia="zh-CN"/>
        </w:rPr>
        <w:t xml:space="preserve">798.56  </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eastAsia="zh-CN"/>
        </w:rPr>
        <w:t xml:space="preserve">3,885.05 </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eastAsia="zh-CN"/>
        </w:rPr>
        <w:t xml:space="preserve">5,902.25 </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eastAsia="zh-CN"/>
        </w:rPr>
        <w:t>5,902.25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w:t>
      </w:r>
    </w:p>
    <w:p w14:paraId="1A6A878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EC4413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辆，其他用车主要是用于机要通信和应急保障之外公务用途的车辆；单位价值100万元以上设备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台（套）。</w:t>
      </w:r>
    </w:p>
    <w:p w14:paraId="11EA543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32DF552">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5A5B2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7F04AA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17,437.83万元，政府性基金预算支出0.00万元，国有资本经营预算支出0.00万元。从评价情况来看，整体支出绩效评价中，2023年整体支出39,307.83万元，其中：基本支出13,421.85万元，项目支出25,397.52万元，本单位整体支出绩效自评综合评分99.83分，评价结果等次为优秀。</w:t>
      </w:r>
    </w:p>
    <w:p w14:paraId="316B6B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588.17万元（仅本级），占一般公共预算项目支出总额的12.09%。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bookmarkStart w:id="0" w:name="_GoBack"/>
      <w:bookmarkEnd w:id="0"/>
    </w:p>
    <w:p w14:paraId="19650BF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AFB317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99.83分。全年预算数为39,307.83万元，执行数为39,307.83万元，完成预算的100.00%。绩效目标完成情况：一是生态环境质量持续改善；二是污染防治攻坚扎实推进；三是生态环境安全有效保障；四是全力营造生态环保氛围。</w:t>
      </w:r>
    </w:p>
    <w:p w14:paraId="34BD9C1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6A081A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生态环境质量稳步改善较难。近几年我市环境空气质量和水环境质量均处于历史高位，但受输入性环境污染和极端气象条件、结构性减排空间压减等因素影响，实现持续改善的空间小、难度大；二是重难点工作任务推进较难。通过努力，近几年我市整改了一大批环境问题，但剩下的都是投入资金较大、短时间内难整改的“硬骨头”，比如城乡生活污水收集、农业面源污染治理、秋冬季秸秆焚烧、入河湖排污口整治等等，虽一直在推进，但仍需久久为功。</w:t>
      </w:r>
    </w:p>
    <w:p w14:paraId="181341C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下一步改进措施：一是加强项目执行和跟踪管理，提高资金的执行进度和使用效率；二是加强制度建设，提高预算编制和项目申报的科学性和精细化。</w:t>
      </w:r>
    </w:p>
    <w:p w14:paraId="7361E63C">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F9C42CE">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70E46D35">
      <w:pPr>
        <w:pStyle w:val="12"/>
        <w:jc w:val="both"/>
        <w:rPr>
          <w:sz w:val="72"/>
          <w:szCs w:val="72"/>
        </w:rPr>
      </w:pPr>
    </w:p>
    <w:p w14:paraId="6BAC86A6">
      <w:pPr>
        <w:pStyle w:val="12"/>
        <w:jc w:val="center"/>
        <w:rPr>
          <w:sz w:val="72"/>
          <w:szCs w:val="72"/>
        </w:rPr>
      </w:pPr>
    </w:p>
    <w:p w14:paraId="5E9FD344">
      <w:pPr>
        <w:pStyle w:val="12"/>
        <w:jc w:val="center"/>
        <w:rPr>
          <w:rFonts w:hint="eastAsia" w:ascii="方正小标宋_GBK" w:hAnsi="方正小标宋_GBK" w:eastAsia="方正小标宋_GBK" w:cs="方正小标宋_GBK"/>
          <w:sz w:val="70"/>
          <w:szCs w:val="70"/>
          <w:lang w:eastAsia="zh-CN"/>
        </w:rPr>
      </w:pPr>
    </w:p>
    <w:p w14:paraId="65DE46FC">
      <w:pPr>
        <w:pStyle w:val="12"/>
        <w:jc w:val="center"/>
        <w:rPr>
          <w:rFonts w:hint="eastAsia" w:ascii="方正小标宋_GBK" w:hAnsi="方正小标宋_GBK" w:eastAsia="方正小标宋_GBK" w:cs="方正小标宋_GBK"/>
          <w:sz w:val="70"/>
          <w:szCs w:val="70"/>
          <w:lang w:eastAsia="zh-CN"/>
        </w:rPr>
      </w:pPr>
    </w:p>
    <w:p w14:paraId="345A389F">
      <w:pPr>
        <w:pStyle w:val="12"/>
        <w:jc w:val="center"/>
        <w:rPr>
          <w:rFonts w:hint="eastAsia" w:ascii="方正小标宋_GBK" w:hAnsi="方正小标宋_GBK" w:eastAsia="方正小标宋_GBK" w:cs="方正小标宋_GBK"/>
          <w:sz w:val="72"/>
          <w:szCs w:val="72"/>
        </w:rPr>
      </w:pPr>
    </w:p>
    <w:p w14:paraId="171087E2">
      <w:pPr>
        <w:pStyle w:val="12"/>
        <w:jc w:val="center"/>
        <w:rPr>
          <w:rFonts w:hint="eastAsia" w:ascii="方正小标宋_GBK" w:hAnsi="方正小标宋_GBK" w:eastAsia="方正小标宋_GBK" w:cs="方正小标宋_GBK"/>
          <w:sz w:val="72"/>
          <w:szCs w:val="72"/>
        </w:rPr>
      </w:pPr>
    </w:p>
    <w:p w14:paraId="41C1FD5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B58F02">
      <w:pPr>
        <w:jc w:val="center"/>
        <w:rPr>
          <w:rFonts w:hint="eastAsia" w:ascii="方正小标宋_GBK" w:hAnsi="方正小标宋_GBK" w:eastAsia="方正小标宋_GBK" w:cs="方正小标宋_GBK"/>
          <w:color w:val="000000"/>
          <w:kern w:val="0"/>
          <w:sz w:val="70"/>
          <w:szCs w:val="70"/>
        </w:rPr>
      </w:pPr>
    </w:p>
    <w:p w14:paraId="3143E93B">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6C94B344">
      <w:pPr>
        <w:pStyle w:val="7"/>
      </w:pPr>
    </w:p>
    <w:p w14:paraId="44846C5B">
      <w:pPr>
        <w:pStyle w:val="3"/>
      </w:pPr>
    </w:p>
    <w:p w14:paraId="0B37342A"/>
    <w:p w14:paraId="5057E5FB">
      <w:pPr>
        <w:pStyle w:val="7"/>
      </w:pPr>
    </w:p>
    <w:p w14:paraId="7BD58FB8">
      <w:pPr>
        <w:pStyle w:val="3"/>
      </w:pPr>
    </w:p>
    <w:p w14:paraId="0B22584E"/>
    <w:p w14:paraId="450E7884">
      <w:pPr>
        <w:pStyle w:val="7"/>
      </w:pPr>
    </w:p>
    <w:p w14:paraId="2229BF94">
      <w:pPr>
        <w:pStyle w:val="3"/>
      </w:pPr>
    </w:p>
    <w:p w14:paraId="725E5D65"/>
    <w:p w14:paraId="6198820C">
      <w:pPr>
        <w:pStyle w:val="7"/>
      </w:pPr>
    </w:p>
    <w:p w14:paraId="6A18313A">
      <w:pPr>
        <w:pStyle w:val="3"/>
      </w:pPr>
    </w:p>
    <w:p w14:paraId="2F27DBB1"/>
    <w:p w14:paraId="5524AE13">
      <w:pPr>
        <w:pStyle w:val="7"/>
      </w:pPr>
    </w:p>
    <w:p w14:paraId="793703F1">
      <w:pPr>
        <w:pStyle w:val="3"/>
      </w:pPr>
    </w:p>
    <w:p w14:paraId="1ECB32FB"/>
    <w:p w14:paraId="6803BCB5">
      <w:pPr>
        <w:pStyle w:val="7"/>
      </w:pPr>
    </w:p>
    <w:p w14:paraId="1F916394">
      <w:pPr>
        <w:pStyle w:val="3"/>
      </w:pPr>
    </w:p>
    <w:p w14:paraId="15610059"/>
    <w:p w14:paraId="4BF0DA4A">
      <w:pPr>
        <w:pStyle w:val="7"/>
      </w:pPr>
    </w:p>
    <w:p w14:paraId="56E62032">
      <w:pPr>
        <w:pStyle w:val="3"/>
      </w:pPr>
    </w:p>
    <w:p w14:paraId="75421DB6"/>
    <w:p w14:paraId="282C6858">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49847C9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E2C97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4BE2021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14:paraId="445BA3D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14:paraId="66357FA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CD60CF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7451115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七、卫生健康支出（类）：是指用于医疗卫生与计划生育方面的支出，包括保障机构正常运转、完成日常和特定的工作任务或事业发展目标的支出</w:t>
      </w:r>
    </w:p>
    <w:p w14:paraId="3B2C642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八、节能环保支出（类）：是指用于节能环保支出，包括保障机构正常运转、完成日常和特定的工作任务或事业发展目标的支出</w:t>
      </w:r>
    </w:p>
    <w:p w14:paraId="48B21EB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九、其他支出（类）：是指用于反映除上述项目以外其他不能划分到具体功能科目中的支出项目，包括保障机构正常运转、完成日常和特定的工作任务或事业发展目标的支出</w:t>
      </w:r>
    </w:p>
    <w:p w14:paraId="31C22A83">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十、基本支出：指保障机构正常运转、完成支日常工作任务而发生的人员支出和公用支出</w:t>
      </w:r>
    </w:p>
    <w:p w14:paraId="5D6BEF6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十一、项目支出：指在基本支出之外为完成特定行政任务和事业发展目标所发生的支出</w:t>
      </w:r>
    </w:p>
    <w:p w14:paraId="39E3FB6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02EBDBA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14:paraId="6222657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53DF5B1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十五、津贴补贴：反映经国家批准建立的机关事业单位艰苦边远地区津贴、机关工作人员地区附加津贴、机关工作人员岗位津贴、事业单位工作人员特殊岗位津贴补贴等</w:t>
      </w:r>
    </w:p>
    <w:p w14:paraId="21F9501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十六、奖金：反映机关工作人员年终一次性奖金</w:t>
      </w:r>
    </w:p>
    <w:p w14:paraId="0CD1B15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十七、伙食补助费：反映单位发给职工的伙食补助费，如误餐补助等</w:t>
      </w:r>
    </w:p>
    <w:p w14:paraId="58A595A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十八、绩效工资：反映事业单位工作人员的绩效工资</w:t>
      </w:r>
    </w:p>
    <w:p w14:paraId="7326EA9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十九、机关事业单位基本养老保险缴费：反映机关事业单位缴纳的基本养老保险费。由单位代扣的工作人员基本养老保险缴费，不在此科目反映</w:t>
      </w:r>
    </w:p>
    <w:p w14:paraId="4B17970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二十、职业年金缴费：反映机关事业单位实际缴纳的职业年金支出。由单位代扣的工作人员职业年金缴费，不在此科目反映</w:t>
      </w:r>
    </w:p>
    <w:p w14:paraId="398E023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二十一、职工基本医疗保险缴费：反映单位为职工缴纳的基本医疗保险费</w:t>
      </w:r>
    </w:p>
    <w:p w14:paraId="1382D89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二十二、公务员医疗补助缴费：反映按规定可享受公务员医疗补助单位为职工缴纳的公务员医疗补助费</w:t>
      </w:r>
    </w:p>
    <w:p w14:paraId="550102B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二十三、其他社会保障缴费：反映单位为职工缴纳的基本医疗、失业、工伤、生育等社会保险费，残疾人就业保障金，军队（含武警）为军人缴纳的伤亡、退役医疗等社会保险费</w:t>
      </w:r>
    </w:p>
    <w:p w14:paraId="1126FAA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二十四、住房公积金：反映行政事业单位按人力资源和社会保障部、财政部规定的基本工资和津贴补贴以及规定比例为职工缴纳的住房公积金</w:t>
      </w:r>
    </w:p>
    <w:p w14:paraId="7AF2811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二十五、医疗费：反映未参加医疗保险单位的医疗经费和单位按规定为职工支出的其他医疗费用</w:t>
      </w:r>
    </w:p>
    <w:p w14:paraId="0ED1874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80E127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二十七、商品和服务支出：反映单位购买商品和服务的支出（不包括用于购置固定资产的支出、战略性和应急储备支出）</w:t>
      </w:r>
    </w:p>
    <w:p w14:paraId="00D9DA9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二十八、办公费：反映单位购买按财务会计制度规定不符合固定资产确认标准的日常办公用品、书报杂志等支出</w:t>
      </w:r>
    </w:p>
    <w:p w14:paraId="7798C0DE">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二十九、印刷费：反映单位的印刷费支出</w:t>
      </w:r>
    </w:p>
    <w:p w14:paraId="3C2554C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三十、咨询费：反映单位咨询方面的支出</w:t>
      </w:r>
    </w:p>
    <w:p w14:paraId="0DEBEF6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三十一、手续费：反映单位支付的各类手续费支出</w:t>
      </w:r>
    </w:p>
    <w:p w14:paraId="366D800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三十二、水费：反映单位支付的水费、污水处理费等支出</w:t>
      </w:r>
    </w:p>
    <w:p w14:paraId="5E10CB3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三十三、电费：反映单位的电费支出</w:t>
      </w:r>
    </w:p>
    <w:p w14:paraId="252D148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三十四、邮电费：反映单位开支的信函、包裹、货物等物品的邮寄费及电话费、电报费、传真费、网络通讯费等</w:t>
      </w:r>
    </w:p>
    <w:p w14:paraId="65C8692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三十五、物业管理费：反映单位开支的办公用房以及未实行职工住宅物业服务改革的在职职工和离退休人员宿舍等的物业管理费，包括综合治理、绿化、卫生等方面的支出</w:t>
      </w:r>
    </w:p>
    <w:p w14:paraId="5AA8893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三十六、差旅费：反映单位工作人员出差发生的城市间交通费、住宿费、伙食补贴费和市内交通费</w:t>
      </w:r>
    </w:p>
    <w:p w14:paraId="5A633FE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三十七、维修(护)费：反映单位日常开支的固定资产（不包括车船等交通工具）修理和维护费用，网络信息系统运行与维护费用，以及按规定提取的修购基金</w:t>
      </w:r>
    </w:p>
    <w:p w14:paraId="1A9BB6D3">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三十八、租赁费：反映租赁办公用房、宿舍、专用通讯网以及其他设备等方面的费用</w:t>
      </w:r>
    </w:p>
    <w:p w14:paraId="2AFA6EB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三十九、会议费：反映会议中按规定开支的住宿费、伙食费、会议室租金、交通费、文件印刷费、医药费等</w:t>
      </w:r>
    </w:p>
    <w:p w14:paraId="2821FDC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四十、培训费：反映除因公出国（境）培训费以外的各类培训支出</w:t>
      </w:r>
    </w:p>
    <w:p w14:paraId="345F6E1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四十一、公务接待费：反映单位按规定开支的各类公务接待（含外宾接待）费用</w:t>
      </w:r>
    </w:p>
    <w:p w14:paraId="73B4F63E">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7A6C42D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四十三、专用燃料费：反映用作业务工作设备的车、船设施等的油料支出</w:t>
      </w:r>
    </w:p>
    <w:p w14:paraId="7E98E14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四十四、劳务费：反映支付给单位和个人的劳务费用，如临时聘用人员、钟点工工资，稿费、翻译费，评审费等</w:t>
      </w:r>
    </w:p>
    <w:p w14:paraId="771EB35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四十五、委托业务费：反映因委托外单位办理业务而支付的委托业务费</w:t>
      </w:r>
    </w:p>
    <w:p w14:paraId="4D9706F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四十六、工会经费：反映单位按规定提取的工会经费</w:t>
      </w:r>
    </w:p>
    <w:p w14:paraId="0823D6F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四十七、福利费：反映单位按规定提取的福利费</w:t>
      </w:r>
    </w:p>
    <w:p w14:paraId="6180FC4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四十八、公务用车运行维护费：反映单位按规定保留的公务用车燃料费、维修费、过桥过路费、保险费、安全奖励费用等支出</w:t>
      </w:r>
    </w:p>
    <w:p w14:paraId="5AF1D0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四十九、其他交通费用：反映单位除公务用车运行维护费以外的其他交通费用。如公务交通补贴，租车费用、出租车费用，飞机、船舶等的燃料费、维修费、保险费等</w:t>
      </w:r>
    </w:p>
    <w:p w14:paraId="141EEF5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五十、税金及附加费用：反映单位提供劳务或销售产品应负担的税金及附加费用，包括营业税、消费税、城市维护建设税、资源税和教育附加等</w:t>
      </w:r>
    </w:p>
    <w:p w14:paraId="00BC68D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五十一、其他商品和服务支出：反映上述科目未包括的日常公用支出。如行政赔偿费和诉讼费、国内组织的会员费、来访费、广告宣传、其他劳务费及离休人员特需费、公用经费等</w:t>
      </w:r>
    </w:p>
    <w:p w14:paraId="41223C7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五十二、对个人和家庭的补助：反映政府用于对个人和家庭的补助支出</w:t>
      </w:r>
    </w:p>
    <w:p w14:paraId="5DAB414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五十三、抚恤金：反映按规定开支的烈士遗属、牺牲病故人员遗属的一次性和定期抚恤金，伤残人员的抚恤金，离退休人员等其他人员的各项抚恤金</w:t>
      </w:r>
    </w:p>
    <w:p w14:paraId="672F5C2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四、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1EE0805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五、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2DC1034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五十六、奖励金：反映政府各部门的奖励支出，如对个体私营经济的奖励、计划生育目标责任奖励、独生子女父母奖励等</w:t>
      </w:r>
    </w:p>
    <w:p w14:paraId="6C7EE61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五十七、办公设备购置：反映用于购置并按财务会计制度规定纳入固定资产核算范围的办公家具和办公设备的支出，以及按规定提取的修购基金</w:t>
      </w:r>
    </w:p>
    <w:p w14:paraId="4A79CC3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八、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14:paraId="72C0841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五十九、财政拨款收入：指本级财政当年拨付的资金。其他收入：指除上述“财政拨款收入”、“上级补助收入”、“事业收入”、“经营收入”、“附属单位上缴收入”等以外的收入</w:t>
      </w:r>
    </w:p>
    <w:p w14:paraId="46C9ED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六十、上年结转和结余：指以前年度尚未完成、结转到本年按有关规定继续使用的资金</w:t>
      </w:r>
    </w:p>
    <w:p w14:paraId="3C74131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一、一般公共服务支出（类）：是指用于人大、政协、政府办公厅（室）及相关机构事务、发展与改革事务、统计信息事务、财政事务、税收事务、审计事务、人力资源事务、纪检监察事务、商贸事务、工商行政管理事务</w:t>
      </w:r>
    </w:p>
    <w:p w14:paraId="6A8D531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六十二、伙食补助费：反映单位发给职工的伙食补助费，如误餐补助等。绩效工资：反映事业单位工作人员的绩效工资</w:t>
      </w:r>
    </w:p>
    <w:p w14:paraId="55CEE55E">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六十三、退休费：反映行政事业单位和军队移交政府安置的退休人员的退休费和其他补贴</w:t>
      </w:r>
    </w:p>
    <w:p w14:paraId="77CA82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0BDDA475">
      <w:pPr>
        <w:pStyle w:val="12"/>
        <w:jc w:val="center"/>
        <w:rPr>
          <w:rFonts w:hint="eastAsia" w:ascii="仿宋_GB2312" w:hAnsi="仿宋_GB2312" w:eastAsia="仿宋_GB2312" w:cs="仿宋_GB2312"/>
          <w:sz w:val="32"/>
          <w:szCs w:val="32"/>
        </w:rPr>
      </w:pPr>
    </w:p>
    <w:p w14:paraId="62DAEA8A">
      <w:pPr>
        <w:pStyle w:val="3"/>
      </w:pPr>
    </w:p>
    <w:p w14:paraId="6D6DF530"/>
    <w:p w14:paraId="64CFCB14">
      <w:pPr>
        <w:pStyle w:val="7"/>
      </w:pPr>
    </w:p>
    <w:p w14:paraId="649E1597">
      <w:pPr>
        <w:pStyle w:val="3"/>
      </w:pPr>
    </w:p>
    <w:p w14:paraId="5E414DF1"/>
    <w:p w14:paraId="08BFCAA6">
      <w:pPr>
        <w:pStyle w:val="7"/>
      </w:pPr>
    </w:p>
    <w:p w14:paraId="59D49B26">
      <w:pPr>
        <w:pStyle w:val="3"/>
      </w:pPr>
    </w:p>
    <w:p w14:paraId="69080815"/>
    <w:p w14:paraId="1F6BBB8F">
      <w:pPr>
        <w:pStyle w:val="7"/>
      </w:pPr>
    </w:p>
    <w:p w14:paraId="29D6B5CF">
      <w:pPr>
        <w:pStyle w:val="3"/>
      </w:pPr>
    </w:p>
    <w:p w14:paraId="62BE3AE4"/>
    <w:p w14:paraId="2AFF1775">
      <w:pPr>
        <w:pStyle w:val="7"/>
      </w:pPr>
    </w:p>
    <w:p w14:paraId="6C0BAAB3">
      <w:pPr>
        <w:pStyle w:val="3"/>
      </w:pPr>
    </w:p>
    <w:p w14:paraId="79190871"/>
    <w:p w14:paraId="7558EC3D">
      <w:pPr>
        <w:pStyle w:val="7"/>
      </w:pPr>
    </w:p>
    <w:p w14:paraId="1C4BDD75">
      <w:pPr>
        <w:pStyle w:val="3"/>
      </w:pPr>
    </w:p>
    <w:p w14:paraId="6373DBC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7735AC0">
      <w:pPr>
        <w:pStyle w:val="12"/>
        <w:jc w:val="both"/>
        <w:rPr>
          <w:rFonts w:hint="eastAsia" w:ascii="方正小标宋_GBK" w:hAnsi="方正小标宋_GBK" w:eastAsia="方正小标宋_GBK" w:cs="方正小标宋_GBK"/>
          <w:sz w:val="70"/>
          <w:szCs w:val="70"/>
          <w:lang w:eastAsia="zh-CN"/>
        </w:rPr>
      </w:pPr>
    </w:p>
    <w:p w14:paraId="6DE5B161">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663C405">
      <w:pPr>
        <w:ind w:firstLine="640" w:firstLineChars="200"/>
        <w:jc w:val="left"/>
        <w:rPr>
          <w:rFonts w:hint="eastAsia" w:ascii="宋体" w:hAnsi="宋体" w:eastAsia="宋体" w:cs="黑体"/>
          <w:b/>
          <w:color w:val="000000"/>
          <w:kern w:val="0"/>
          <w:sz w:val="32"/>
          <w:szCs w:val="32"/>
          <w:lang w:val="en-US" w:eastAsia="zh-CN"/>
        </w:rPr>
      </w:pPr>
    </w:p>
    <w:p w14:paraId="18480E86">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E5267A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3FE74330"/>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D31020"/>
    <w:rsid w:val="04A10290"/>
    <w:rsid w:val="059958AD"/>
    <w:rsid w:val="05C96DAF"/>
    <w:rsid w:val="05EC445F"/>
    <w:rsid w:val="06230DC8"/>
    <w:rsid w:val="06C857E7"/>
    <w:rsid w:val="08422A5C"/>
    <w:rsid w:val="08833B8E"/>
    <w:rsid w:val="08C24A73"/>
    <w:rsid w:val="0C1A4568"/>
    <w:rsid w:val="0C9615C8"/>
    <w:rsid w:val="0D1D6DF7"/>
    <w:rsid w:val="0DDA54E4"/>
    <w:rsid w:val="0E0B77DD"/>
    <w:rsid w:val="10E2302E"/>
    <w:rsid w:val="117431DB"/>
    <w:rsid w:val="11E903EC"/>
    <w:rsid w:val="12583BA5"/>
    <w:rsid w:val="132C67E2"/>
    <w:rsid w:val="13BA5B9C"/>
    <w:rsid w:val="13D2292A"/>
    <w:rsid w:val="16547244"/>
    <w:rsid w:val="16965497"/>
    <w:rsid w:val="17B23653"/>
    <w:rsid w:val="18820C52"/>
    <w:rsid w:val="18A1707D"/>
    <w:rsid w:val="18EB2826"/>
    <w:rsid w:val="196B2666"/>
    <w:rsid w:val="1A0861F4"/>
    <w:rsid w:val="1B590209"/>
    <w:rsid w:val="1C4926F3"/>
    <w:rsid w:val="1C4A1A87"/>
    <w:rsid w:val="1CC876D3"/>
    <w:rsid w:val="1D3833BB"/>
    <w:rsid w:val="1D97DEFF"/>
    <w:rsid w:val="1DF63B94"/>
    <w:rsid w:val="1DFF72E5"/>
    <w:rsid w:val="1EFC6F07"/>
    <w:rsid w:val="1F0527A6"/>
    <w:rsid w:val="1FAF3D99"/>
    <w:rsid w:val="1FD75D28"/>
    <w:rsid w:val="20E00E92"/>
    <w:rsid w:val="21BA3233"/>
    <w:rsid w:val="22AC03C2"/>
    <w:rsid w:val="22E6466B"/>
    <w:rsid w:val="22F56BF1"/>
    <w:rsid w:val="253D4AB1"/>
    <w:rsid w:val="280E42B1"/>
    <w:rsid w:val="28685CA3"/>
    <w:rsid w:val="292D1F2E"/>
    <w:rsid w:val="2B681065"/>
    <w:rsid w:val="2BAC33A1"/>
    <w:rsid w:val="2C807D53"/>
    <w:rsid w:val="2DFA12E6"/>
    <w:rsid w:val="2EB11B9D"/>
    <w:rsid w:val="2ED207A7"/>
    <w:rsid w:val="2F644CF3"/>
    <w:rsid w:val="2FDF85B8"/>
    <w:rsid w:val="2FED0D77"/>
    <w:rsid w:val="2FFFEE04"/>
    <w:rsid w:val="306709B5"/>
    <w:rsid w:val="306C7DC6"/>
    <w:rsid w:val="30E107B4"/>
    <w:rsid w:val="313E43E1"/>
    <w:rsid w:val="31C95635"/>
    <w:rsid w:val="32714F51"/>
    <w:rsid w:val="347436ED"/>
    <w:rsid w:val="34DF85B0"/>
    <w:rsid w:val="354821AC"/>
    <w:rsid w:val="35506716"/>
    <w:rsid w:val="379E7EB4"/>
    <w:rsid w:val="37B37051"/>
    <w:rsid w:val="38CA351D"/>
    <w:rsid w:val="3A1A5C49"/>
    <w:rsid w:val="3A8F493C"/>
    <w:rsid w:val="3B8F36BC"/>
    <w:rsid w:val="3BDF1D94"/>
    <w:rsid w:val="3C0C38B6"/>
    <w:rsid w:val="3C463BC1"/>
    <w:rsid w:val="3C7C50FA"/>
    <w:rsid w:val="3DFF7B39"/>
    <w:rsid w:val="3E3B27A7"/>
    <w:rsid w:val="3E9E4690"/>
    <w:rsid w:val="3FB57B37"/>
    <w:rsid w:val="3FFD6511"/>
    <w:rsid w:val="409F0717"/>
    <w:rsid w:val="40D64434"/>
    <w:rsid w:val="41405083"/>
    <w:rsid w:val="45327C70"/>
    <w:rsid w:val="457C5F26"/>
    <w:rsid w:val="47DF247D"/>
    <w:rsid w:val="47FE17F4"/>
    <w:rsid w:val="491FF225"/>
    <w:rsid w:val="4BFB6776"/>
    <w:rsid w:val="4C183B96"/>
    <w:rsid w:val="4D341814"/>
    <w:rsid w:val="4D543967"/>
    <w:rsid w:val="4D82166B"/>
    <w:rsid w:val="4E4D5283"/>
    <w:rsid w:val="4F762EB2"/>
    <w:rsid w:val="4FFD214C"/>
    <w:rsid w:val="50AB5B9A"/>
    <w:rsid w:val="50DC432B"/>
    <w:rsid w:val="51183927"/>
    <w:rsid w:val="523F4EE3"/>
    <w:rsid w:val="524806C4"/>
    <w:rsid w:val="5352765A"/>
    <w:rsid w:val="54216F96"/>
    <w:rsid w:val="545E3D46"/>
    <w:rsid w:val="55FD3892"/>
    <w:rsid w:val="566E2B23"/>
    <w:rsid w:val="566F318D"/>
    <w:rsid w:val="567438B1"/>
    <w:rsid w:val="56903F5F"/>
    <w:rsid w:val="5777D4F5"/>
    <w:rsid w:val="59AA33BA"/>
    <w:rsid w:val="59DD8326"/>
    <w:rsid w:val="5A057F41"/>
    <w:rsid w:val="5DEF592A"/>
    <w:rsid w:val="5E2D6537"/>
    <w:rsid w:val="5FC6BB1E"/>
    <w:rsid w:val="5FF720F1"/>
    <w:rsid w:val="600A0F6C"/>
    <w:rsid w:val="60327E35"/>
    <w:rsid w:val="61946FF9"/>
    <w:rsid w:val="61AA7929"/>
    <w:rsid w:val="62EE44E7"/>
    <w:rsid w:val="64AD2180"/>
    <w:rsid w:val="65174882"/>
    <w:rsid w:val="65B1194B"/>
    <w:rsid w:val="66AC6FB3"/>
    <w:rsid w:val="672C7AFB"/>
    <w:rsid w:val="67FF5C0B"/>
    <w:rsid w:val="693C5107"/>
    <w:rsid w:val="698E4911"/>
    <w:rsid w:val="6A2467D3"/>
    <w:rsid w:val="6A5E2C49"/>
    <w:rsid w:val="6BAA4A2F"/>
    <w:rsid w:val="6C1C3133"/>
    <w:rsid w:val="6D091FD5"/>
    <w:rsid w:val="6E3A5CB7"/>
    <w:rsid w:val="6EFC0924"/>
    <w:rsid w:val="6F7E562F"/>
    <w:rsid w:val="6FB74722"/>
    <w:rsid w:val="6FD94246"/>
    <w:rsid w:val="6FEF8B7E"/>
    <w:rsid w:val="71A6591B"/>
    <w:rsid w:val="72B97AC9"/>
    <w:rsid w:val="73154050"/>
    <w:rsid w:val="737D59BA"/>
    <w:rsid w:val="737F32B1"/>
    <w:rsid w:val="73920EBF"/>
    <w:rsid w:val="743E4B66"/>
    <w:rsid w:val="7598589F"/>
    <w:rsid w:val="77C37683"/>
    <w:rsid w:val="79196BEE"/>
    <w:rsid w:val="79FF515B"/>
    <w:rsid w:val="7B927F42"/>
    <w:rsid w:val="7C7E46D6"/>
    <w:rsid w:val="7CD71AFC"/>
    <w:rsid w:val="7DE92296"/>
    <w:rsid w:val="7E9E1962"/>
    <w:rsid w:val="7E9F11B4"/>
    <w:rsid w:val="7F37EC1E"/>
    <w:rsid w:val="7F4A4D43"/>
    <w:rsid w:val="7F7DCD9D"/>
    <w:rsid w:val="7F970A6F"/>
    <w:rsid w:val="7FC1FFF3"/>
    <w:rsid w:val="7FC69637"/>
    <w:rsid w:val="7FDF8620"/>
    <w:rsid w:val="7FFB242F"/>
    <w:rsid w:val="7FFDB408"/>
    <w:rsid w:val="7FFE4EEB"/>
    <w:rsid w:val="7FFE6DC6"/>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26</Pages>
  <Words>10901</Words>
  <Characters>11921</Characters>
  <Lines>63</Lines>
  <Paragraphs>18</Paragraphs>
  <TotalTime>0</TotalTime>
  <ScaleCrop>false</ScaleCrop>
  <LinksUpToDate>false</LinksUpToDate>
  <CharactersWithSpaces>11938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2025-08-25T07:11:27Z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3ECA4BEC60DE4C41B6351F4123749A13_13</vt:lpwstr>
  </property>
  <property fmtid="{D5CDD505-2E9C-101B-9397-08002B2CF9AE}" pid="4" name="KSOTemplateDocerSaveRecord">
    <vt:lpwstr>eyJoZGlkIjoiNjgxZmIyZGM1NjlmYzFmNTczZGVkNWYyNWIwMGFjMmUiLCJ1c2VySWQiOiIyOTMyNjEyNDMifQ==</vt:lpwstr>
  </property>
</Properties>
</file>