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A47C5A">
      <w:pPr>
        <w:spacing w:beforeLines="0" w:afterLines="0"/>
        <w:ind w:firstLine="883" w:firstLineChars="200"/>
        <w:jc w:val="center"/>
        <w:rPr>
          <w:rFonts w:hint="eastAsia" w:ascii="黑体" w:hAnsi="黑体" w:eastAsia="黑体" w:cs="黑体"/>
          <w:b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b/>
          <w:color w:val="000000"/>
          <w:kern w:val="0"/>
          <w:sz w:val="44"/>
          <w:szCs w:val="44"/>
        </w:rPr>
        <w:t>202</w:t>
      </w:r>
      <w:r>
        <w:rPr>
          <w:rFonts w:hint="eastAsia" w:ascii="黑体" w:hAnsi="黑体" w:eastAsia="黑体" w:cs="黑体"/>
          <w:b/>
          <w:color w:val="000000"/>
          <w:kern w:val="0"/>
          <w:sz w:val="44"/>
          <w:szCs w:val="44"/>
          <w:lang w:val="en-US" w:eastAsia="zh-CN"/>
        </w:rPr>
        <w:t>3</w:t>
      </w:r>
      <w:r>
        <w:rPr>
          <w:rFonts w:hint="eastAsia" w:ascii="黑体" w:hAnsi="黑体" w:eastAsia="黑体" w:cs="黑体"/>
          <w:b/>
          <w:color w:val="000000"/>
          <w:kern w:val="0"/>
          <w:sz w:val="44"/>
          <w:szCs w:val="44"/>
        </w:rPr>
        <w:t>年度</w:t>
      </w:r>
      <w:r>
        <w:rPr>
          <w:rFonts w:hint="eastAsia" w:ascii="黑体" w:hAnsi="黑体" w:eastAsia="黑体" w:cs="黑体"/>
          <w:b/>
          <w:color w:val="000000"/>
          <w:kern w:val="0"/>
          <w:sz w:val="44"/>
          <w:szCs w:val="44"/>
          <w:lang w:val="en-US" w:eastAsia="zh-CN"/>
        </w:rPr>
        <w:t>岳阳楼公安分局</w:t>
      </w:r>
      <w:r>
        <w:rPr>
          <w:rFonts w:hint="eastAsia" w:ascii="黑体" w:hAnsi="黑体" w:eastAsia="黑体" w:cs="黑体"/>
          <w:b/>
          <w:color w:val="000000"/>
          <w:kern w:val="0"/>
          <w:sz w:val="44"/>
          <w:szCs w:val="44"/>
        </w:rPr>
        <w:t>部门</w:t>
      </w:r>
    </w:p>
    <w:p w14:paraId="10B9F98B">
      <w:pPr>
        <w:spacing w:beforeLines="0" w:afterLines="0"/>
        <w:ind w:firstLine="883" w:firstLineChars="200"/>
        <w:jc w:val="center"/>
        <w:rPr>
          <w:rFonts w:hint="eastAsia" w:ascii="黑体" w:hAnsi="黑体" w:eastAsia="黑体" w:cs="黑体"/>
          <w:b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b/>
          <w:color w:val="000000"/>
          <w:kern w:val="0"/>
          <w:sz w:val="44"/>
          <w:szCs w:val="44"/>
        </w:rPr>
        <w:t>整体支出绩效评价报告</w:t>
      </w:r>
    </w:p>
    <w:p w14:paraId="3F482831">
      <w:pPr>
        <w:spacing w:beforeLines="0" w:afterLines="0"/>
        <w:ind w:firstLine="883" w:firstLineChars="200"/>
        <w:jc w:val="center"/>
        <w:rPr>
          <w:rFonts w:hint="eastAsia" w:ascii="黑体" w:hAnsi="黑体" w:eastAsia="黑体" w:cs="黑体"/>
          <w:b/>
          <w:color w:val="000000"/>
          <w:kern w:val="0"/>
          <w:sz w:val="44"/>
          <w:szCs w:val="44"/>
        </w:rPr>
      </w:pPr>
    </w:p>
    <w:p w14:paraId="048CD489"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为有序推进我局全面预算绩效管理工作，强化财政支出绩效理念和责任意识，切实提高财政资金使用效益，根据《岳阳市财政局关于全面开展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eastAsia="zh-CN"/>
        </w:rPr>
        <w:t>2023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年财政支出绩效自评工作的通知》要求，我局组织专门人员对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eastAsia="zh-CN"/>
        </w:rPr>
        <w:t>2023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年度部门整体支出进行了绩效评价，现将绩效评价情况报告如下：</w:t>
      </w:r>
    </w:p>
    <w:p w14:paraId="062C29B8">
      <w:pPr>
        <w:spacing w:beforeLines="0" w:afterLines="0" w:line="360" w:lineRule="auto"/>
        <w:rPr>
          <w:rFonts w:hint="eastAsia" w:ascii="宋体" w:hAnsi="宋体" w:cs="宋体"/>
          <w:b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b/>
          <w:sz w:val="32"/>
          <w:szCs w:val="32"/>
          <w:shd w:val="clear" w:color="auto" w:fill="FFFFFF"/>
        </w:rPr>
        <w:t>一、部门</w:t>
      </w:r>
      <w:r>
        <w:rPr>
          <w:rFonts w:hint="eastAsia" w:ascii="宋体" w:hAnsi="宋体" w:cs="宋体"/>
          <w:b/>
          <w:bCs/>
          <w:sz w:val="32"/>
          <w:szCs w:val="32"/>
          <w:shd w:val="clear" w:color="auto" w:fill="FFFFFF"/>
        </w:rPr>
        <w:t>基本情况</w:t>
      </w:r>
    </w:p>
    <w:p w14:paraId="3E43E277">
      <w:pPr>
        <w:spacing w:beforeLines="0" w:afterLines="0" w:line="360" w:lineRule="auto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（一）部门</w:t>
      </w:r>
      <w:r>
        <w:rPr>
          <w:rFonts w:hint="eastAsia" w:ascii="宋体" w:hAnsi="宋体" w:cs="宋体"/>
          <w:b w:val="0"/>
          <w:bCs/>
          <w:sz w:val="32"/>
          <w:szCs w:val="32"/>
          <w:shd w:val="clear" w:color="auto" w:fill="FFFFFF"/>
        </w:rPr>
        <w:t>概况</w:t>
      </w:r>
    </w:p>
    <w:p w14:paraId="1B8C8E34"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岳阳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楼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公安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分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局局机关现有在职民警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523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人，离退休人员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232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人，临时人员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540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人。内设机构有：</w:t>
      </w:r>
      <w:r>
        <w:rPr>
          <w:rFonts w:hint="eastAsia" w:asciiTheme="minorEastAsia" w:hAnsiTheme="minorEastAsia"/>
          <w:bCs/>
          <w:kern w:val="0"/>
          <w:sz w:val="32"/>
          <w:szCs w:val="32"/>
          <w:lang w:val="en-US" w:eastAsia="zh-CN"/>
        </w:rPr>
        <w:t>19个公安派出所（东茅岭所、五里牌所、站前路所、枫桥湖所、金鹗山所、南湖所、洛王所、梅溪所、三眼桥所、王家河所、望岳路所、奇家岭所、岳阳楼所、吕仙亭所、湖滨所、郭镇所、城陵矶所、洞庭所、龙山所）、16个执法办案大队（巡逻大队、便衣大队、内保大队、刑侦大队、法制大队、情报大队、人境大队、治安大队、警务大队、禁毒大队、经侦大队、城管大队、反恐大队、科信大队、网安大队、执法办案中心）、5个机关科室（指挥中心、警务保障室、政工室、辅警办、纪委）。</w:t>
      </w:r>
    </w:p>
    <w:p w14:paraId="418FB53B">
      <w:pPr>
        <w:spacing w:beforeLines="0" w:afterLines="0" w:line="360" w:lineRule="auto"/>
        <w:jc w:val="left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（二）部门主要职能</w:t>
      </w:r>
    </w:p>
    <w:p w14:paraId="7F3C1BDA"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1.预防、制止和侦查违法犯罪活动；</w:t>
      </w:r>
    </w:p>
    <w:p w14:paraId="2BABE0C9"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2.维护社会治安秩序，制止危害社会治安秩序的行为；</w:t>
      </w:r>
    </w:p>
    <w:p w14:paraId="6CB738BA"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.管理枪支弹药、管制刀具和易燃易爆、剧毒、放射等危险物品；</w:t>
      </w:r>
    </w:p>
    <w:p w14:paraId="2E506761"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.对法律、法规制定的特种行业进行管理；</w:t>
      </w:r>
    </w:p>
    <w:p w14:paraId="5EF3843F"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.警卫国家规定的特定人员，守卫重要的场所和设施；</w:t>
      </w:r>
    </w:p>
    <w:p w14:paraId="7552B9D3"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.管理集会、游行、示威活动；</w:t>
      </w:r>
    </w:p>
    <w:p w14:paraId="6541A3EA"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.管理户政、国籍、入境出境事务和外国人在中国境内居留、旅行的有关事务；</w:t>
      </w:r>
    </w:p>
    <w:p w14:paraId="796C839E"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8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.维护国边.境地区的治安秩序；</w:t>
      </w:r>
    </w:p>
    <w:p w14:paraId="45E46536"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.对被判处管制、拘役、剥夺政治权利的罪犯和监外执行的罪犯执行刑罚，对被宣告缓刑、假释的罪犯实行监督、考察；</w:t>
      </w:r>
    </w:p>
    <w:p w14:paraId="2D7EAA09"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10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.监督管理计算机信息系统的安全保护工作；</w:t>
      </w:r>
    </w:p>
    <w:p w14:paraId="3FA24904"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11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.指导和监督国家机关、社会团体、企业事业组织和重点建设工程的治安保卫工作，指导治安保卫委员会等群众性组织的治安防范工作；</w:t>
      </w:r>
    </w:p>
    <w:p w14:paraId="386A1946"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12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.法律、法规规定的其他职责。</w:t>
      </w:r>
    </w:p>
    <w:p w14:paraId="4877FF7B">
      <w:pPr>
        <w:spacing w:beforeLines="0" w:afterLines="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（三）本年度重点工作计划：</w:t>
      </w:r>
    </w:p>
    <w:p w14:paraId="79EB0D94"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始终以习近平新时代中国特色社会主义思想为指导，牢牢把握"对党忠诚、服务人民、执法公正、纪律严明"的要求和“政治建警、改革强警、科技兴警、从严治警"的新时代公安工作方针，坚持以人民为中心的发展思想，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围绕确保党的二十大平稳召开为基础，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深入实施“四个大抓”警务战略，全面落实县域警务工作，稳步开展“坚持政治建警，全面从严治警"的教育整顿，牢牢守住“五个不发生"的工作底线，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积极开展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扫黑除恶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长江大保护，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抗击疫情，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eastAsia="zh-CN"/>
        </w:rPr>
        <w:t>“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净风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eastAsia="zh-CN"/>
        </w:rPr>
        <w:t>”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专项行动，重大节点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安保等各项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任务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；把规范公正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执法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摆在突出位置，着力在执法质量上取得新提升；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eastAsia="zh-CN"/>
        </w:rPr>
        <w:t>在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优化环境夯实基层派出所建设上求得新突破；把民生至上、服务人民作为不懈追求，进一步提升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人民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群众安全感和满意度。</w:t>
      </w:r>
    </w:p>
    <w:p w14:paraId="538B9765">
      <w:pPr>
        <w:spacing w:beforeLines="0" w:afterLines="0" w:line="360" w:lineRule="auto"/>
        <w:jc w:val="left"/>
        <w:rPr>
          <w:rFonts w:hint="default" w:ascii="宋体" w:hAnsi="宋体" w:eastAsia="宋体" w:cs="宋体"/>
          <w:b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/>
          <w:sz w:val="32"/>
          <w:szCs w:val="32"/>
          <w:shd w:val="clear" w:color="auto" w:fill="FFFFFF"/>
        </w:rPr>
        <w:t>二、</w:t>
      </w:r>
      <w:r>
        <w:rPr>
          <w:rFonts w:hint="eastAsia" w:ascii="宋体" w:hAnsi="宋体" w:cs="宋体"/>
          <w:b/>
          <w:sz w:val="32"/>
          <w:szCs w:val="32"/>
          <w:shd w:val="clear" w:color="auto" w:fill="FFFFFF"/>
          <w:lang w:val="en-US" w:eastAsia="zh-CN"/>
        </w:rPr>
        <w:t>一般公共预算支出情况</w:t>
      </w:r>
    </w:p>
    <w:p w14:paraId="7E60DA6D">
      <w:pPr>
        <w:spacing w:beforeLines="0" w:afterLines="0" w:line="360" w:lineRule="auto"/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（一）基本支出情况</w:t>
      </w:r>
    </w:p>
    <w:p w14:paraId="0BA95D1B">
      <w:pPr>
        <w:spacing w:beforeLines="0" w:afterLines="0" w:line="360" w:lineRule="auto"/>
        <w:ind w:firstLine="960" w:firstLineChars="3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  <w:lang w:eastAsia="zh-CN"/>
        </w:rPr>
        <w:t>2023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年度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一般公共预算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基本支出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13028.71万元其中工资福利支出10192.75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万元，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对个人和家庭的补助1324.61万元，商品和服务支出1511.35万元。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主要用于维护社会稳定，打击犯罪的实战工作和公安日常行政运行经费开支。</w:t>
      </w:r>
    </w:p>
    <w:p w14:paraId="1347F12F">
      <w:pPr>
        <w:numPr>
          <w:ilvl w:val="0"/>
          <w:numId w:val="1"/>
        </w:numPr>
        <w:spacing w:beforeLines="0" w:afterLines="0" w:line="360" w:lineRule="auto"/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项目支出情况</w:t>
      </w:r>
    </w:p>
    <w:p w14:paraId="3F145B38">
      <w:pPr>
        <w:numPr>
          <w:ilvl w:val="0"/>
          <w:numId w:val="0"/>
        </w:numPr>
        <w:spacing w:beforeLines="0" w:afterLines="0" w:line="360" w:lineRule="auto"/>
        <w:ind w:firstLine="960" w:firstLineChars="300"/>
        <w:rPr>
          <w:rFonts w:hint="default" w:ascii="宋体" w:hAnsi="宋体" w:cs="宋体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2023年度一般公共预算项目支出4936.22万元，</w:t>
      </w:r>
      <w:r>
        <w:rPr>
          <w:rFonts w:hint="eastAsia" w:ascii="宋体" w:hAnsi="宋体" w:cs="宋体"/>
          <w:sz w:val="32"/>
          <w:szCs w:val="32"/>
          <w:highlight w:val="none"/>
          <w:shd w:val="clear" w:color="auto" w:fill="FFFFFF"/>
          <w:lang w:val="en-US" w:eastAsia="zh-CN"/>
        </w:rPr>
        <w:t>主要用于业务工作经费1793.85万元，运行维护经费2220.11万元，电子监控维护费51.21万元，中央政法转移支付办案费871.04万元。</w:t>
      </w:r>
    </w:p>
    <w:p w14:paraId="6301874E">
      <w:pPr>
        <w:numPr>
          <w:ilvl w:val="0"/>
          <w:numId w:val="0"/>
        </w:numPr>
        <w:spacing w:beforeLines="0" w:afterLines="0" w:line="360" w:lineRule="auto"/>
        <w:rPr>
          <w:rFonts w:hint="eastAsia" w:ascii="宋体" w:hAnsi="宋体" w:cs="宋体"/>
          <w:b w:val="0"/>
          <w:bCs/>
          <w:sz w:val="32"/>
          <w:szCs w:val="32"/>
          <w:highlight w:val="none"/>
          <w:shd w:val="clear" w:color="auto" w:fill="FFFFFF"/>
        </w:rPr>
      </w:pPr>
      <w:r>
        <w:rPr>
          <w:rFonts w:hint="eastAsia" w:ascii="宋体" w:hAnsi="宋体" w:cs="宋体"/>
          <w:b w:val="0"/>
          <w:bCs/>
          <w:sz w:val="32"/>
          <w:szCs w:val="32"/>
          <w:highlight w:val="none"/>
          <w:shd w:val="clear" w:color="auto" w:fill="FFFFFF"/>
          <w:lang w:eastAsia="zh-CN"/>
        </w:rPr>
        <w:t>（三）</w:t>
      </w:r>
      <w:r>
        <w:rPr>
          <w:rFonts w:hint="eastAsia" w:ascii="宋体" w:hAnsi="宋体" w:cs="宋体"/>
          <w:b w:val="0"/>
          <w:bCs/>
          <w:sz w:val="32"/>
          <w:szCs w:val="32"/>
          <w:highlight w:val="none"/>
          <w:shd w:val="clear" w:color="auto" w:fill="FFFFFF"/>
        </w:rPr>
        <w:t>财政拨款支出“三公”经费预算执行情况</w:t>
      </w:r>
    </w:p>
    <w:p w14:paraId="7D1D7424">
      <w:pPr>
        <w:spacing w:beforeLines="0" w:afterLines="0" w:line="360" w:lineRule="auto"/>
        <w:ind w:firstLine="960" w:firstLineChars="3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  <w:lang w:eastAsia="zh-CN"/>
        </w:rPr>
        <w:t>2023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年度“三公”经费支出合计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314.4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万元，其中公务接待费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0.33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万元，比上年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减少0.42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万元</w:t>
      </w:r>
      <w:r>
        <w:rPr>
          <w:rFonts w:hint="eastAsia" w:ascii="宋体" w:hAnsi="宋体" w:cs="宋体"/>
          <w:sz w:val="32"/>
          <w:szCs w:val="32"/>
          <w:highlight w:val="none"/>
          <w:shd w:val="clear" w:color="auto" w:fill="FFFFFF"/>
        </w:rPr>
        <w:t>，</w:t>
      </w:r>
      <w:r>
        <w:rPr>
          <w:rFonts w:hint="eastAsia" w:ascii="宋体" w:hAnsi="宋体" w:cs="宋体"/>
          <w:sz w:val="32"/>
          <w:szCs w:val="32"/>
          <w:highlight w:val="none"/>
          <w:shd w:val="clear" w:color="auto" w:fill="FFFFFF"/>
          <w:lang w:val="en-US" w:eastAsia="zh-CN"/>
        </w:rPr>
        <w:t>系开设了局机关食堂接待公务用餐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，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公车运行维护费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207.74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万元，公务用车购置费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106.33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万元，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比去年增加了执法勤务用车购置费用，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因公出国境费用0万元。</w:t>
      </w:r>
    </w:p>
    <w:p w14:paraId="207277F0">
      <w:pPr>
        <w:spacing w:beforeLines="0" w:afterLines="0" w:line="360" w:lineRule="auto"/>
        <w:rPr>
          <w:rFonts w:hint="eastAsia" w:ascii="宋体" w:hAnsi="宋体" w:cs="宋体"/>
          <w:b/>
          <w:bCs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b/>
          <w:bCs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宋体" w:hAnsi="宋体" w:cs="宋体"/>
          <w:b/>
          <w:bCs/>
          <w:sz w:val="32"/>
          <w:szCs w:val="32"/>
          <w:shd w:val="clear" w:color="auto" w:fill="FFFFFF"/>
        </w:rPr>
        <w:t>、部门整体支出绩效情况</w:t>
      </w:r>
    </w:p>
    <w:p w14:paraId="7B24CD64"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根据《部门整体支出绩效评价指标》评分，得分9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分，绩效评价等级为“优”。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eastAsia="zh-CN"/>
        </w:rPr>
        <w:t>2023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年度，我局整体支出17964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.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9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万元，其中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基本支出13028.71万元，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专项资金4936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.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2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万元，除维持局机关正常运转外，资金大部分投向办案一线。</w:t>
      </w:r>
    </w:p>
    <w:p w14:paraId="2A881DD9">
      <w:pPr>
        <w:numPr>
          <w:ilvl w:val="0"/>
          <w:numId w:val="2"/>
        </w:num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年度目标：</w:t>
      </w:r>
    </w:p>
    <w:p w14:paraId="06568835">
      <w:pPr>
        <w:numPr>
          <w:ilvl w:val="0"/>
          <w:numId w:val="0"/>
        </w:num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1、维稳保安，确保</w:t>
      </w:r>
      <w:r>
        <w:rPr>
          <w:rFonts w:hint="eastAsia" w:ascii="宋体" w:hAnsi="宋体" w:cs="宋体"/>
          <w:sz w:val="32"/>
          <w:szCs w:val="32"/>
          <w:lang w:eastAsia="zh-CN"/>
        </w:rPr>
        <w:t>“</w:t>
      </w:r>
      <w:r>
        <w:rPr>
          <w:rFonts w:hint="eastAsia" w:ascii="宋体" w:hAnsi="宋体" w:cs="宋体"/>
          <w:sz w:val="32"/>
          <w:szCs w:val="32"/>
          <w:lang w:val="en-US" w:eastAsia="zh-CN"/>
        </w:rPr>
        <w:t>党的二十大</w:t>
      </w:r>
      <w:r>
        <w:rPr>
          <w:rFonts w:hint="eastAsia" w:ascii="宋体" w:hAnsi="宋体" w:cs="宋体"/>
          <w:sz w:val="32"/>
          <w:szCs w:val="32"/>
          <w:lang w:eastAsia="zh-CN"/>
        </w:rPr>
        <w:t>”</w:t>
      </w:r>
      <w:r>
        <w:rPr>
          <w:rFonts w:hint="eastAsia" w:ascii="宋体" w:hAnsi="宋体" w:cs="宋体"/>
          <w:sz w:val="32"/>
          <w:szCs w:val="32"/>
          <w:lang w:val="en-US" w:eastAsia="zh-CN"/>
        </w:rPr>
        <w:t>、“两节两会”</w:t>
      </w:r>
      <w:r>
        <w:rPr>
          <w:rFonts w:hint="eastAsia" w:ascii="宋体" w:hAnsi="宋体" w:cs="宋体"/>
          <w:sz w:val="32"/>
          <w:szCs w:val="32"/>
        </w:rPr>
        <w:t>等重大敏感节点的大局维定；2、开展全区扫黑除恶工作，完成部督、省督目标案件任务；3、进一步规范执法能力建设</w:t>
      </w:r>
      <w:r>
        <w:rPr>
          <w:rFonts w:hint="eastAsia" w:ascii="宋体" w:hAnsi="宋体" w:cs="宋体"/>
          <w:sz w:val="32"/>
          <w:szCs w:val="32"/>
          <w:lang w:eastAsia="zh-CN"/>
        </w:rPr>
        <w:t>；</w:t>
      </w:r>
      <w:r>
        <w:rPr>
          <w:rFonts w:hint="eastAsia" w:ascii="宋体" w:hAnsi="宋体" w:cs="宋体"/>
          <w:sz w:val="32"/>
          <w:szCs w:val="32"/>
        </w:rPr>
        <w:t>4、扎实做好城市快警工作，深入推进重点地区禁毒整治工作成效；5、加强公安民警业务装备配置；</w:t>
      </w:r>
      <w:r>
        <w:rPr>
          <w:rFonts w:hint="eastAsia" w:ascii="宋体" w:hAnsi="宋体" w:cs="宋体"/>
          <w:sz w:val="32"/>
          <w:szCs w:val="32"/>
          <w:lang w:val="en-US" w:eastAsia="zh-CN"/>
        </w:rPr>
        <w:t>6、开展长江大保护专项行动；7、开展“净风”系列专项打击整治行动</w:t>
      </w:r>
      <w:r>
        <w:rPr>
          <w:rFonts w:hint="eastAsia" w:ascii="宋体" w:hAnsi="宋体" w:cs="宋体"/>
          <w:sz w:val="32"/>
          <w:szCs w:val="32"/>
        </w:rPr>
        <w:t>。</w:t>
      </w:r>
    </w:p>
    <w:p w14:paraId="09F0E3BB">
      <w:p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（二）完成情况：</w:t>
      </w:r>
    </w:p>
    <w:p w14:paraId="044C6ED7">
      <w:p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圆满完成绩效目标任务，完成率100%。</w:t>
      </w:r>
    </w:p>
    <w:p w14:paraId="4C893FFC">
      <w:pPr>
        <w:numPr>
          <w:ilvl w:val="0"/>
          <w:numId w:val="3"/>
        </w:num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数量指标：</w:t>
      </w:r>
    </w:p>
    <w:p w14:paraId="2A8EF38A">
      <w:pPr>
        <w:numPr>
          <w:ilvl w:val="0"/>
          <w:numId w:val="4"/>
        </w:num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刑事案件发案数同比</w:t>
      </w:r>
      <w:r>
        <w:rPr>
          <w:rFonts w:hint="eastAsia" w:ascii="宋体" w:hAnsi="宋体" w:cs="宋体"/>
          <w:sz w:val="32"/>
          <w:szCs w:val="32"/>
          <w:lang w:eastAsia="zh-CN"/>
        </w:rPr>
        <w:t>2023</w:t>
      </w:r>
      <w:r>
        <w:rPr>
          <w:rFonts w:hint="eastAsia" w:ascii="宋体" w:hAnsi="宋体" w:cs="宋体"/>
          <w:sz w:val="32"/>
          <w:szCs w:val="32"/>
        </w:rPr>
        <w:t>年下降3%以上，</w:t>
      </w:r>
    </w:p>
    <w:p w14:paraId="42373DE8">
      <w:pPr>
        <w:numPr>
          <w:ilvl w:val="0"/>
          <w:numId w:val="4"/>
        </w:num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破案率本地百名民警数之比达到前3年全省或全市平均值。</w:t>
      </w:r>
    </w:p>
    <w:p w14:paraId="2B8CA096">
      <w:pPr>
        <w:numPr>
          <w:ilvl w:val="0"/>
          <w:numId w:val="0"/>
        </w:num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（3）快捷有效的办理了二代证及出入境证，"三实信息"采集率90%，群众满意度高。</w:t>
      </w:r>
    </w:p>
    <w:p w14:paraId="04FBB36D">
      <w:p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2、质量指标：</w:t>
      </w:r>
    </w:p>
    <w:p w14:paraId="0EBD871F">
      <w:p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（1）辖区社会治安稳定和公众安全感提升</w:t>
      </w:r>
    </w:p>
    <w:p w14:paraId="4823889A">
      <w:p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（2）公众对公安机关提供服务的满意度提高</w:t>
      </w:r>
    </w:p>
    <w:p w14:paraId="21B030BC">
      <w:p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（3）时效指标：年度考核</w:t>
      </w:r>
    </w:p>
    <w:p w14:paraId="0559435F">
      <w:p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3、成本指标：</w:t>
      </w:r>
    </w:p>
    <w:p w14:paraId="276B7C9F">
      <w:pPr>
        <w:spacing w:beforeLines="0" w:afterLines="0"/>
        <w:ind w:firstLine="640" w:firstLineChars="20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落实整体支出目标值：按业务需要，</w:t>
      </w:r>
      <w:r>
        <w:rPr>
          <w:rFonts w:hint="eastAsia" w:ascii="宋体" w:hAnsi="宋体" w:cs="宋体"/>
          <w:sz w:val="32"/>
          <w:szCs w:val="32"/>
          <w:lang w:eastAsia="zh-CN"/>
        </w:rPr>
        <w:t>2023</w:t>
      </w:r>
      <w:r>
        <w:rPr>
          <w:rFonts w:hint="eastAsia" w:ascii="宋体" w:hAnsi="宋体" w:cs="宋体"/>
          <w:sz w:val="32"/>
          <w:szCs w:val="32"/>
        </w:rPr>
        <w:t>年度我局严格按公安保障标准执行，切实保障业务工作需要。</w:t>
      </w:r>
    </w:p>
    <w:p w14:paraId="35A0F202">
      <w:p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4、效益指标完成情况分析</w:t>
      </w:r>
    </w:p>
    <w:p w14:paraId="621E4E9D">
      <w:pPr>
        <w:spacing w:beforeLines="0" w:afterLines="0"/>
        <w:ind w:firstLine="640" w:firstLineChars="20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（1）社会效益。社会治安总体良好，综合治理有效，环境改善，群众满意度全面提高。</w:t>
      </w:r>
    </w:p>
    <w:p w14:paraId="3ABFCE95">
      <w:pPr>
        <w:spacing w:beforeLines="0" w:afterLines="0"/>
        <w:ind w:firstLine="640" w:firstLineChars="20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（2）生态效益。项目实施无污染目标值：无污染.，项目均按国家环保标志实施，未发现污染，未收到投诉。</w:t>
      </w:r>
    </w:p>
    <w:p w14:paraId="7A3BC236">
      <w:pPr>
        <w:spacing w:beforeLines="0" w:afterLines="0"/>
        <w:ind w:firstLine="640" w:firstLineChars="20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（3）可持续影响。公安警调工作投诉率达标目标值：不高于3%.，我局警务满意率水平良好，民警服务意识强，给群众留下了良好的形象，</w:t>
      </w:r>
      <w:r>
        <w:rPr>
          <w:rFonts w:hint="eastAsia" w:ascii="宋体" w:hAnsi="宋体" w:cs="宋体"/>
          <w:sz w:val="32"/>
          <w:szCs w:val="32"/>
          <w:lang w:eastAsia="zh-CN"/>
        </w:rPr>
        <w:t>2023</w:t>
      </w:r>
      <w:r>
        <w:rPr>
          <w:rFonts w:hint="eastAsia" w:ascii="宋体" w:hAnsi="宋体" w:cs="宋体"/>
          <w:sz w:val="32"/>
          <w:szCs w:val="32"/>
        </w:rPr>
        <w:t>年度，警调满意度提升。</w:t>
      </w:r>
    </w:p>
    <w:p w14:paraId="7CDC8E80">
      <w:pPr>
        <w:spacing w:beforeLines="0" w:afterLines="0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</w:rPr>
        <w:t>（4）满意度指标完成情况分析。满意率达标目标值：满意率95%以上.。</w:t>
      </w:r>
    </w:p>
    <w:p w14:paraId="1FBEF857">
      <w:pPr>
        <w:spacing w:beforeLines="0" w:afterLines="0" w:line="360" w:lineRule="auto"/>
        <w:jc w:val="left"/>
        <w:rPr>
          <w:rFonts w:hint="eastAsia" w:ascii="宋体" w:hAnsi="宋体" w:cs="宋体"/>
          <w:b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b/>
          <w:sz w:val="32"/>
          <w:szCs w:val="32"/>
          <w:shd w:val="clear" w:color="auto" w:fill="FFFFFF"/>
          <w:lang w:val="en-US" w:eastAsia="zh-CN"/>
        </w:rPr>
        <w:t>四</w:t>
      </w:r>
      <w:r>
        <w:rPr>
          <w:rFonts w:hint="eastAsia" w:ascii="宋体" w:hAnsi="宋体" w:cs="宋体"/>
          <w:b/>
          <w:sz w:val="32"/>
          <w:szCs w:val="32"/>
          <w:shd w:val="clear" w:color="auto" w:fill="FFFFFF"/>
        </w:rPr>
        <w:t>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存在的问题及原因分析</w:t>
      </w:r>
    </w:p>
    <w:p w14:paraId="6987C509"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一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eastAsia="zh-CN"/>
        </w:rPr>
        <w:t>）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基础建设欠账较多，经费保障不足。</w:t>
      </w:r>
    </w:p>
    <w:p w14:paraId="0E7B7627"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我局19个派出所，大部分派出所都是80、90年代建成的业务用房，有的一直无产权，甚至是租用借用房产，已无法满足新时期公安工作需要。按照公安部三年行动计划，每年需完成3个以上派出所建设任务，近两年，我局完成了龙山派出所建设、枫桥湖派出所建设、警用培训楼建设、洛王派出所选址立项报建，下一步，准备启动岳阳楼派出所建设等，每个派出所</w:t>
      </w:r>
      <w:r>
        <w:rPr>
          <w:rFonts w:hint="eastAsia" w:ascii="宋体" w:hAnsi="宋体" w:cs="宋体"/>
          <w:sz w:val="32"/>
          <w:szCs w:val="32"/>
          <w:highlight w:val="none"/>
          <w:shd w:val="clear" w:color="auto" w:fill="FFFFFF"/>
          <w:lang w:val="en-US" w:eastAsia="zh-CN"/>
        </w:rPr>
        <w:t>建设需约经费1500万元，大部分资金需我局自筹，造成我局经费严重不足。</w:t>
      </w:r>
    </w:p>
    <w:p w14:paraId="763A93E4"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（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二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）公安办案经费保障不足，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难以确保正常运转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。近年来，公安办案开支急剧增加，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eastAsia="zh-CN"/>
        </w:rPr>
        <w:t>2023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年我局较上年的业务办案经费增幅较大。究其原因：一是随着新法律法规的的实施，对办案证据要求更高，办案时间跨度更大，使办案成本开支增加很大；二是随着犯罪嫌疑人流动性的增加，尤其是公安部、省、市督办的大、要案，跨境、跨省的案件，需要要到外省取证或抓捕犯罪嫌疑人，由于办案费的提标、以及物价上升等各种原因，导致办案开支快速增加；三是对办案现场勘查要求的提高、物证保全要求的提高，对犯罪嫌疑人信息的采集、对犯罪嫌疑人身体检查费用等等办案开支增长较快。我局只有通过压缩日常办公经费开支，来弥补办案经费。</w:t>
      </w:r>
    </w:p>
    <w:p w14:paraId="5C3C8C28">
      <w:pPr>
        <w:spacing w:beforeLines="0" w:afterLines="0" w:line="360" w:lineRule="auto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b/>
          <w:sz w:val="32"/>
          <w:szCs w:val="32"/>
          <w:shd w:val="clear" w:color="auto" w:fill="FFFFFF"/>
          <w:lang w:val="en-US" w:eastAsia="zh-CN"/>
        </w:rPr>
        <w:t>五</w:t>
      </w:r>
      <w:r>
        <w:rPr>
          <w:rFonts w:hint="eastAsia" w:ascii="宋体" w:hAnsi="宋体" w:cs="宋体"/>
          <w:b/>
          <w:sz w:val="32"/>
          <w:szCs w:val="32"/>
          <w:shd w:val="clear" w:color="auto" w:fill="FFFFFF"/>
        </w:rPr>
        <w:t>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下一步改进措施</w:t>
      </w:r>
    </w:p>
    <w:p w14:paraId="2E654F53"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（一）建议市财政局加大对我局派出所建设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广济医院监管病区嫌疑人治疗费用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等项目的预算保障，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以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适当缓解我局经费压力，使我局更好地履行职责，维护稳定，为创建“平安岳阳”服务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以切实支撑项目实现预定目标。</w:t>
      </w:r>
    </w:p>
    <w:p w14:paraId="5130A8B6"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（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eastAsia="zh-CN"/>
        </w:rPr>
        <w:t>二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）建议市财政局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在一般案件罚没款能及时返还，建议一个季度返还一次。另外在重大网络赌博等案件上的返还比例，能参照市公安局的政策按100%的比例返还。</w:t>
      </w:r>
    </w:p>
    <w:p w14:paraId="085D9377">
      <w:pPr>
        <w:spacing w:beforeLines="0" w:afterLines="0" w:line="360" w:lineRule="auto"/>
        <w:rPr>
          <w:rFonts w:hint="eastAsia" w:ascii="宋体" w:hAnsi="宋体" w:cs="宋体"/>
          <w:b/>
          <w:bCs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shd w:val="clear" w:color="auto" w:fill="FFFFFF"/>
          <w:lang w:val="en-US" w:eastAsia="zh-CN"/>
        </w:rPr>
        <w:t>六、部门整体支出绩效自评结果拟应用和公开情况其他需要说明的情况</w:t>
      </w:r>
    </w:p>
    <w:p w14:paraId="68475B50">
      <w:pPr>
        <w:spacing w:beforeLines="0" w:afterLines="0" w:line="360" w:lineRule="auto"/>
        <w:ind w:firstLine="640" w:firstLineChars="200"/>
        <w:rPr>
          <w:rFonts w:hint="default" w:ascii="宋体" w:hAnsi="宋体" w:cs="宋体"/>
          <w:b w:val="0"/>
          <w:bCs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32"/>
          <w:szCs w:val="32"/>
          <w:shd w:val="clear" w:color="auto" w:fill="FFFFFF"/>
          <w:lang w:val="en-US" w:eastAsia="zh-CN"/>
        </w:rPr>
        <w:t>本年度部门整体支出绩效自评结果按财政要求在公安门户予以公开。</w:t>
      </w:r>
    </w:p>
    <w:p w14:paraId="30DF6372">
      <w:pPr>
        <w:spacing w:beforeLines="0" w:afterLines="0"/>
        <w:rPr>
          <w:rFonts w:hint="default"/>
          <w:sz w:val="21"/>
          <w:szCs w:val="22"/>
        </w:rPr>
      </w:pPr>
    </w:p>
    <w:p w14:paraId="6A8A6CF5"/>
    <w:p w14:paraId="4DD90C40"/>
    <w:p w14:paraId="376FCD1C"/>
    <w:p w14:paraId="13F40253"/>
    <w:p w14:paraId="379FF2C7"/>
    <w:p w14:paraId="551ED03F"/>
    <w:p w14:paraId="1CA86AEC"/>
    <w:p w14:paraId="27CC6DBD"/>
    <w:p w14:paraId="25736092"/>
    <w:p w14:paraId="3DC01BDC"/>
    <w:p w14:paraId="02888FFD"/>
    <w:p w14:paraId="1A2CE694"/>
    <w:p w14:paraId="6BFF4E0A"/>
    <w:p w14:paraId="1F78A532"/>
    <w:p w14:paraId="0A948FCA">
      <w:bookmarkStart w:id="0" w:name="_GoBack"/>
      <w:bookmarkEnd w:id="0"/>
    </w:p>
    <w:p w14:paraId="1E5C8F3F"/>
    <w:p w14:paraId="5D30D8C2"/>
    <w:p w14:paraId="16E174A1"/>
    <w:p w14:paraId="4C27A92C"/>
    <w:p w14:paraId="4530CBF1"/>
    <w:p w14:paraId="14B39787"/>
    <w:p w14:paraId="1CD28623"/>
    <w:p w14:paraId="3DE761FE"/>
    <w:p w14:paraId="712F070C"/>
    <w:p w14:paraId="10CD9A10"/>
    <w:p w14:paraId="731EA51F"/>
    <w:p w14:paraId="0AE2187A"/>
    <w:p w14:paraId="09FD3DC8">
      <w:pPr>
        <w:spacing w:after="120" w:afterLines="50" w:line="600" w:lineRule="exact"/>
        <w:jc w:val="both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1</w:t>
      </w:r>
    </w:p>
    <w:p w14:paraId="24EE3C33">
      <w:pPr>
        <w:spacing w:after="120" w:afterLines="50" w:line="600" w:lineRule="exact"/>
        <w:jc w:val="center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202</w:t>
      </w: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年度部门整体支出绩效评价基础数据表</w:t>
      </w:r>
    </w:p>
    <w:tbl>
      <w:tblPr>
        <w:tblStyle w:val="2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 w14:paraId="7CA890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34BFE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7E83D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298B7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D1B7E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控制率</w:t>
            </w:r>
          </w:p>
        </w:tc>
      </w:tr>
      <w:tr w14:paraId="6869CE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E2D03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0F94C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540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E3C4F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523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E6220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96.85%</w:t>
            </w:r>
          </w:p>
        </w:tc>
      </w:tr>
      <w:tr w14:paraId="013732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4F79A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8CA685D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eastAsia="zh-CN"/>
              </w:rPr>
              <w:t>2023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CC87CE8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C2C073A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</w:tr>
      <w:tr w14:paraId="75BA7A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E2A56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028BFB7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388.09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D054991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469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5250640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314.4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 w14:paraId="36426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6350B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FE45BFD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387.24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A617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C00F9A1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314.07</w:t>
            </w:r>
          </w:p>
        </w:tc>
      </w:tr>
      <w:tr w14:paraId="42F70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04C75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8F2B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139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4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76A0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BC2C848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106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33</w:t>
            </w:r>
          </w:p>
        </w:tc>
      </w:tr>
      <w:tr w14:paraId="5846D8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CA5B5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49E608E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247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30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0B48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99B5332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207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74</w:t>
            </w:r>
          </w:p>
        </w:tc>
      </w:tr>
      <w:tr w14:paraId="77C781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D9195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83AF93A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BE84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A24CCE8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 w14:paraId="447372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7D23D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4B3C4FB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0.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8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2EEE09E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DD282AC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0.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</w:tr>
      <w:tr w14:paraId="39DB1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AEB0C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2D79C0F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1836.79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1A7D17C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1395.9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DBB7B81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6170.62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 w14:paraId="4F3954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DA9F0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01B9385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1634.59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E22F2FD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5DC181B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1793.85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 w14:paraId="13346E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E9E42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4C1E1A3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202.2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434AF19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DA7067E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2220.11</w:t>
            </w:r>
          </w:p>
        </w:tc>
      </w:tr>
      <w:tr w14:paraId="7036E0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31299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3、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  <w:t>市级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5CA21AB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4930446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1395.9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8A86C7F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6170.62</w:t>
            </w:r>
          </w:p>
        </w:tc>
      </w:tr>
      <w:tr w14:paraId="61ED44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66394">
            <w:pPr>
              <w:widowControl/>
              <w:spacing w:line="360" w:lineRule="exact"/>
              <w:ind w:firstLine="600" w:firstLineChars="30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人民警察加班执勤津贴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7C66697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D1DBDD6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691.2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3E84F60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1222.41</w:t>
            </w:r>
          </w:p>
        </w:tc>
      </w:tr>
      <w:tr w14:paraId="22E888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AC193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乡镇派出所民警工作津贴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E830D1B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D742628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12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55CA1A2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12</w:t>
            </w:r>
          </w:p>
        </w:tc>
      </w:tr>
      <w:tr w14:paraId="1BCA93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1C4DE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电子监控维护费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D60F456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7EE0E85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55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F7498AD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51.21</w:t>
            </w:r>
          </w:p>
        </w:tc>
      </w:tr>
      <w:tr w14:paraId="30A138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1A818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中央政法转移支付办案费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89B2E6F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9AEF9E5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637.7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EC5F442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871.04</w:t>
            </w:r>
          </w:p>
        </w:tc>
      </w:tr>
      <w:tr w14:paraId="3EBEA9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5B30C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F84D77D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1327.49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DE9C2ED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409.77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F631793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402.89</w:t>
            </w:r>
          </w:p>
        </w:tc>
      </w:tr>
      <w:tr w14:paraId="15CF19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F4707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3A5F3BA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166.27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E5AAF5B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208.27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498996D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203.8</w:t>
            </w:r>
          </w:p>
        </w:tc>
      </w:tr>
      <w:tr w14:paraId="6CFEA4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BAB5B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83B10A4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148.13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E320B99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201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CF4D99A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193.66</w:t>
            </w:r>
          </w:p>
        </w:tc>
      </w:tr>
      <w:tr w14:paraId="4ED031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4C09F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699425E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2.57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F9BEFB4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0.5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AABAD9B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5.43</w:t>
            </w:r>
          </w:p>
        </w:tc>
      </w:tr>
      <w:tr w14:paraId="342D6C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8E4AF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104C983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477.27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24FAA30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781.26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264A6EF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634.58</w:t>
            </w:r>
          </w:p>
        </w:tc>
      </w:tr>
      <w:tr w14:paraId="5F4C73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EE072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8BBFCCC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11019.05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D37617C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9409.47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7384D48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13028.71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 w14:paraId="2666DC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6BBBE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楼堂馆所控制情况</w:t>
            </w:r>
          </w:p>
          <w:p w14:paraId="07E97942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（202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A17B5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批复规模</w:t>
            </w:r>
          </w:p>
          <w:p w14:paraId="615B98E3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（㎡）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A28B5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实际规模（㎡）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62116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6B456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3522C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00303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投资概算控制率</w:t>
            </w:r>
          </w:p>
        </w:tc>
      </w:tr>
      <w:tr w14:paraId="64BD6F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D1C85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83D8E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11416.52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C28AF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11416.52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FDF49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100%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69743">
            <w:pPr>
              <w:widowControl/>
              <w:spacing w:line="360" w:lineRule="exact"/>
              <w:jc w:val="left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4169.97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44B9D">
            <w:pPr>
              <w:widowControl/>
              <w:spacing w:line="360" w:lineRule="exact"/>
              <w:jc w:val="left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4169.97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A09AD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100%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 w14:paraId="3595A0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48F51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AA5DF30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严格落实中央八项规定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</w:tbl>
    <w:p w14:paraId="2C6EAD73"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  <w:highlight w:val="none"/>
        </w:rPr>
      </w:pPr>
      <w:r>
        <w:rPr>
          <w:rFonts w:hint="default" w:ascii="Times New Roman" w:hAnsi="Times New Roman" w:eastAsia="仿宋_GB2312" w:cs="Times New Roman"/>
          <w:sz w:val="22"/>
          <w:highlight w:val="none"/>
        </w:rPr>
        <w:t>说明：“项目支出”需要填报基本支出以外的所有项目支出情况，“公用经费”填报基本支出中的一般商品和服务支出。</w:t>
      </w:r>
    </w:p>
    <w:p w14:paraId="4608548E"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  <w:highlight w:val="none"/>
        </w:rPr>
      </w:pPr>
    </w:p>
    <w:p w14:paraId="26FC32FA">
      <w:pPr>
        <w:widowControl/>
        <w:spacing w:after="0" w:afterLines="0" w:line="400" w:lineRule="exact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羿丽诗</w:t>
      </w: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  填报日期：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>2024年6月30日</w:t>
      </w: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  联系电话：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>8823029</w:t>
      </w: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 单位负责人签字：</w:t>
      </w:r>
      <w:r>
        <w:rPr>
          <w:rFonts w:hint="default" w:ascii="Times New Roman" w:hAnsi="Times New Roman" w:eastAsia="仿宋_GB2312" w:cs="Times New Roman"/>
          <w:sz w:val="22"/>
          <w:szCs w:val="22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 w14:paraId="0A33AEF2">
      <w:pPr>
        <w:widowControl/>
        <w:spacing w:after="120" w:afterLines="50"/>
        <w:jc w:val="center"/>
        <w:rPr>
          <w:rFonts w:hint="eastAsia" w:ascii="仿宋" w:hAnsi="仿宋" w:eastAsia="仿宋" w:cs="仿宋"/>
          <w:b/>
          <w:bCs/>
          <w:color w:val="000000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color w:val="000000"/>
          <w:sz w:val="36"/>
          <w:szCs w:val="36"/>
        </w:rPr>
        <w:t>202</w:t>
      </w:r>
      <w:r>
        <w:rPr>
          <w:rFonts w:hint="eastAsia" w:ascii="仿宋" w:hAnsi="仿宋" w:eastAsia="仿宋" w:cs="仿宋"/>
          <w:b/>
          <w:bCs/>
          <w:color w:val="000000"/>
          <w:sz w:val="36"/>
          <w:szCs w:val="36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color w:val="000000"/>
          <w:sz w:val="36"/>
          <w:szCs w:val="36"/>
        </w:rPr>
        <w:t>年度部门整体支出绩效自评表</w:t>
      </w:r>
    </w:p>
    <w:tbl>
      <w:tblPr>
        <w:tblStyle w:val="2"/>
        <w:tblW w:w="103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041"/>
        <w:gridCol w:w="1023"/>
        <w:gridCol w:w="1848"/>
        <w:gridCol w:w="1620"/>
        <w:gridCol w:w="1020"/>
        <w:gridCol w:w="528"/>
        <w:gridCol w:w="816"/>
        <w:gridCol w:w="1369"/>
      </w:tblGrid>
      <w:tr w14:paraId="081F26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2952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级预算部门名称</w:t>
            </w:r>
          </w:p>
        </w:tc>
        <w:tc>
          <w:tcPr>
            <w:tcW w:w="926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E108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岳阳市公安局岳阳楼分局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231A41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9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7433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年度预</w:t>
            </w:r>
          </w:p>
          <w:p w14:paraId="64A552F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算申请</w:t>
            </w:r>
          </w:p>
          <w:p w14:paraId="6F3AD7C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A3BA7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5AC66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年初预算数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AB535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全年预算数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A4E51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全年执行数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1340D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分值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09A72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执行率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F3AB0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得分</w:t>
            </w:r>
          </w:p>
        </w:tc>
      </w:tr>
      <w:tr w14:paraId="2C6DB2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1094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B945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F1B59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年度资金总额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9601B"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10805.37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596DF"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20659.8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E216C"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20641.8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5D1F1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00AE7"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99.91%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EA8B5"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9.99</w:t>
            </w:r>
          </w:p>
        </w:tc>
      </w:tr>
      <w:tr w14:paraId="6DEEE4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10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6EA0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BBA0E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按收入性质分：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20659.8</w:t>
            </w:r>
          </w:p>
        </w:tc>
        <w:tc>
          <w:tcPr>
            <w:tcW w:w="373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2ED42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按支出性质分：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20641.8</w:t>
            </w:r>
          </w:p>
        </w:tc>
      </w:tr>
      <w:tr w14:paraId="38CFCF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10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3B69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A2781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 xml:space="preserve">  其中：  一般公共预算：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17964.93</w:t>
            </w:r>
          </w:p>
        </w:tc>
        <w:tc>
          <w:tcPr>
            <w:tcW w:w="373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CD2EA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其中：基本支出：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15546.61</w:t>
            </w:r>
          </w:p>
        </w:tc>
      </w:tr>
      <w:tr w14:paraId="602FAF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10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BC9C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A54EA">
            <w:pPr>
              <w:widowControl/>
              <w:spacing w:line="240" w:lineRule="exact"/>
              <w:ind w:firstLine="800" w:firstLineChars="4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政府性基金拨款：</w:t>
            </w:r>
          </w:p>
        </w:tc>
        <w:tc>
          <w:tcPr>
            <w:tcW w:w="373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8FC35">
            <w:pPr>
              <w:widowControl/>
              <w:spacing w:line="240" w:lineRule="exact"/>
              <w:ind w:firstLine="600" w:firstLineChars="30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项目支出：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5095.19</w:t>
            </w:r>
          </w:p>
        </w:tc>
      </w:tr>
      <w:tr w14:paraId="3D3BF8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10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88B0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D1F9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纳入专户管理的非税收入拨款：</w:t>
            </w:r>
          </w:p>
        </w:tc>
        <w:tc>
          <w:tcPr>
            <w:tcW w:w="373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652F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109CCD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1094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1AA25C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87C42">
            <w:pPr>
              <w:widowControl/>
              <w:spacing w:line="240" w:lineRule="exact"/>
              <w:ind w:firstLine="1400" w:firstLineChars="70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其他资金：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2694.83</w:t>
            </w:r>
          </w:p>
        </w:tc>
        <w:tc>
          <w:tcPr>
            <w:tcW w:w="373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2FA6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0E333A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109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D05F42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55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EC576C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37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B4C7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实际完成情况　</w:t>
            </w:r>
          </w:p>
        </w:tc>
      </w:tr>
      <w:tr w14:paraId="0E9B9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0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112F64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5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94826B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社会治安总体良好，综合治理有效，环境改善，群众满意度全面提高、安全感全面提升；</w:t>
            </w:r>
          </w:p>
        </w:tc>
        <w:tc>
          <w:tcPr>
            <w:tcW w:w="37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BB79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已完成</w:t>
            </w:r>
          </w:p>
        </w:tc>
      </w:tr>
      <w:tr w14:paraId="0A91DA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09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D093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绩</w:t>
            </w:r>
          </w:p>
          <w:p w14:paraId="37A15A4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</w:t>
            </w:r>
          </w:p>
          <w:p w14:paraId="2A1A9A2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</w:t>
            </w:r>
          </w:p>
          <w:p w14:paraId="634BB45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标</w:t>
            </w:r>
          </w:p>
          <w:p w14:paraId="4FC78DB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04B4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E213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713C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C4D31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BE700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E2BA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C484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B348E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偏差原因分析及改进措施</w:t>
            </w:r>
          </w:p>
        </w:tc>
      </w:tr>
      <w:tr w14:paraId="09E742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1" w:hRule="atLeast"/>
          <w:jc w:val="center"/>
        </w:trPr>
        <w:tc>
          <w:tcPr>
            <w:tcW w:w="10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5C6DA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3DC7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产出指标</w:t>
            </w:r>
          </w:p>
          <w:p w14:paraId="0278D86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 w14:paraId="138E1E4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分)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61D3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71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1、刑事案件发案数同比2021年下降2%以上；</w:t>
            </w:r>
          </w:p>
          <w:p w14:paraId="04C38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2、破案率本地百名民警数之比达到前3年全省或全市平均值。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4C99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发案数同比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2023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年下降2%。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EB88F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发案数同比2023年下降超过2%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97F14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0D35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4E42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6EE69B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atLeast"/>
          <w:jc w:val="center"/>
        </w:trPr>
        <w:tc>
          <w:tcPr>
            <w:tcW w:w="10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9C1B3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158C2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389B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5CB95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1、辖区社会治安稳定和公众安全感 2、公众对公安机关提供服务的满意度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D82E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1、民调指数公众安全感提升2、110测评和窗口服务测评提升。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DB95B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民调指数提升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0AC7A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567F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E6237A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城区分局民调很难达到满意目标值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" w:eastAsia="zh-CN"/>
              </w:rPr>
              <w:t>，持续开展专项行动。</w:t>
            </w:r>
          </w:p>
        </w:tc>
      </w:tr>
      <w:tr w14:paraId="146803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10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43789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FF96A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EA77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6EA41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考评年度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8FB2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1年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3F9A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0E037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ADE8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7CE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51D88B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10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6EEDF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FD2E8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B14C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成本指标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44605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经济成本指标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5786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控制预算经费内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FDED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在预算内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60D38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0E97C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C92A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44BC7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BB90C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4FAA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效益指标</w:t>
            </w:r>
          </w:p>
          <w:p w14:paraId="1154CDF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 w14:paraId="18A9FD9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（30分）</w:t>
            </w:r>
          </w:p>
          <w:p w14:paraId="3A02514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69D5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经济效</w:t>
            </w:r>
          </w:p>
          <w:p w14:paraId="3744311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89C03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反向促进经济发展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FD7F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经济平稳发展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E8B93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经济平稳发展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5968D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5BA7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6C22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7E4B01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10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CFD55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F3698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0471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社会效</w:t>
            </w:r>
          </w:p>
          <w:p w14:paraId="6479440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88993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社会治安总体良好，综合治理有效，环境改善，群众满意度全面提高。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45F1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民调提升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9DFE3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民调提升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5341B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0E75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CE461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无法达到所有人满意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" w:eastAsia="zh-CN"/>
              </w:rPr>
              <w:t>，持续开展综合治理。</w:t>
            </w:r>
          </w:p>
        </w:tc>
      </w:tr>
      <w:tr w14:paraId="622733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0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AEE5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345C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4AC0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A527A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小康建设，辖区居民安居乐业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649C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公众安全感提升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D357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公众安全感提升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A11B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2151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D299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无法达到所有人满意</w:t>
            </w:r>
          </w:p>
        </w:tc>
      </w:tr>
      <w:tr w14:paraId="246254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10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E808C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B98B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满意度</w:t>
            </w:r>
          </w:p>
          <w:p w14:paraId="6A9E413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指标</w:t>
            </w:r>
          </w:p>
          <w:p w14:paraId="3F2DA9D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DD14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BF5E1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1:快捷有效的办理了二代证及出入境证，群众满意度高。</w:t>
            </w:r>
          </w:p>
          <w:p w14:paraId="6514B5F2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2:社会公众对社会治安，综合治理方面满意度全面提升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EAFC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民调满意度提升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5A3C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民调满意度提升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2AE26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3A62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A80E2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无法达到所有人满意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" w:eastAsia="zh-CN"/>
              </w:rPr>
              <w:t>，不断提升服务水平和服务质量。</w:t>
            </w:r>
          </w:p>
        </w:tc>
      </w:tr>
      <w:tr w14:paraId="60E447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76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6EE203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8271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4FBA3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94.99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0933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</w:tbl>
    <w:p w14:paraId="01E00583">
      <w:r>
        <w:rPr>
          <w:rFonts w:hint="default" w:ascii="Times New Roman" w:hAnsi="Times New Roman" w:eastAsia="仿宋_GB2312" w:cs="Times New Roman"/>
          <w:sz w:val="22"/>
          <w:szCs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羿丽诗</w:t>
      </w: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  填报日期：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>2024年6月30日</w:t>
      </w: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  联系电话：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>8823029</w:t>
      </w: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 单位负责人签字：</w:t>
      </w:r>
      <w:r>
        <w:rPr>
          <w:rFonts w:hint="default" w:ascii="Times New Roman" w:hAnsi="Times New Roman" w:eastAsia="仿宋_GB2312" w:cs="Times New Roman"/>
          <w:sz w:val="22"/>
          <w:szCs w:val="2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47DD89"/>
    <w:multiLevelType w:val="multilevel"/>
    <w:tmpl w:val="8847DD89"/>
    <w:lvl w:ilvl="0" w:tentative="0">
      <w:start w:val="1"/>
      <w:numFmt w:val="decimal"/>
      <w:suff w:val="nothing"/>
      <w:lvlText w:val="（%1）"/>
      <w:lvlJc w:val="left"/>
      <w:rPr>
        <w:rFonts w:hint="default"/>
        <w:u w:val="none" w:color="auto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abstractNum w:abstractNumId="1">
    <w:nsid w:val="88CEAEAB"/>
    <w:multiLevelType w:val="multilevel"/>
    <w:tmpl w:val="88CEAEAB"/>
    <w:lvl w:ilvl="0" w:tentative="0">
      <w:start w:val="1"/>
      <w:numFmt w:val="chineseCounting"/>
      <w:suff w:val="nothing"/>
      <w:lvlText w:val="（%1）"/>
      <w:lvlJc w:val="left"/>
      <w:rPr>
        <w:rFonts w:hint="default"/>
        <w:u w:val="none" w:color="auto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abstractNum w:abstractNumId="2">
    <w:nsid w:val="F35E4378"/>
    <w:multiLevelType w:val="singleLevel"/>
    <w:tmpl w:val="F35E437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F9F4D3AE"/>
    <w:multiLevelType w:val="multilevel"/>
    <w:tmpl w:val="F9F4D3AE"/>
    <w:lvl w:ilvl="0" w:tentative="0">
      <w:start w:val="1"/>
      <w:numFmt w:val="decimal"/>
      <w:suff w:val="nothing"/>
      <w:lvlText w:val="%1、"/>
      <w:lvlJc w:val="left"/>
      <w:rPr>
        <w:rFonts w:hint="default"/>
        <w:u w:val="none" w:color="auto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lMGM4N2Q2MDE3Y2JkMTEwMmU3ZGUxY2EzOTAzOTUifQ=="/>
  </w:docVars>
  <w:rsids>
    <w:rsidRoot w:val="00000000"/>
    <w:rsid w:val="04571835"/>
    <w:rsid w:val="0D20446B"/>
    <w:rsid w:val="0D3137BF"/>
    <w:rsid w:val="161A69FF"/>
    <w:rsid w:val="1A9D330A"/>
    <w:rsid w:val="23A85D79"/>
    <w:rsid w:val="282640F2"/>
    <w:rsid w:val="2852419D"/>
    <w:rsid w:val="2EEC5119"/>
    <w:rsid w:val="42BA2D50"/>
    <w:rsid w:val="477D76CD"/>
    <w:rsid w:val="4CD45E56"/>
    <w:rsid w:val="54332825"/>
    <w:rsid w:val="58AA5DF0"/>
    <w:rsid w:val="66CF3A0D"/>
    <w:rsid w:val="70E81564"/>
    <w:rsid w:val="74630481"/>
    <w:rsid w:val="7F993043"/>
    <w:rsid w:val="AFD3D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2987</Words>
  <Characters>3266</Characters>
  <Lines>0</Lines>
  <Paragraphs>0</Paragraphs>
  <TotalTime>0</TotalTime>
  <ScaleCrop>false</ScaleCrop>
  <LinksUpToDate>false</LinksUpToDate>
  <CharactersWithSpaces>3271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Administrator</cp:lastModifiedBy>
  <cp:lastPrinted>2023-06-14T16:57:00Z</cp:lastPrinted>
  <dcterms:modified xsi:type="dcterms:W3CDTF">2024-09-24T02:29:55Z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5B9A8EB71782454796A845B08DAC71EB_13</vt:lpwstr>
  </property>
</Properties>
</file>