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47B10">
      <w:pPr>
        <w:pStyle w:val="14"/>
        <w:jc w:val="center"/>
        <w:rPr>
          <w:sz w:val="56"/>
          <w:szCs w:val="56"/>
        </w:rPr>
      </w:pPr>
    </w:p>
    <w:p w14:paraId="79752692">
      <w:pPr>
        <w:pStyle w:val="14"/>
        <w:jc w:val="center"/>
        <w:rPr>
          <w:sz w:val="56"/>
          <w:szCs w:val="56"/>
        </w:rPr>
      </w:pPr>
    </w:p>
    <w:p w14:paraId="4234C3BD">
      <w:pPr>
        <w:pStyle w:val="14"/>
        <w:jc w:val="center"/>
        <w:rPr>
          <w:sz w:val="84"/>
          <w:szCs w:val="84"/>
        </w:rPr>
      </w:pPr>
    </w:p>
    <w:p w14:paraId="2FE35D8E">
      <w:pPr>
        <w:pStyle w:val="14"/>
        <w:jc w:val="center"/>
        <w:rPr>
          <w:sz w:val="84"/>
          <w:szCs w:val="84"/>
        </w:rPr>
      </w:pPr>
    </w:p>
    <w:p w14:paraId="28CD9131">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18B5230A">
      <w:pPr>
        <w:pStyle w:val="14"/>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岳阳市文化旅游广电局</w:t>
      </w:r>
    </w:p>
    <w:p w14:paraId="78F3D669">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491C2042">
      <w:pPr>
        <w:pStyle w:val="14"/>
        <w:jc w:val="center"/>
        <w:rPr>
          <w:rFonts w:hint="eastAsia" w:ascii="方正小标宋_GBK" w:hAnsi="方正小标宋_GBK" w:eastAsia="方正小标宋_GBK" w:cs="方正小标宋_GBK"/>
          <w:sz w:val="56"/>
          <w:szCs w:val="56"/>
        </w:rPr>
      </w:pPr>
    </w:p>
    <w:p w14:paraId="1BD55B42">
      <w:pPr>
        <w:pStyle w:val="14"/>
        <w:jc w:val="center"/>
        <w:rPr>
          <w:sz w:val="56"/>
          <w:szCs w:val="56"/>
        </w:rPr>
      </w:pPr>
    </w:p>
    <w:p w14:paraId="4D7936C8">
      <w:pPr>
        <w:pStyle w:val="14"/>
        <w:jc w:val="center"/>
        <w:rPr>
          <w:sz w:val="56"/>
          <w:szCs w:val="56"/>
        </w:rPr>
      </w:pPr>
    </w:p>
    <w:p w14:paraId="76E7E84E">
      <w:pPr>
        <w:pStyle w:val="14"/>
        <w:jc w:val="center"/>
        <w:rPr>
          <w:sz w:val="56"/>
          <w:szCs w:val="56"/>
        </w:rPr>
      </w:pPr>
    </w:p>
    <w:p w14:paraId="43B14199">
      <w:pPr>
        <w:pStyle w:val="14"/>
        <w:jc w:val="center"/>
        <w:rPr>
          <w:sz w:val="32"/>
          <w:szCs w:val="32"/>
        </w:rPr>
      </w:pPr>
    </w:p>
    <w:p w14:paraId="2DD29F1D">
      <w:pPr>
        <w:pStyle w:val="14"/>
        <w:jc w:val="center"/>
        <w:rPr>
          <w:sz w:val="32"/>
          <w:szCs w:val="32"/>
        </w:rPr>
      </w:pPr>
    </w:p>
    <w:p w14:paraId="00E44F5E">
      <w:pPr>
        <w:pStyle w:val="14"/>
        <w:spacing w:line="540" w:lineRule="exact"/>
        <w:jc w:val="both"/>
        <w:rPr>
          <w:sz w:val="56"/>
          <w:szCs w:val="56"/>
        </w:rPr>
      </w:pPr>
    </w:p>
    <w:p w14:paraId="524A06B9">
      <w:pPr>
        <w:pStyle w:val="14"/>
        <w:spacing w:line="500" w:lineRule="exact"/>
        <w:jc w:val="both"/>
        <w:rPr>
          <w:b/>
          <w:sz w:val="36"/>
          <w:szCs w:val="28"/>
        </w:rPr>
      </w:pPr>
    </w:p>
    <w:p w14:paraId="4C885250">
      <w:pPr>
        <w:pStyle w:val="14"/>
        <w:spacing w:line="500" w:lineRule="exact"/>
        <w:jc w:val="center"/>
        <w:rPr>
          <w:b/>
          <w:sz w:val="36"/>
          <w:szCs w:val="28"/>
        </w:rPr>
      </w:pPr>
      <w:r>
        <w:rPr>
          <w:rFonts w:hint="eastAsia"/>
          <w:b/>
          <w:sz w:val="36"/>
          <w:szCs w:val="28"/>
        </w:rPr>
        <w:t>目录</w:t>
      </w:r>
    </w:p>
    <w:p w14:paraId="56846091">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岳阳市文化旅游广电局</w:t>
      </w:r>
      <w:r>
        <w:rPr>
          <w:rFonts w:hint="eastAsia" w:ascii="黑体" w:hAnsi="黑体" w:eastAsia="黑体" w:cs="黑体"/>
          <w:b w:val="0"/>
          <w:bCs/>
          <w:sz w:val="28"/>
          <w:szCs w:val="28"/>
        </w:rPr>
        <w:t>概况</w:t>
      </w:r>
    </w:p>
    <w:p w14:paraId="7204C7A8">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41FA2264">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67D01A69">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6D835507">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67406A6B">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305EC7A0">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0D08F721">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119D752E">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50E9AA4E">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482E61BB">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7E1CF1AA">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39CCB232">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7B581C8C">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0BCFC327">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3C99E425">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17CBE9A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2D848AA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2C260ED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4F8CF33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2B41EB7F">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14:paraId="6DB3F7D7">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14:paraId="0B14A66C">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14:paraId="5C885D40">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571B8FEE">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5D39A582">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14:paraId="30D2AAE6">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14:paraId="5F529740">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39BD0252">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6A8602ED">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32F019A5">
      <w:pPr>
        <w:pStyle w:val="14"/>
        <w:jc w:val="center"/>
        <w:rPr>
          <w:rFonts w:hint="eastAsia" w:ascii="方正小标宋_GBK" w:hAnsi="方正小标宋_GBK" w:eastAsia="方正小标宋_GBK" w:cs="方正小标宋_GBK"/>
          <w:sz w:val="84"/>
          <w:szCs w:val="84"/>
        </w:rPr>
      </w:pPr>
    </w:p>
    <w:p w14:paraId="3EBC9AFD">
      <w:pPr>
        <w:pStyle w:val="14"/>
        <w:jc w:val="center"/>
        <w:rPr>
          <w:rFonts w:hint="eastAsia" w:ascii="方正小标宋_GBK" w:hAnsi="方正小标宋_GBK" w:eastAsia="方正小标宋_GBK" w:cs="方正小标宋_GBK"/>
          <w:sz w:val="84"/>
          <w:szCs w:val="84"/>
        </w:rPr>
      </w:pPr>
    </w:p>
    <w:p w14:paraId="50B18BAA">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23A37A96">
      <w:pPr>
        <w:pStyle w:val="14"/>
        <w:jc w:val="center"/>
        <w:rPr>
          <w:rFonts w:hint="eastAsia" w:ascii="方正小标宋_GBK" w:hAnsi="方正小标宋_GBK" w:eastAsia="方正小标宋_GBK" w:cs="方正小标宋_GBK"/>
          <w:sz w:val="84"/>
          <w:szCs w:val="84"/>
        </w:rPr>
      </w:pPr>
    </w:p>
    <w:p w14:paraId="045C638F">
      <w:pPr>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岳阳市文化旅游广电局</w:t>
      </w:r>
    </w:p>
    <w:p w14:paraId="7A8D57F7">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部门</w:t>
      </w:r>
      <w:r>
        <w:rPr>
          <w:rFonts w:hint="eastAsia" w:ascii="方正小标宋_GBK" w:hAnsi="方正小标宋_GBK" w:eastAsia="方正小标宋_GBK" w:cs="方正小标宋_GBK"/>
          <w:sz w:val="84"/>
          <w:szCs w:val="84"/>
        </w:rPr>
        <w:t>概况</w:t>
      </w:r>
    </w:p>
    <w:p w14:paraId="40EDC591">
      <w:pPr>
        <w:pStyle w:val="9"/>
        <w:rPr>
          <w:rFonts w:hint="eastAsia" w:ascii="方正小标宋_GBK" w:hAnsi="方正小标宋_GBK" w:eastAsia="方正小标宋_GBK" w:cs="方正小标宋_GBK"/>
          <w:sz w:val="84"/>
          <w:szCs w:val="84"/>
        </w:rPr>
      </w:pPr>
    </w:p>
    <w:p w14:paraId="21F0A39A">
      <w:pPr>
        <w:pStyle w:val="5"/>
        <w:rPr>
          <w:rFonts w:hint="eastAsia" w:ascii="方正小标宋_GBK" w:hAnsi="方正小标宋_GBK" w:eastAsia="方正小标宋_GBK" w:cs="方正小标宋_GBK"/>
          <w:sz w:val="84"/>
          <w:szCs w:val="84"/>
        </w:rPr>
      </w:pPr>
    </w:p>
    <w:p w14:paraId="0B856742">
      <w:pPr>
        <w:rPr>
          <w:rFonts w:hint="eastAsia" w:ascii="方正小标宋_GBK" w:hAnsi="方正小标宋_GBK" w:eastAsia="方正小标宋_GBK" w:cs="方正小标宋_GBK"/>
          <w:sz w:val="84"/>
          <w:szCs w:val="84"/>
        </w:rPr>
      </w:pPr>
    </w:p>
    <w:p w14:paraId="0892ECA2">
      <w:pPr>
        <w:pStyle w:val="5"/>
        <w:rPr>
          <w:rFonts w:hint="eastAsia" w:ascii="方正小标宋_GBK" w:hAnsi="方正小标宋_GBK" w:eastAsia="方正小标宋_GBK" w:cs="方正小标宋_GBK"/>
          <w:sz w:val="84"/>
          <w:szCs w:val="84"/>
        </w:rPr>
      </w:pPr>
    </w:p>
    <w:p w14:paraId="6AC315D0">
      <w:pPr>
        <w:pStyle w:val="15"/>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50BE5075">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（一）研究拟订全市文化、旅游、广播电视、网络视听节目服务管理、文物和博物馆事业的政策措施，加强广播电视阵地管理，把握正确的舆论导向和创作导向。起草文化、文物事业的地方性法规、规章草案。</w:t>
      </w:r>
    </w:p>
    <w:p w14:paraId="1BF00807">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（二）统筹规划文化事业、文化产业、旅游业、广播电视业和文物事业发展，拟订发展规划并组织实施，推进文化和旅游融合发展，推进文化和旅游体制机制改革。</w:t>
      </w:r>
    </w:p>
    <w:p w14:paraId="42BCFB9D">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管理全市性重大文化和旅游活动，指导全市重点文化设施、旅游设施和广播电视重点基础设施建设，组织全市文化和旅游整体形象宣传推广，促进文化产业和旅游产业对外合作和国际市场推广，制定旅游市场开发战略并组织实施，指导、推进全域旅游。</w:t>
      </w:r>
    </w:p>
    <w:p w14:paraId="297AA8D5">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（四）指导、管理文艺事业，指导艺术创作生产，扶持体现社会主义核心价值观、具有导向性代表性示范性的文艺作品，推动各门类艺术、各艺术品种发展。</w:t>
      </w:r>
    </w:p>
    <w:p w14:paraId="19CE6F84">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负责全市公共文化事业发展，推进全市文化和旅游公共服务体系建设，深入实施文化惠民工程，统筹推进基本公共文化服务标准化、均等化。组织实施公共服务重大公益工程和公益活动，扶助老少边贫地区广播电视建设和发展。</w:t>
      </w:r>
    </w:p>
    <w:p w14:paraId="1BE7FF3E">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（六）指导、推进文化和旅游科技创新发展，推进文化和旅游行业信息化、标准化建设。</w:t>
      </w:r>
    </w:p>
    <w:p w14:paraId="3F5B06FE">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（七）负责推动完善全市文物和博物馆公共文化服务体系建设，拟定文物和博物馆公共资源共享规划并推动实施。指导全市文物和博物馆的业务工作，协调博物馆间的交流与协作。</w:t>
      </w:r>
    </w:p>
    <w:p w14:paraId="7B3DFBD6">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（八）负责全市非物质文化遗产保护，推动非物质文化遗产的保护、传承、普及、弘扬和振兴。</w:t>
      </w:r>
    </w:p>
    <w:p w14:paraId="23176493">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九）统筹规划全市文化产业和旅游产业，组织实施文化和旅游资源普查、挖掘、保护和利用工作，促进文化产业和旅游产业发展。指导、协调、推动广播电视领域产业发展，制定发展规划、产业政策并组织实施。</w:t>
      </w:r>
    </w:p>
    <w:p w14:paraId="6AFF211C">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指导全市文化和旅游市场发展，对文化和旅游市场经营进行行业监管，推进文化和旅游行业信用体系建设，依法规范文化和旅游市场。负责对各类广播电视机构进行业务指导和行业监管，会同有关部门对网络视听节目服务机构进行管理。</w:t>
      </w:r>
    </w:p>
    <w:p w14:paraId="58989CC8">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(十一) 指导全市文化市场综合执法，组织查处全市性、跨区域文化、文物、出版、广播电视、电影、旅游等市场的违法行为，督查督办大案要案，维护市场秩序。</w:t>
      </w:r>
    </w:p>
    <w:p w14:paraId="027C1769">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(十二) 指导、管理全市文化、旅游、广播电视和文物对外及对港澳台交流、合作和宣传、推广工作，组织大型文化和旅游对外及对港澳台交流活动，推动岳阳文化走出去。负责广播电视节目的进口、收录和管理。</w:t>
      </w:r>
    </w:p>
    <w:p w14:paraId="2B56CCB9">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(十三) 指导电视剧行业发展和电视剧创作生产。监督管理、审查广播电视节目、网络视听节目的内容和质量。指导、监管广播电视广告播放。</w:t>
      </w:r>
    </w:p>
    <w:p w14:paraId="517A3878">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(十四) 指导、协调广播电视全市性重大宣传活动，指导实施广播电视节目评价工作。</w:t>
      </w:r>
    </w:p>
    <w:p w14:paraId="1568F85E">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(十五) 负责推进广播电视与新媒体新技术新业态融合发展，推进广电网与电信网、互联网三网融合。</w:t>
      </w:r>
    </w:p>
    <w:p w14:paraId="77B2B89D">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(十六) 组织制定广播电视科技发展规划、政策并组织实施和监督检查。负责对广播电视节目传输覆盖、监测和安全播出进行监管，指导、推进国家应急广播体系建设。指导、协调广播电视系统安全和保卫工作。</w:t>
      </w:r>
    </w:p>
    <w:p w14:paraId="4EF9F13C">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(十七) 指导文化、旅游、广播电视、网络视听、文物等行业人才队伍建设。</w:t>
      </w:r>
    </w:p>
    <w:p w14:paraId="32A7104A">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(十八) 协调指导全市文物和博物馆安全防范工作。履行文物行政执法督察和文物安全督察职责，配合有关部门查处文物违法的重大案件。</w:t>
      </w:r>
    </w:p>
    <w:p w14:paraId="63519757">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(十九)  承办市委、市政府交办的其他任务。</w:t>
      </w:r>
    </w:p>
    <w:p w14:paraId="081F1183">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36B7109F">
      <w:pPr>
        <w:widowControl/>
        <w:spacing w:line="600" w:lineRule="exact"/>
        <w:ind w:firstLine="960" w:firstLineChars="3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14:paraId="45ECF70D">
      <w:pPr>
        <w:widowControl/>
        <w:spacing w:line="600" w:lineRule="exact"/>
        <w:rPr>
          <w:rFonts w:hint="eastAsia"/>
        </w:rPr>
      </w:pPr>
      <w:r>
        <w:rPr>
          <w:rFonts w:hint="eastAsia" w:ascii="Times New Roman" w:hAnsi="Times New Roman" w:eastAsia="仿宋_GB2312" w:cs="仿宋_GB2312"/>
          <w:bCs/>
          <w:kern w:val="0"/>
          <w:sz w:val="32"/>
          <w:szCs w:val="32"/>
          <w:lang w:eastAsia="zh-CN"/>
        </w:rPr>
        <w:t>岳阳市文化旅游广电局</w:t>
      </w:r>
      <w:r>
        <w:rPr>
          <w:rFonts w:hint="eastAsia" w:ascii="Times New Roman" w:hAnsi="Times New Roman" w:eastAsia="仿宋_GB2312" w:cs="仿宋_GB2312"/>
          <w:bCs/>
          <w:kern w:val="0"/>
          <w:sz w:val="32"/>
          <w:szCs w:val="32"/>
        </w:rPr>
        <w:t>内设机构包括：办公室、政策法规科、艺术科、公共服务科、 科技教育科、非物质文化遗产科、产业发展科、资源开发与全域旅游推进科（红色旅游指导科）、市场管理科（加挂行政审批科）、综合执法监督科、推广传播和交流合作科、文物科</w:t>
      </w:r>
      <w:r>
        <w:rPr>
          <w:rFonts w:hint="eastAsia" w:ascii="Times New Roman" w:hAnsi="Times New Roman" w:eastAsia="仿宋_GB2312" w:cs="仿宋_GB2312"/>
          <w:bCs/>
          <w:kern w:val="0"/>
          <w:sz w:val="32"/>
          <w:szCs w:val="32"/>
          <w:lang w:eastAsia="zh-CN"/>
        </w:rPr>
        <w:t>和</w:t>
      </w:r>
      <w:r>
        <w:rPr>
          <w:rFonts w:hint="eastAsia" w:ascii="Times New Roman" w:hAnsi="Times New Roman" w:eastAsia="仿宋_GB2312" w:cs="仿宋_GB2312"/>
          <w:bCs/>
          <w:kern w:val="0"/>
          <w:sz w:val="32"/>
          <w:szCs w:val="32"/>
        </w:rPr>
        <w:t>博物馆科、 传媒机构管理科、宣传和播出管理科、人事科、财务科</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机关党委</w:t>
      </w:r>
      <w:r>
        <w:rPr>
          <w:rFonts w:hint="eastAsia" w:ascii="Times New Roman" w:hAnsi="Times New Roman" w:eastAsia="仿宋_GB2312" w:cs="仿宋_GB2312"/>
          <w:bCs/>
          <w:kern w:val="0"/>
          <w:sz w:val="32"/>
          <w:szCs w:val="32"/>
          <w:lang w:eastAsia="zh-CN"/>
        </w:rPr>
        <w:t>、机关</w:t>
      </w:r>
      <w:r>
        <w:rPr>
          <w:rFonts w:hint="eastAsia" w:ascii="Times New Roman" w:hAnsi="Times New Roman" w:eastAsia="仿宋_GB2312" w:cs="仿宋_GB2312"/>
          <w:bCs/>
          <w:kern w:val="0"/>
          <w:sz w:val="32"/>
          <w:szCs w:val="32"/>
        </w:rPr>
        <w:t>纪委</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离退休人员管理服务科。负责离退休人员管理服务工作。</w:t>
      </w:r>
    </w:p>
    <w:p w14:paraId="014A9487">
      <w:pPr>
        <w:widowControl/>
        <w:spacing w:line="600" w:lineRule="exact"/>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岳阳市文化旅游广电局</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eastAsia="zh-CN"/>
        </w:rPr>
        <w:t>岳阳市文化旅游广电局本级以及</w:t>
      </w:r>
    </w:p>
    <w:p w14:paraId="52225F57">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eastAsia="zh-CN"/>
        </w:rPr>
      </w:pPr>
      <w:r>
        <w:rPr>
          <w:rFonts w:hint="eastAsia" w:eastAsia="仿宋_GB2312" w:cs="仿宋_GB2312"/>
          <w:kern w:val="0"/>
          <w:sz w:val="32"/>
          <w:szCs w:val="32"/>
          <w:lang w:val="en-US" w:eastAsia="zh-CN"/>
        </w:rPr>
        <w:t>1</w:t>
      </w:r>
      <w:r>
        <w:rPr>
          <w:rFonts w:hint="eastAsia" w:eastAsia="仿宋_GB2312" w:cs="仿宋_GB2312"/>
          <w:kern w:val="0"/>
          <w:sz w:val="32"/>
          <w:szCs w:val="32"/>
          <w:lang w:eastAsia="zh-CN"/>
        </w:rPr>
        <w:t>、岳阳市巴陵戏传承研究院</w:t>
      </w:r>
    </w:p>
    <w:p w14:paraId="7A175BDB">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eastAsia="zh-CN"/>
        </w:rPr>
      </w:pPr>
      <w:r>
        <w:rPr>
          <w:rFonts w:hint="eastAsia" w:eastAsia="仿宋_GB2312" w:cs="仿宋_GB2312"/>
          <w:kern w:val="0"/>
          <w:sz w:val="32"/>
          <w:szCs w:val="32"/>
          <w:lang w:val="en-US" w:eastAsia="zh-CN"/>
        </w:rPr>
        <w:t>2</w:t>
      </w:r>
      <w:r>
        <w:rPr>
          <w:rFonts w:hint="eastAsia" w:eastAsia="仿宋_GB2312" w:cs="仿宋_GB2312"/>
          <w:kern w:val="0"/>
          <w:sz w:val="32"/>
          <w:szCs w:val="32"/>
          <w:lang w:eastAsia="zh-CN"/>
        </w:rPr>
        <w:t>、岳阳市博物馆</w:t>
      </w:r>
    </w:p>
    <w:p w14:paraId="2080F2E9">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eastAsia="zh-CN"/>
        </w:rPr>
      </w:pPr>
      <w:r>
        <w:rPr>
          <w:rFonts w:hint="eastAsia" w:eastAsia="仿宋_GB2312" w:cs="仿宋_GB2312"/>
          <w:kern w:val="0"/>
          <w:sz w:val="32"/>
          <w:szCs w:val="32"/>
          <w:lang w:val="en-US" w:eastAsia="zh-CN"/>
        </w:rPr>
        <w:t>3</w:t>
      </w:r>
      <w:r>
        <w:rPr>
          <w:rFonts w:hint="eastAsia" w:eastAsia="仿宋_GB2312" w:cs="仿宋_GB2312"/>
          <w:kern w:val="0"/>
          <w:sz w:val="32"/>
          <w:szCs w:val="32"/>
          <w:lang w:eastAsia="zh-CN"/>
        </w:rPr>
        <w:t>、岳阳文化艺术会展中心</w:t>
      </w:r>
    </w:p>
    <w:p w14:paraId="23416BAF">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eastAsia="zh-CN"/>
        </w:rPr>
      </w:pPr>
      <w:r>
        <w:rPr>
          <w:rFonts w:hint="eastAsia" w:eastAsia="仿宋_GB2312" w:cs="仿宋_GB2312"/>
          <w:kern w:val="0"/>
          <w:sz w:val="32"/>
          <w:szCs w:val="32"/>
          <w:lang w:val="en-US" w:eastAsia="zh-CN"/>
        </w:rPr>
        <w:t>4</w:t>
      </w:r>
      <w:r>
        <w:rPr>
          <w:rFonts w:hint="eastAsia" w:eastAsia="仿宋_GB2312" w:cs="仿宋_GB2312"/>
          <w:kern w:val="0"/>
          <w:sz w:val="32"/>
          <w:szCs w:val="32"/>
          <w:lang w:eastAsia="zh-CN"/>
        </w:rPr>
        <w:t>、岳阳市美术馆</w:t>
      </w:r>
    </w:p>
    <w:p w14:paraId="5FAD23E4">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eastAsia="zh-CN"/>
        </w:rPr>
      </w:pPr>
      <w:r>
        <w:rPr>
          <w:rFonts w:hint="eastAsia" w:eastAsia="仿宋_GB2312" w:cs="仿宋_GB2312"/>
          <w:kern w:val="0"/>
          <w:sz w:val="32"/>
          <w:szCs w:val="32"/>
          <w:lang w:val="en-US" w:eastAsia="zh-CN"/>
        </w:rPr>
        <w:t>5</w:t>
      </w:r>
      <w:r>
        <w:rPr>
          <w:rFonts w:hint="eastAsia" w:eastAsia="仿宋_GB2312" w:cs="仿宋_GB2312"/>
          <w:kern w:val="0"/>
          <w:sz w:val="32"/>
          <w:szCs w:val="32"/>
          <w:lang w:eastAsia="zh-CN"/>
        </w:rPr>
        <w:t>、岳阳市群众艺术馆</w:t>
      </w:r>
    </w:p>
    <w:p w14:paraId="76EF56D2">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eastAsia="zh-CN"/>
        </w:rPr>
      </w:pPr>
      <w:r>
        <w:rPr>
          <w:rFonts w:hint="eastAsia" w:eastAsia="仿宋_GB2312" w:cs="仿宋_GB2312"/>
          <w:kern w:val="0"/>
          <w:sz w:val="32"/>
          <w:szCs w:val="32"/>
          <w:lang w:val="en-US" w:eastAsia="zh-CN"/>
        </w:rPr>
        <w:t>6</w:t>
      </w:r>
      <w:r>
        <w:rPr>
          <w:rFonts w:hint="eastAsia" w:eastAsia="仿宋_GB2312" w:cs="仿宋_GB2312"/>
          <w:kern w:val="0"/>
          <w:sz w:val="32"/>
          <w:szCs w:val="32"/>
          <w:lang w:eastAsia="zh-CN"/>
        </w:rPr>
        <w:t>、岳阳市图书馆</w:t>
      </w:r>
    </w:p>
    <w:p w14:paraId="6B9AC8A2">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eastAsia="zh-CN"/>
        </w:rPr>
      </w:pPr>
      <w:r>
        <w:rPr>
          <w:rFonts w:hint="eastAsia" w:eastAsia="仿宋_GB2312" w:cs="仿宋_GB2312"/>
          <w:kern w:val="0"/>
          <w:sz w:val="32"/>
          <w:szCs w:val="32"/>
          <w:lang w:val="en-US" w:eastAsia="zh-CN"/>
        </w:rPr>
        <w:t>7</w:t>
      </w:r>
      <w:r>
        <w:rPr>
          <w:rFonts w:hint="eastAsia" w:eastAsia="仿宋_GB2312" w:cs="仿宋_GB2312"/>
          <w:kern w:val="0"/>
          <w:sz w:val="32"/>
          <w:szCs w:val="32"/>
          <w:lang w:eastAsia="zh-CN"/>
        </w:rPr>
        <w:t>、</w:t>
      </w:r>
      <w:r>
        <w:rPr>
          <w:rFonts w:hint="eastAsia" w:eastAsia="仿宋_GB2312" w:cs="仿宋_GB2312"/>
          <w:kern w:val="0"/>
          <w:sz w:val="32"/>
          <w:szCs w:val="32"/>
          <w:lang w:eastAsia="zh-CN"/>
        </w:rPr>
        <w:fldChar w:fldCharType="begin"/>
      </w:r>
      <w:r>
        <w:rPr>
          <w:rFonts w:hint="eastAsia" w:eastAsia="仿宋_GB2312" w:cs="仿宋_GB2312"/>
          <w:kern w:val="0"/>
          <w:sz w:val="32"/>
          <w:szCs w:val="32"/>
          <w:lang w:eastAsia="zh-CN"/>
        </w:rPr>
        <w:instrText xml:space="preserve"> HYPERLINK "http://www.yueyang.gov.cn/uploadfiles/202309/2023092516003531961.doc" </w:instrText>
      </w:r>
      <w:r>
        <w:rPr>
          <w:rFonts w:hint="eastAsia" w:eastAsia="仿宋_GB2312" w:cs="仿宋_GB2312"/>
          <w:kern w:val="0"/>
          <w:sz w:val="32"/>
          <w:szCs w:val="32"/>
          <w:lang w:eastAsia="zh-CN"/>
        </w:rPr>
        <w:fldChar w:fldCharType="separate"/>
      </w:r>
      <w:r>
        <w:rPr>
          <w:rFonts w:hint="eastAsia" w:eastAsia="仿宋_GB2312" w:cs="仿宋_GB2312"/>
          <w:kern w:val="0"/>
          <w:sz w:val="32"/>
          <w:szCs w:val="32"/>
          <w:lang w:eastAsia="zh-CN"/>
        </w:rPr>
        <w:t>岳阳市文化市场综合行政执法支队</w:t>
      </w:r>
      <w:r>
        <w:rPr>
          <w:rFonts w:hint="eastAsia" w:eastAsia="仿宋_GB2312" w:cs="仿宋_GB2312"/>
          <w:kern w:val="0"/>
          <w:sz w:val="32"/>
          <w:szCs w:val="32"/>
          <w:lang w:eastAsia="zh-CN"/>
        </w:rPr>
        <w:fldChar w:fldCharType="end"/>
      </w:r>
    </w:p>
    <w:p w14:paraId="32D29617">
      <w:pPr>
        <w:jc w:val="left"/>
        <w:rPr>
          <w:rFonts w:ascii="仿宋_GB2312" w:eastAsia="仿宋_GB2312" w:hAnsiTheme="minorEastAsia"/>
          <w:sz w:val="28"/>
          <w:szCs w:val="32"/>
        </w:rPr>
      </w:pPr>
    </w:p>
    <w:p w14:paraId="03901228"/>
    <w:p w14:paraId="7611DE78">
      <w:pPr>
        <w:pStyle w:val="9"/>
      </w:pPr>
    </w:p>
    <w:p w14:paraId="414405CC">
      <w:pPr>
        <w:pStyle w:val="5"/>
      </w:pPr>
    </w:p>
    <w:p w14:paraId="490791A4"/>
    <w:p w14:paraId="7708088D">
      <w:pPr>
        <w:pStyle w:val="9"/>
      </w:pPr>
    </w:p>
    <w:p w14:paraId="0C2040C9">
      <w:pPr>
        <w:pStyle w:val="5"/>
      </w:pPr>
    </w:p>
    <w:p w14:paraId="33047BAD"/>
    <w:p w14:paraId="2E175009">
      <w:pPr>
        <w:pStyle w:val="9"/>
      </w:pPr>
    </w:p>
    <w:p w14:paraId="112546BB">
      <w:pPr>
        <w:pStyle w:val="5"/>
      </w:pPr>
    </w:p>
    <w:p w14:paraId="6CF19E31"/>
    <w:p w14:paraId="75215010">
      <w:pPr>
        <w:pStyle w:val="9"/>
      </w:pPr>
    </w:p>
    <w:p w14:paraId="472648B6">
      <w:pPr>
        <w:pStyle w:val="5"/>
      </w:pPr>
    </w:p>
    <w:p w14:paraId="42111096"/>
    <w:p w14:paraId="52D32232">
      <w:pPr>
        <w:pStyle w:val="14"/>
        <w:jc w:val="both"/>
        <w:rPr>
          <w:rFonts w:hint="eastAsia" w:ascii="方正小标宋_GBK" w:hAnsi="方正小标宋_GBK" w:eastAsia="方正小标宋_GBK" w:cs="方正小标宋_GBK"/>
          <w:sz w:val="84"/>
          <w:szCs w:val="84"/>
        </w:rPr>
      </w:pPr>
    </w:p>
    <w:p w14:paraId="1721283F">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3D3AC2A8">
      <w:pPr>
        <w:pStyle w:val="14"/>
        <w:jc w:val="center"/>
        <w:rPr>
          <w:rFonts w:hint="eastAsia" w:ascii="方正小标宋_GBK" w:hAnsi="方正小标宋_GBK" w:eastAsia="方正小标宋_GBK" w:cs="方正小标宋_GBK"/>
          <w:sz w:val="84"/>
          <w:szCs w:val="84"/>
        </w:rPr>
      </w:pPr>
    </w:p>
    <w:p w14:paraId="4D531801">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21FB54B3">
      <w:pPr>
        <w:pStyle w:val="14"/>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14:paraId="561118D0">
      <w:pPr>
        <w:pStyle w:val="14"/>
        <w:jc w:val="center"/>
        <w:rPr>
          <w:rFonts w:hint="eastAsia" w:ascii="仿宋_GB2312" w:hAnsi="仿宋_GB2312" w:eastAsia="仿宋_GB2312" w:cs="仿宋_GB2312"/>
          <w:b w:val="0"/>
          <w:bCs w:val="0"/>
          <w:sz w:val="72"/>
          <w:szCs w:val="72"/>
          <w:lang w:eastAsia="zh-CN"/>
        </w:rPr>
      </w:pPr>
    </w:p>
    <w:p w14:paraId="3A2F9522">
      <w:pPr>
        <w:pStyle w:val="14"/>
        <w:jc w:val="center"/>
        <w:rPr>
          <w:rFonts w:hint="eastAsia" w:ascii="仿宋_GB2312" w:hAnsi="仿宋_GB2312" w:eastAsia="仿宋_GB2312" w:cs="仿宋_GB2312"/>
          <w:b w:val="0"/>
          <w:bCs w:val="0"/>
          <w:sz w:val="72"/>
          <w:szCs w:val="72"/>
          <w:lang w:eastAsia="zh-CN"/>
        </w:rPr>
      </w:pPr>
    </w:p>
    <w:p w14:paraId="2E06443B">
      <w:pPr>
        <w:pStyle w:val="14"/>
        <w:jc w:val="center"/>
        <w:rPr>
          <w:rFonts w:hint="eastAsia" w:ascii="仿宋_GB2312" w:hAnsi="仿宋_GB2312" w:eastAsia="仿宋_GB2312" w:cs="仿宋_GB2312"/>
          <w:b w:val="0"/>
          <w:bCs w:val="0"/>
          <w:sz w:val="72"/>
          <w:szCs w:val="72"/>
          <w:lang w:eastAsia="zh-CN"/>
        </w:rPr>
      </w:pPr>
    </w:p>
    <w:p w14:paraId="61F7125A">
      <w:pPr>
        <w:pStyle w:val="14"/>
        <w:jc w:val="center"/>
        <w:rPr>
          <w:rFonts w:hint="eastAsia" w:ascii="仿宋_GB2312" w:hAnsi="仿宋_GB2312" w:eastAsia="仿宋_GB2312" w:cs="仿宋_GB2312"/>
          <w:b w:val="0"/>
          <w:bCs w:val="0"/>
          <w:sz w:val="72"/>
          <w:szCs w:val="72"/>
          <w:lang w:eastAsia="zh-CN"/>
        </w:rPr>
      </w:pPr>
    </w:p>
    <w:p w14:paraId="7B8A4387">
      <w:pPr>
        <w:pStyle w:val="14"/>
        <w:jc w:val="center"/>
        <w:rPr>
          <w:rFonts w:hint="eastAsia" w:ascii="仿宋_GB2312" w:hAnsi="仿宋_GB2312" w:eastAsia="仿宋_GB2312" w:cs="仿宋_GB2312"/>
          <w:b w:val="0"/>
          <w:bCs w:val="0"/>
          <w:sz w:val="72"/>
          <w:szCs w:val="72"/>
          <w:lang w:eastAsia="zh-CN"/>
        </w:rPr>
      </w:pPr>
    </w:p>
    <w:p w14:paraId="5D59B4C8">
      <w:pPr>
        <w:pStyle w:val="14"/>
        <w:jc w:val="center"/>
        <w:rPr>
          <w:rFonts w:hint="eastAsia" w:ascii="仿宋_GB2312" w:hAnsi="仿宋_GB2312" w:eastAsia="仿宋_GB2312" w:cs="仿宋_GB2312"/>
          <w:b w:val="0"/>
          <w:bCs w:val="0"/>
          <w:sz w:val="72"/>
          <w:szCs w:val="72"/>
          <w:lang w:eastAsia="zh-CN"/>
        </w:rPr>
      </w:pPr>
    </w:p>
    <w:p w14:paraId="285A7D77">
      <w:pPr>
        <w:pStyle w:val="14"/>
        <w:jc w:val="both"/>
        <w:rPr>
          <w:rFonts w:hint="eastAsia" w:ascii="方正小标宋_GBK" w:hAnsi="方正小标宋_GBK" w:eastAsia="方正小标宋_GBK" w:cs="方正小标宋_GBK"/>
          <w:sz w:val="72"/>
          <w:szCs w:val="72"/>
        </w:rPr>
      </w:pPr>
    </w:p>
    <w:p w14:paraId="2056B3BD">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126F85A7">
      <w:pPr>
        <w:pStyle w:val="14"/>
        <w:jc w:val="center"/>
        <w:rPr>
          <w:rFonts w:hint="eastAsia" w:ascii="方正小标宋_GBK" w:hAnsi="方正小标宋_GBK" w:eastAsia="方正小标宋_GBK" w:cs="方正小标宋_GBK"/>
          <w:sz w:val="70"/>
          <w:szCs w:val="70"/>
        </w:rPr>
      </w:pPr>
    </w:p>
    <w:p w14:paraId="759E561A">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0EF11E6E">
      <w:pPr>
        <w:pStyle w:val="14"/>
        <w:jc w:val="center"/>
        <w:rPr>
          <w:rFonts w:hint="eastAsia" w:ascii="方正小标宋_GBK" w:hAnsi="方正小标宋_GBK" w:eastAsia="方正小标宋_GBK" w:cs="方正小标宋_GBK"/>
          <w:sz w:val="70"/>
          <w:szCs w:val="70"/>
        </w:rPr>
      </w:pPr>
    </w:p>
    <w:p w14:paraId="39CDAA96">
      <w:pPr>
        <w:pStyle w:val="14"/>
        <w:jc w:val="center"/>
        <w:rPr>
          <w:rFonts w:hint="eastAsia" w:ascii="方正小标宋_GBK" w:hAnsi="方正小标宋_GBK" w:eastAsia="方正小标宋_GBK" w:cs="方正小标宋_GBK"/>
          <w:sz w:val="70"/>
          <w:szCs w:val="70"/>
        </w:rPr>
      </w:pPr>
    </w:p>
    <w:p w14:paraId="192A38F4">
      <w:pPr>
        <w:pStyle w:val="14"/>
        <w:jc w:val="both"/>
        <w:rPr>
          <w:rFonts w:hint="eastAsia" w:ascii="方正小标宋_GBK" w:hAnsi="方正小标宋_GBK" w:eastAsia="方正小标宋_GBK" w:cs="方正小标宋_GBK"/>
          <w:sz w:val="70"/>
          <w:szCs w:val="70"/>
        </w:rPr>
      </w:pPr>
    </w:p>
    <w:p w14:paraId="79D48601">
      <w:pPr>
        <w:pStyle w:val="14"/>
        <w:jc w:val="both"/>
        <w:rPr>
          <w:rFonts w:hint="eastAsia" w:ascii="方正小标宋_GBK" w:hAnsi="方正小标宋_GBK" w:eastAsia="方正小标宋_GBK" w:cs="方正小标宋_GBK"/>
          <w:sz w:val="70"/>
          <w:szCs w:val="70"/>
        </w:rPr>
      </w:pPr>
    </w:p>
    <w:p w14:paraId="2C8A1D0E">
      <w:pPr>
        <w:pStyle w:val="14"/>
        <w:jc w:val="both"/>
        <w:rPr>
          <w:rFonts w:hint="eastAsia" w:ascii="方正小标宋_GBK" w:hAnsi="方正小标宋_GBK" w:eastAsia="方正小标宋_GBK" w:cs="方正小标宋_GBK"/>
          <w:sz w:val="70"/>
          <w:szCs w:val="70"/>
        </w:rPr>
      </w:pPr>
    </w:p>
    <w:p w14:paraId="19864554">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14:paraId="1E1E642D">
      <w:pPr>
        <w:pStyle w:val="2"/>
        <w:rPr>
          <w:rFonts w:hint="eastAsia"/>
        </w:rPr>
      </w:pPr>
    </w:p>
    <w:p w14:paraId="3E7B895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386F021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19125.14</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3493.2</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15.44</w:t>
      </w:r>
      <w:r>
        <w:rPr>
          <w:rFonts w:hint="eastAsia" w:ascii="仿宋_GB2312" w:hAnsi="仿宋_GB2312" w:eastAsia="仿宋_GB2312" w:cs="仿宋_GB2312"/>
          <w:sz w:val="32"/>
          <w:szCs w:val="32"/>
        </w:rPr>
        <w:t>%，主要是因为</w:t>
      </w:r>
      <w:r>
        <w:rPr>
          <w:rFonts w:hint="eastAsia" w:ascii="Times New Roman" w:hAnsi="Times New Roman" w:eastAsia="仿宋_GB2312"/>
          <w:sz w:val="32"/>
          <w:szCs w:val="32"/>
        </w:rPr>
        <w:t>财政拨款</w:t>
      </w:r>
      <w:r>
        <w:rPr>
          <w:rFonts w:hint="eastAsia" w:ascii="Times New Roman" w:hAnsi="Times New Roman" w:eastAsia="仿宋_GB2312"/>
          <w:sz w:val="32"/>
          <w:szCs w:val="32"/>
          <w:lang w:eastAsia="zh-CN"/>
        </w:rPr>
        <w:t>土地使用权出让</w:t>
      </w:r>
      <w:r>
        <w:rPr>
          <w:rFonts w:hint="eastAsia" w:ascii="Times New Roman" w:hAnsi="Times New Roman" w:eastAsia="仿宋_GB2312"/>
          <w:sz w:val="32"/>
          <w:szCs w:val="32"/>
        </w:rPr>
        <w:t>收入</w:t>
      </w:r>
      <w:r>
        <w:rPr>
          <w:rFonts w:hint="eastAsia" w:ascii="Times New Roman" w:hAnsi="Times New Roman" w:eastAsia="仿宋_GB2312"/>
          <w:sz w:val="32"/>
          <w:szCs w:val="32"/>
          <w:lang w:eastAsia="zh-CN"/>
        </w:rPr>
        <w:t>减少。</w:t>
      </w:r>
    </w:p>
    <w:p w14:paraId="5156E7A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p>
    <w:p w14:paraId="1F40A97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3A21C16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19036.54</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17402.94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91.42</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1633.59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8.58</w:t>
      </w:r>
      <w:r>
        <w:rPr>
          <w:rFonts w:hint="eastAsia" w:ascii="仿宋_GB2312" w:hAnsi="仿宋_GB2312" w:eastAsia="仿宋_GB2312" w:cs="仿宋_GB2312"/>
          <w:sz w:val="32"/>
          <w:szCs w:val="32"/>
        </w:rPr>
        <w:t>%。</w:t>
      </w:r>
    </w:p>
    <w:p w14:paraId="2A557BF6">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p>
    <w:p w14:paraId="6DB11C7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097901C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18954.64</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9246.25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48.78</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9708.39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51.22</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1F295CE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p>
    <w:p w14:paraId="4F3E952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6FD7AE43">
      <w:pPr>
        <w:pStyle w:val="14"/>
        <w:keepNext w:val="0"/>
        <w:keepLines w:val="0"/>
        <w:pageBreakBefore w:val="0"/>
        <w:widowControl w:val="0"/>
        <w:kinsoku/>
        <w:wordWrap/>
        <w:overflowPunct/>
        <w:topLinePunct w:val="0"/>
        <w:bidi w:val="0"/>
        <w:snapToGrid/>
        <w:spacing w:line="600" w:lineRule="exact"/>
        <w:ind w:firstLine="640"/>
        <w:textAlignment w:val="auto"/>
        <w:rPr>
          <w:rFonts w:hint="eastAsia" w:ascii="Times New Roman" w:hAnsi="Times New Roman" w:eastAsia="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17402.94</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1247.26</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6.69</w:t>
      </w:r>
      <w:r>
        <w:rPr>
          <w:rFonts w:hint="eastAsia" w:ascii="仿宋_GB2312" w:hAnsi="仿宋_GB2312" w:eastAsia="仿宋_GB2312" w:cs="仿宋_GB2312"/>
          <w:sz w:val="32"/>
          <w:szCs w:val="32"/>
        </w:rPr>
        <w:t>%，主要是因为因为</w:t>
      </w:r>
      <w:r>
        <w:rPr>
          <w:rFonts w:hint="eastAsia" w:ascii="Times New Roman" w:hAnsi="Times New Roman" w:eastAsia="仿宋_GB2312"/>
          <w:sz w:val="32"/>
          <w:szCs w:val="32"/>
        </w:rPr>
        <w:t>财政拨款</w:t>
      </w:r>
      <w:r>
        <w:rPr>
          <w:rFonts w:hint="eastAsia" w:ascii="Times New Roman" w:hAnsi="Times New Roman" w:eastAsia="仿宋_GB2312"/>
          <w:sz w:val="32"/>
          <w:szCs w:val="32"/>
          <w:lang w:eastAsia="zh-CN"/>
        </w:rPr>
        <w:t>土地使用权出让</w:t>
      </w:r>
      <w:r>
        <w:rPr>
          <w:rFonts w:hint="eastAsia" w:ascii="Times New Roman" w:hAnsi="Times New Roman" w:eastAsia="仿宋_GB2312"/>
          <w:sz w:val="32"/>
          <w:szCs w:val="32"/>
        </w:rPr>
        <w:t>收入</w:t>
      </w:r>
      <w:r>
        <w:rPr>
          <w:rFonts w:hint="eastAsia" w:ascii="Times New Roman" w:hAnsi="Times New Roman" w:eastAsia="仿宋_GB2312"/>
          <w:sz w:val="32"/>
          <w:szCs w:val="32"/>
          <w:lang w:eastAsia="zh-CN"/>
        </w:rPr>
        <w:t>减少。</w:t>
      </w:r>
    </w:p>
    <w:p w14:paraId="0DDF343E">
      <w:pPr>
        <w:pStyle w:val="14"/>
        <w:keepNext w:val="0"/>
        <w:keepLines w:val="0"/>
        <w:pageBreakBefore w:val="0"/>
        <w:widowControl w:val="0"/>
        <w:kinsoku/>
        <w:wordWrap/>
        <w:overflowPunct/>
        <w:topLinePunct w:val="0"/>
        <w:bidi w:val="0"/>
        <w:snapToGrid/>
        <w:spacing w:line="600" w:lineRule="exact"/>
        <w:ind w:firstLine="640"/>
        <w:textAlignment w:val="auto"/>
        <w:rPr>
          <w:rFonts w:hint="eastAsia" w:ascii="Times New Roman" w:hAnsi="Times New Roman" w:eastAsia="仿宋_GB2312"/>
          <w:sz w:val="32"/>
          <w:szCs w:val="32"/>
          <w:lang w:eastAsia="zh-CN"/>
        </w:rPr>
      </w:pPr>
    </w:p>
    <w:p w14:paraId="5E465CB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1BDB840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14:paraId="324959E3">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年度财政拨款支出14985.42万元，占本年支出合计的</w:t>
      </w:r>
      <w:r>
        <w:rPr>
          <w:rFonts w:hint="eastAsia" w:ascii="仿宋_GB2312" w:hAnsi="仿宋_GB2312" w:eastAsia="仿宋_GB2312" w:cs="仿宋_GB2312"/>
          <w:sz w:val="32"/>
          <w:szCs w:val="32"/>
          <w:lang w:val="en-US" w:eastAsia="zh-CN"/>
        </w:rPr>
        <w:t>79.06</w:t>
      </w:r>
      <w:r>
        <w:rPr>
          <w:rFonts w:hint="eastAsia" w:ascii="仿宋_GB2312" w:hAnsi="仿宋_GB2312" w:eastAsia="仿宋_GB2312" w:cs="仿宋_GB2312"/>
          <w:sz w:val="32"/>
          <w:szCs w:val="32"/>
        </w:rPr>
        <w:t>%，与上年相比，财政拨款支出增加</w:t>
      </w:r>
      <w:r>
        <w:rPr>
          <w:rFonts w:hint="eastAsia" w:ascii="仿宋_GB2312" w:hAnsi="仿宋_GB2312" w:eastAsia="仿宋_GB2312" w:cs="仿宋_GB2312"/>
          <w:sz w:val="32"/>
          <w:szCs w:val="32"/>
          <w:lang w:val="en-US" w:eastAsia="zh-CN"/>
        </w:rPr>
        <w:t>2601.35</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21.01</w:t>
      </w:r>
      <w:r>
        <w:rPr>
          <w:rFonts w:hint="eastAsia" w:ascii="仿宋_GB2312" w:hAnsi="仿宋_GB2312" w:eastAsia="仿宋_GB2312" w:cs="仿宋_GB2312"/>
          <w:sz w:val="32"/>
          <w:szCs w:val="32"/>
        </w:rPr>
        <w:t>%，主要是因为追加的专项资金收入增加，部分收入对应形成支出。</w:t>
      </w:r>
    </w:p>
    <w:p w14:paraId="1D559A39">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14:paraId="1710CC5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年度财政拨款支出14985.42万元，主要用于以下方面：科学技术支出（类）2617.56万元，占</w:t>
      </w:r>
      <w:r>
        <w:rPr>
          <w:rFonts w:hint="eastAsia" w:ascii="仿宋_GB2312" w:hAnsi="仿宋_GB2312" w:eastAsia="仿宋_GB2312" w:cs="仿宋_GB2312"/>
          <w:sz w:val="32"/>
          <w:szCs w:val="32"/>
          <w:lang w:val="en-US" w:eastAsia="zh-CN"/>
        </w:rPr>
        <w:t>17.47</w:t>
      </w:r>
      <w:r>
        <w:rPr>
          <w:rFonts w:hint="eastAsia" w:ascii="仿宋_GB2312" w:hAnsi="仿宋_GB2312" w:eastAsia="仿宋_GB2312" w:cs="仿宋_GB2312"/>
          <w:sz w:val="32"/>
          <w:szCs w:val="32"/>
        </w:rPr>
        <w:t>%；文化旅游体育与传媒支出（类）10153.13万元，占</w:t>
      </w:r>
      <w:r>
        <w:rPr>
          <w:rFonts w:hint="eastAsia" w:ascii="仿宋_GB2312" w:hAnsi="仿宋_GB2312" w:eastAsia="仿宋_GB2312" w:cs="仿宋_GB2312"/>
          <w:sz w:val="32"/>
          <w:szCs w:val="32"/>
          <w:lang w:val="en-US" w:eastAsia="zh-CN"/>
        </w:rPr>
        <w:t>67.75</w:t>
      </w:r>
      <w:r>
        <w:rPr>
          <w:rFonts w:hint="eastAsia" w:ascii="仿宋_GB2312" w:hAnsi="仿宋_GB2312" w:eastAsia="仿宋_GB2312" w:cs="仿宋_GB2312"/>
          <w:sz w:val="32"/>
          <w:szCs w:val="32"/>
        </w:rPr>
        <w:t>%;社会保障和就业支出（类）1402.65万元，占</w:t>
      </w:r>
      <w:r>
        <w:rPr>
          <w:rFonts w:hint="eastAsia" w:ascii="仿宋_GB2312" w:hAnsi="仿宋_GB2312" w:eastAsia="仿宋_GB2312" w:cs="仿宋_GB2312"/>
          <w:sz w:val="32"/>
          <w:szCs w:val="32"/>
          <w:lang w:val="en-US" w:eastAsia="zh-CN"/>
        </w:rPr>
        <w:t>9.38</w:t>
      </w:r>
      <w:r>
        <w:rPr>
          <w:rFonts w:hint="eastAsia" w:ascii="仿宋_GB2312" w:hAnsi="仿宋_GB2312" w:eastAsia="仿宋_GB2312" w:cs="仿宋_GB2312"/>
          <w:sz w:val="32"/>
          <w:szCs w:val="32"/>
        </w:rPr>
        <w:t>%；卫生健康支出（类）399.28万元，占</w:t>
      </w:r>
      <w:r>
        <w:rPr>
          <w:rFonts w:hint="eastAsia" w:ascii="仿宋_GB2312" w:hAnsi="仿宋_GB2312" w:eastAsia="仿宋_GB2312" w:cs="仿宋_GB2312"/>
          <w:sz w:val="32"/>
          <w:szCs w:val="32"/>
          <w:lang w:val="en-US" w:eastAsia="zh-CN"/>
        </w:rPr>
        <w:t>2.66</w:t>
      </w:r>
      <w:r>
        <w:rPr>
          <w:rFonts w:hint="eastAsia" w:ascii="仿宋_GB2312" w:hAnsi="仿宋_GB2312" w:eastAsia="仿宋_GB2312" w:cs="仿宋_GB2312"/>
          <w:sz w:val="32"/>
          <w:szCs w:val="32"/>
        </w:rPr>
        <w:t>%；住房保障支出（类）412.78万元，占</w:t>
      </w:r>
      <w:r>
        <w:rPr>
          <w:rFonts w:hint="eastAsia" w:ascii="仿宋_GB2312" w:hAnsi="仿宋_GB2312" w:eastAsia="仿宋_GB2312" w:cs="仿宋_GB2312"/>
          <w:sz w:val="32"/>
          <w:szCs w:val="32"/>
          <w:lang w:val="en-US" w:eastAsia="zh-CN"/>
        </w:rPr>
        <w:t>2.74</w:t>
      </w:r>
      <w:r>
        <w:rPr>
          <w:rFonts w:hint="eastAsia" w:ascii="仿宋_GB2312" w:hAnsi="仿宋_GB2312" w:eastAsia="仿宋_GB2312" w:cs="仿宋_GB2312"/>
          <w:sz w:val="32"/>
          <w:szCs w:val="32"/>
        </w:rPr>
        <w:t>%。</w:t>
      </w:r>
    </w:p>
    <w:p w14:paraId="582C1481">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14:paraId="50D1BB9A">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年度财政拨款支出年初预算数为7191.85万万元，支出决算数为14985.42万元，完成年初预算的</w:t>
      </w:r>
      <w:r>
        <w:rPr>
          <w:rFonts w:hint="eastAsia" w:ascii="仿宋_GB2312" w:hAnsi="仿宋_GB2312" w:eastAsia="仿宋_GB2312" w:cs="仿宋_GB2312"/>
          <w:sz w:val="32"/>
          <w:szCs w:val="32"/>
          <w:lang w:val="en-US" w:eastAsia="zh-CN"/>
        </w:rPr>
        <w:t>208.37</w:t>
      </w:r>
      <w:r>
        <w:rPr>
          <w:rFonts w:hint="eastAsia" w:ascii="仿宋_GB2312" w:hAnsi="仿宋_GB2312" w:eastAsia="仿宋_GB2312" w:cs="仿宋_GB2312"/>
          <w:sz w:val="32"/>
          <w:szCs w:val="32"/>
        </w:rPr>
        <w:t>%，其中：</w:t>
      </w:r>
    </w:p>
    <w:p w14:paraId="47F536F9">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1、科学技术支出（类）</w:t>
      </w:r>
      <w:r>
        <w:rPr>
          <w:rFonts w:hint="eastAsia" w:ascii="仿宋_GB2312" w:hAnsi="仿宋_GB2312" w:eastAsia="仿宋_GB2312" w:cs="仿宋_GB2312"/>
          <w:sz w:val="32"/>
          <w:szCs w:val="32"/>
          <w:lang w:val="en-US" w:eastAsia="zh-CN"/>
        </w:rPr>
        <w:t>科学技术普及</w:t>
      </w:r>
      <w:r>
        <w:rPr>
          <w:rFonts w:hint="eastAsia" w:ascii="仿宋_GB2312" w:hAnsi="仿宋_GB2312" w:eastAsia="仿宋_GB2312" w:cs="仿宋_GB2312"/>
          <w:sz w:val="32"/>
          <w:szCs w:val="32"/>
        </w:rPr>
        <w:t>（款）科技馆站（项）。</w:t>
      </w:r>
    </w:p>
    <w:p w14:paraId="0C03A489">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万元，支出决算为2617.56万元，决算数大于年初预算数的主要原因是：</w:t>
      </w:r>
      <w:r>
        <w:rPr>
          <w:rFonts w:hint="eastAsia" w:ascii="仿宋_GB2312" w:hAnsi="仿宋_GB2312" w:eastAsia="仿宋_GB2312" w:cs="仿宋_GB2312"/>
          <w:sz w:val="32"/>
          <w:szCs w:val="32"/>
          <w:lang w:val="en-US" w:eastAsia="zh-CN"/>
        </w:rPr>
        <w:t>2617.56万元为巴陵书香创客PPP项目经费，2022年下的功能科目是2020899其他国有土地使用权出让收入安排的支出，因为未做预算，也非年初预算项目。</w:t>
      </w:r>
    </w:p>
    <w:p w14:paraId="3DB97B6E">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2、文化旅游体育与传媒支出（类）文化和旅游（款）行政运行（项）。</w:t>
      </w:r>
    </w:p>
    <w:p w14:paraId="27F159B8">
      <w:pPr>
        <w:widowControl w:val="0"/>
        <w:autoSpaceDE w:val="0"/>
        <w:autoSpaceDN w:val="0"/>
        <w:adjustRightInd w:val="0"/>
        <w:ind w:firstLine="800"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年初预算为848.04万元，支出决算为914.87万元，完成年初预算的</w:t>
      </w:r>
      <w:r>
        <w:rPr>
          <w:rFonts w:hint="eastAsia" w:ascii="仿宋_GB2312" w:hAnsi="仿宋_GB2312" w:eastAsia="仿宋_GB2312" w:cs="仿宋_GB2312"/>
          <w:sz w:val="32"/>
          <w:szCs w:val="32"/>
          <w:lang w:val="en-US" w:eastAsia="zh-CN"/>
        </w:rPr>
        <w:t>107.88</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val="en-US" w:eastAsia="zh-CN"/>
        </w:rPr>
        <w:t>局机关和二级机构有新进人员，导致运行经费增加。</w:t>
      </w:r>
    </w:p>
    <w:p w14:paraId="28F0070A">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、文化旅游体育与传媒支出（类）文化和旅游（款）一般行政管理事务（项）。</w:t>
      </w:r>
    </w:p>
    <w:p w14:paraId="351BA9E1">
      <w:pPr>
        <w:widowControl w:val="0"/>
        <w:autoSpaceDE w:val="0"/>
        <w:autoSpaceDN w:val="0"/>
        <w:adjustRightInd w:val="0"/>
        <w:ind w:firstLine="800"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万元，支出决算为179.45万元，决算数大于年初预算数的主要原因是：</w:t>
      </w:r>
      <w:r>
        <w:rPr>
          <w:rFonts w:hint="eastAsia" w:ascii="仿宋_GB2312" w:hAnsi="仿宋_GB2312" w:eastAsia="仿宋_GB2312" w:cs="仿宋_GB2312"/>
          <w:sz w:val="32"/>
          <w:szCs w:val="32"/>
          <w:lang w:val="en-US" w:eastAsia="zh-CN"/>
        </w:rPr>
        <w:t>发放了2022年度基础绩效奖金和2023年部分奖金。</w:t>
      </w:r>
    </w:p>
    <w:p w14:paraId="3CE2B0A3">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、文化旅游体育与传媒支出（类）文化和旅游（款）</w:t>
      </w:r>
      <w:r>
        <w:rPr>
          <w:rFonts w:hint="eastAsia" w:ascii="仿宋_GB2312" w:hAnsi="仿宋_GB2312" w:eastAsia="仿宋_GB2312" w:cs="仿宋_GB2312"/>
          <w:sz w:val="32"/>
          <w:szCs w:val="32"/>
          <w:lang w:val="en-US" w:eastAsia="zh-CN"/>
        </w:rPr>
        <w:t>图书馆</w:t>
      </w:r>
      <w:r>
        <w:rPr>
          <w:rFonts w:hint="eastAsia" w:ascii="仿宋_GB2312" w:hAnsi="仿宋_GB2312" w:eastAsia="仿宋_GB2312" w:cs="仿宋_GB2312"/>
          <w:sz w:val="32"/>
          <w:szCs w:val="32"/>
        </w:rPr>
        <w:t>（项）。</w:t>
      </w:r>
    </w:p>
    <w:p w14:paraId="46EB7C2E">
      <w:pPr>
        <w:pStyle w:val="2"/>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年初预算为667.39万元，支出决算为1117.23万元，完成年初预算的167.40%，决算数大于年初预算数的主要原因是：图书馆项目经费较上年度增加。</w:t>
      </w:r>
    </w:p>
    <w:p w14:paraId="7937CC01">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、文化旅游体育与传媒支出（类）文化和旅游（款）</w:t>
      </w:r>
      <w:r>
        <w:rPr>
          <w:rFonts w:hint="eastAsia" w:ascii="仿宋_GB2312" w:hAnsi="仿宋_GB2312" w:eastAsia="仿宋_GB2312" w:cs="仿宋_GB2312"/>
          <w:sz w:val="32"/>
          <w:szCs w:val="32"/>
          <w:lang w:val="en-US" w:eastAsia="zh-CN"/>
        </w:rPr>
        <w:t>文化展示及纪念机构</w:t>
      </w:r>
      <w:r>
        <w:rPr>
          <w:rFonts w:hint="eastAsia" w:ascii="仿宋_GB2312" w:hAnsi="仿宋_GB2312" w:eastAsia="仿宋_GB2312" w:cs="仿宋_GB2312"/>
          <w:sz w:val="32"/>
          <w:szCs w:val="32"/>
        </w:rPr>
        <w:t>（项）。</w:t>
      </w:r>
    </w:p>
    <w:p w14:paraId="1A8F2EAC">
      <w:pPr>
        <w:pStyle w:val="2"/>
        <w:ind w:firstLine="640" w:firstLineChars="200"/>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年初预算为132.87万元，支出决算为148.21万元，完成年初预算的111.55%，决算数大于年初预算数的主要原因是：会展中心其他资金电费增加。</w:t>
      </w:r>
    </w:p>
    <w:p w14:paraId="6A80C9C3">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、文化旅游体育与传媒支出（类）文化和旅游（款）</w:t>
      </w:r>
      <w:r>
        <w:rPr>
          <w:rFonts w:hint="eastAsia" w:ascii="仿宋_GB2312" w:hAnsi="仿宋_GB2312" w:eastAsia="仿宋_GB2312" w:cs="仿宋_GB2312"/>
          <w:sz w:val="32"/>
          <w:szCs w:val="32"/>
          <w:lang w:val="en-US" w:eastAsia="zh-CN"/>
        </w:rPr>
        <w:t>艺术表演场所</w:t>
      </w:r>
      <w:r>
        <w:rPr>
          <w:rFonts w:hint="eastAsia" w:ascii="仿宋_GB2312" w:hAnsi="仿宋_GB2312" w:eastAsia="仿宋_GB2312" w:cs="仿宋_GB2312"/>
          <w:sz w:val="32"/>
          <w:szCs w:val="32"/>
        </w:rPr>
        <w:t>（项）。</w:t>
      </w:r>
    </w:p>
    <w:p w14:paraId="2CDC9210">
      <w:pPr>
        <w:pStyle w:val="2"/>
        <w:ind w:firstLine="640" w:firstLineChars="200"/>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年初预算为371.06万元，支出决算为394.58万元，完成年初预算的106.34%，决算数大于年初预算数的主要原因是：会展中心定额补助增加。</w:t>
      </w:r>
    </w:p>
    <w:p w14:paraId="059FFFF2">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、文化旅游体育与传媒支出（类）文化和旅游（款）</w:t>
      </w:r>
      <w:r>
        <w:rPr>
          <w:rFonts w:hint="eastAsia" w:ascii="仿宋_GB2312" w:hAnsi="仿宋_GB2312" w:eastAsia="仿宋_GB2312" w:cs="仿宋_GB2312"/>
          <w:sz w:val="32"/>
          <w:szCs w:val="32"/>
          <w:lang w:val="en-US" w:eastAsia="zh-CN"/>
        </w:rPr>
        <w:t>艺术表演团体</w:t>
      </w:r>
      <w:r>
        <w:rPr>
          <w:rFonts w:hint="eastAsia" w:ascii="仿宋_GB2312" w:hAnsi="仿宋_GB2312" w:eastAsia="仿宋_GB2312" w:cs="仿宋_GB2312"/>
          <w:sz w:val="32"/>
          <w:szCs w:val="32"/>
        </w:rPr>
        <w:t>（项）。</w:t>
      </w:r>
    </w:p>
    <w:p w14:paraId="265F76B3">
      <w:pPr>
        <w:widowControl w:val="0"/>
        <w:autoSpaceDE w:val="0"/>
        <w:autoSpaceDN w:val="0"/>
        <w:adjustRightInd w:val="0"/>
        <w:ind w:firstLine="800" w:firstLineChars="250"/>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年初预算为1245.85万元，支出决算为1438.24万元，完成年初预算的115.44%，决算数大于年初预算数的主要原因是：巴陵戏传承研究院</w:t>
      </w:r>
      <w:r>
        <w:rPr>
          <w:rFonts w:hint="eastAsia" w:ascii="仿宋_GB2312" w:hAnsi="仿宋_GB2312" w:eastAsia="仿宋_GB2312" w:cs="仿宋_GB2312"/>
          <w:sz w:val="32"/>
          <w:szCs w:val="32"/>
          <w:lang w:val="en-US" w:eastAsia="zh-CN"/>
        </w:rPr>
        <w:t>发放了2022年度基础绩效奖金和2023年部分奖金</w:t>
      </w:r>
      <w:r>
        <w:rPr>
          <w:rFonts w:hint="eastAsia" w:ascii="仿宋_GB2312" w:hAnsi="仿宋_GB2312" w:eastAsia="仿宋_GB2312" w:cs="仿宋_GB2312"/>
          <w:b w:val="0"/>
          <w:bCs w:val="0"/>
          <w:kern w:val="2"/>
          <w:sz w:val="32"/>
          <w:szCs w:val="32"/>
          <w:lang w:val="en-US" w:eastAsia="zh-CN" w:bidi="ar-SA"/>
        </w:rPr>
        <w:t>。</w:t>
      </w:r>
    </w:p>
    <w:p w14:paraId="08A0CC08">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、文化旅游体育与传媒支出（类）文化和旅游（款）</w:t>
      </w:r>
      <w:r>
        <w:rPr>
          <w:rFonts w:hint="eastAsia" w:ascii="仿宋_GB2312" w:hAnsi="仿宋_GB2312" w:eastAsia="仿宋_GB2312" w:cs="仿宋_GB2312"/>
          <w:sz w:val="32"/>
          <w:szCs w:val="32"/>
          <w:lang w:val="en-US" w:eastAsia="zh-CN"/>
        </w:rPr>
        <w:t>群众文化</w:t>
      </w:r>
      <w:r>
        <w:rPr>
          <w:rFonts w:hint="eastAsia" w:ascii="仿宋_GB2312" w:hAnsi="仿宋_GB2312" w:eastAsia="仿宋_GB2312" w:cs="仿宋_GB2312"/>
          <w:sz w:val="32"/>
          <w:szCs w:val="32"/>
        </w:rPr>
        <w:t>（项）。</w:t>
      </w:r>
    </w:p>
    <w:p w14:paraId="7FA8E990">
      <w:pPr>
        <w:widowControl w:val="0"/>
        <w:autoSpaceDE w:val="0"/>
        <w:autoSpaceDN w:val="0"/>
        <w:adjustRightInd w:val="0"/>
        <w:ind w:firstLine="800" w:firstLineChars="250"/>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年初预算为195.64万元，支出决算为208.97万元，完成年初预算的106.81%，决算数大于年初预算数的主要原因是：群艺馆</w:t>
      </w:r>
      <w:r>
        <w:rPr>
          <w:rFonts w:hint="eastAsia" w:ascii="仿宋_GB2312" w:hAnsi="仿宋_GB2312" w:eastAsia="仿宋_GB2312" w:cs="仿宋_GB2312"/>
          <w:sz w:val="32"/>
          <w:szCs w:val="32"/>
          <w:lang w:val="en-US" w:eastAsia="zh-CN"/>
        </w:rPr>
        <w:t>发放了2022年度基础绩效奖金和2023年部分奖金</w:t>
      </w:r>
      <w:r>
        <w:rPr>
          <w:rFonts w:hint="eastAsia" w:ascii="仿宋_GB2312" w:hAnsi="仿宋_GB2312" w:eastAsia="仿宋_GB2312" w:cs="仿宋_GB2312"/>
          <w:b w:val="0"/>
          <w:bCs w:val="0"/>
          <w:kern w:val="2"/>
          <w:sz w:val="32"/>
          <w:szCs w:val="32"/>
          <w:lang w:val="en-US" w:eastAsia="zh-CN" w:bidi="ar-SA"/>
        </w:rPr>
        <w:t>。</w:t>
      </w:r>
    </w:p>
    <w:p w14:paraId="43CA0EF7">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、文化旅游体育与传媒支出（类）文化和旅游（款）</w:t>
      </w:r>
      <w:r>
        <w:rPr>
          <w:rFonts w:hint="eastAsia" w:ascii="仿宋_GB2312" w:hAnsi="仿宋_GB2312" w:eastAsia="仿宋_GB2312" w:cs="仿宋_GB2312"/>
          <w:sz w:val="32"/>
          <w:szCs w:val="32"/>
          <w:lang w:val="en-US" w:eastAsia="zh-CN"/>
        </w:rPr>
        <w:t>文化创作与保护</w:t>
      </w:r>
      <w:r>
        <w:rPr>
          <w:rFonts w:hint="eastAsia" w:ascii="仿宋_GB2312" w:hAnsi="仿宋_GB2312" w:eastAsia="仿宋_GB2312" w:cs="仿宋_GB2312"/>
          <w:sz w:val="32"/>
          <w:szCs w:val="32"/>
        </w:rPr>
        <w:t>（项）。</w:t>
      </w:r>
    </w:p>
    <w:p w14:paraId="62D75EEC">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0万元，支出决算为34.69万元，决算数大于年初预算数的主要原因是：巴陵戏传承研究院支付了2022年结转专项（青年学员经费）、文保中心支付了国家级非物质文化遗产保护资金（省级专项），都非年初预算项目。</w:t>
      </w:r>
    </w:p>
    <w:p w14:paraId="5A448B13">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bookmarkStart w:id="0" w:name="OLE_LINK1"/>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、文化旅游体育与传媒支出（类）文化和旅游（款）</w:t>
      </w:r>
      <w:r>
        <w:rPr>
          <w:rFonts w:hint="eastAsia" w:ascii="仿宋_GB2312" w:hAnsi="仿宋_GB2312" w:eastAsia="仿宋_GB2312" w:cs="仿宋_GB2312"/>
          <w:sz w:val="32"/>
          <w:szCs w:val="32"/>
          <w:lang w:val="en-US" w:eastAsia="zh-CN"/>
        </w:rPr>
        <w:t>其他文化和旅游支出</w:t>
      </w:r>
      <w:r>
        <w:rPr>
          <w:rFonts w:hint="eastAsia" w:ascii="仿宋_GB2312" w:hAnsi="仿宋_GB2312" w:eastAsia="仿宋_GB2312" w:cs="仿宋_GB2312"/>
          <w:sz w:val="32"/>
          <w:szCs w:val="32"/>
        </w:rPr>
        <w:t>（项）。</w:t>
      </w:r>
    </w:p>
    <w:p w14:paraId="50D9843C">
      <w:pPr>
        <w:pStyle w:val="2"/>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年初预算为0万元，支出决算为2639.56万元，决算数大于年初预算数的主要原因是：局机关和群艺馆大部分市级专项和省级中央级专项均为财政代编专项，为后期追加非年初预算项目。</w:t>
      </w:r>
      <w:bookmarkEnd w:id="0"/>
    </w:p>
    <w:p w14:paraId="234FE592">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、文化旅游体育与传媒支出（类）</w:t>
      </w:r>
      <w:r>
        <w:rPr>
          <w:rFonts w:hint="eastAsia" w:ascii="仿宋_GB2312" w:hAnsi="仿宋_GB2312" w:eastAsia="仿宋_GB2312" w:cs="仿宋_GB2312"/>
          <w:sz w:val="32"/>
          <w:szCs w:val="32"/>
          <w:lang w:val="en-US" w:eastAsia="zh-CN"/>
        </w:rPr>
        <w:t>文物</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文物保护</w:t>
      </w:r>
      <w:r>
        <w:rPr>
          <w:rFonts w:hint="eastAsia" w:ascii="仿宋_GB2312" w:hAnsi="仿宋_GB2312" w:eastAsia="仿宋_GB2312" w:cs="仿宋_GB2312"/>
          <w:sz w:val="32"/>
          <w:szCs w:val="32"/>
        </w:rPr>
        <w:t>（项）。</w:t>
      </w:r>
    </w:p>
    <w:p w14:paraId="1841CC61">
      <w:pPr>
        <w:ind w:firstLine="640" w:firstLineChars="200"/>
        <w:rPr>
          <w:rFonts w:hint="default"/>
          <w:lang w:val="en-US" w:eastAsia="zh-CN"/>
        </w:rPr>
      </w:pPr>
      <w:r>
        <w:rPr>
          <w:rFonts w:hint="eastAsia" w:ascii="仿宋_GB2312" w:hAnsi="仿宋_GB2312" w:eastAsia="仿宋_GB2312" w:cs="仿宋_GB2312"/>
          <w:b w:val="0"/>
          <w:bCs w:val="0"/>
          <w:kern w:val="2"/>
          <w:sz w:val="32"/>
          <w:szCs w:val="32"/>
          <w:lang w:val="en-US" w:eastAsia="zh-CN" w:bidi="ar-SA"/>
        </w:rPr>
        <w:t>年初预算为706.70万元，支出决算为1067.22万元，完成年初预算的151.01%，决算数大于年初预算数的主要原因是：博物馆省级专项非年初预算项目、君山岛文物管理所支付专户资金改制人员工资福利支出。</w:t>
      </w:r>
    </w:p>
    <w:p w14:paraId="378D4FC2">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、文化旅游体育与传媒支出（类）</w:t>
      </w:r>
      <w:r>
        <w:rPr>
          <w:rFonts w:hint="eastAsia" w:ascii="仿宋_GB2312" w:hAnsi="仿宋_GB2312" w:eastAsia="仿宋_GB2312" w:cs="仿宋_GB2312"/>
          <w:sz w:val="32"/>
          <w:szCs w:val="32"/>
          <w:lang w:val="en-US" w:eastAsia="zh-CN"/>
        </w:rPr>
        <w:t>文物</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博物馆</w:t>
      </w:r>
      <w:r>
        <w:rPr>
          <w:rFonts w:hint="eastAsia" w:ascii="仿宋_GB2312" w:hAnsi="仿宋_GB2312" w:eastAsia="仿宋_GB2312" w:cs="仿宋_GB2312"/>
          <w:sz w:val="32"/>
          <w:szCs w:val="32"/>
        </w:rPr>
        <w:t>（项）。</w:t>
      </w:r>
    </w:p>
    <w:p w14:paraId="67B2DDA0">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年初预算为187.15万元，支出决算为595.73万元，完成年初预算的318.32%，决算数大于年初预算数的主要原因是：博物馆大部分市级专项和省级中央级专项均为财政代编专项，为后期追加非年初预算项目。</w:t>
      </w:r>
    </w:p>
    <w:p w14:paraId="27EBD0D0">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、文化旅游体育与传媒支出（类）</w:t>
      </w:r>
      <w:r>
        <w:rPr>
          <w:rFonts w:hint="eastAsia" w:ascii="仿宋_GB2312" w:hAnsi="仿宋_GB2312" w:eastAsia="仿宋_GB2312" w:cs="仿宋_GB2312"/>
          <w:sz w:val="32"/>
          <w:szCs w:val="32"/>
          <w:lang w:val="en-US" w:eastAsia="zh-CN"/>
        </w:rPr>
        <w:t>文物</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其他文物支出</w:t>
      </w:r>
      <w:r>
        <w:rPr>
          <w:rFonts w:hint="eastAsia" w:ascii="仿宋_GB2312" w:hAnsi="仿宋_GB2312" w:eastAsia="仿宋_GB2312" w:cs="仿宋_GB2312"/>
          <w:sz w:val="32"/>
          <w:szCs w:val="32"/>
        </w:rPr>
        <w:t>（项）。</w:t>
      </w:r>
    </w:p>
    <w:p w14:paraId="567F45D5">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年初预算为0万元，支出决算为287.09万元，决算数大于年初预算数的主要原因是：博物馆大部分市级专项和省级中央级专项均为财政代编专项，为后期追加非年初预算项目。</w:t>
      </w:r>
    </w:p>
    <w:p w14:paraId="44303434">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、文化旅游体育与传媒支出（类）</w:t>
      </w:r>
      <w:r>
        <w:rPr>
          <w:rFonts w:hint="eastAsia" w:ascii="仿宋_GB2312" w:hAnsi="仿宋_GB2312" w:eastAsia="仿宋_GB2312" w:cs="仿宋_GB2312"/>
          <w:sz w:val="32"/>
          <w:szCs w:val="32"/>
          <w:lang w:val="en-US" w:eastAsia="zh-CN"/>
        </w:rPr>
        <w:t>新闻出版电影</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行政运行</w:t>
      </w:r>
      <w:r>
        <w:rPr>
          <w:rFonts w:hint="eastAsia" w:ascii="仿宋_GB2312" w:hAnsi="仿宋_GB2312" w:eastAsia="仿宋_GB2312" w:cs="仿宋_GB2312"/>
          <w:sz w:val="32"/>
          <w:szCs w:val="32"/>
        </w:rPr>
        <w:t>（项）。</w:t>
      </w:r>
    </w:p>
    <w:p w14:paraId="5D60A038">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年初预算为640.38万元，支出决算为660.15万元，完成年初预算的103.09%，决算数大于年初预算数的主要原因是：文化市场综合行政执法支队</w:t>
      </w:r>
      <w:r>
        <w:rPr>
          <w:rFonts w:hint="eastAsia" w:ascii="仿宋_GB2312" w:hAnsi="仿宋_GB2312" w:eastAsia="仿宋_GB2312" w:cs="仿宋_GB2312"/>
          <w:sz w:val="32"/>
          <w:szCs w:val="32"/>
          <w:lang w:val="en-US" w:eastAsia="zh-CN"/>
        </w:rPr>
        <w:t>发放了2022年度基础绩效奖金和2023年部分奖金</w:t>
      </w:r>
      <w:r>
        <w:rPr>
          <w:rFonts w:hint="eastAsia" w:ascii="仿宋_GB2312" w:hAnsi="仿宋_GB2312" w:eastAsia="仿宋_GB2312" w:cs="仿宋_GB2312"/>
          <w:b w:val="0"/>
          <w:bCs w:val="0"/>
          <w:kern w:val="2"/>
          <w:sz w:val="32"/>
          <w:szCs w:val="32"/>
          <w:lang w:val="en-US" w:eastAsia="zh-CN" w:bidi="ar-SA"/>
        </w:rPr>
        <w:t>。</w:t>
      </w:r>
    </w:p>
    <w:p w14:paraId="5D357926">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、文化旅游体育与传媒支出（类）</w:t>
      </w:r>
      <w:r>
        <w:rPr>
          <w:rFonts w:hint="eastAsia" w:ascii="仿宋_GB2312" w:hAnsi="仿宋_GB2312" w:eastAsia="仿宋_GB2312" w:cs="仿宋_GB2312"/>
          <w:sz w:val="32"/>
          <w:szCs w:val="32"/>
          <w:lang w:val="en-US" w:eastAsia="zh-CN"/>
        </w:rPr>
        <w:t>新闻出版电影</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一般行政管理事务</w:t>
      </w:r>
      <w:r>
        <w:rPr>
          <w:rFonts w:hint="eastAsia" w:ascii="仿宋_GB2312" w:hAnsi="仿宋_GB2312" w:eastAsia="仿宋_GB2312" w:cs="仿宋_GB2312"/>
          <w:sz w:val="32"/>
          <w:szCs w:val="32"/>
        </w:rPr>
        <w:t>（项）。</w:t>
      </w:r>
    </w:p>
    <w:p w14:paraId="5030AEE1">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年初预算为5万元，支出决算为3.23万元，完成年初预算的64.60%，决算数小于年初预算数的主要原因是：文化市场综合行政执法支队</w:t>
      </w:r>
      <w:r>
        <w:rPr>
          <w:rFonts w:hint="eastAsia" w:ascii="仿宋_GB2312" w:hAnsi="仿宋_GB2312" w:eastAsia="仿宋_GB2312" w:cs="仿宋_GB2312"/>
          <w:sz w:val="32"/>
          <w:szCs w:val="32"/>
          <w:lang w:val="en-US" w:eastAsia="zh-CN"/>
        </w:rPr>
        <w:t>办案费结余</w:t>
      </w:r>
      <w:r>
        <w:rPr>
          <w:rFonts w:hint="eastAsia" w:ascii="仿宋_GB2312" w:hAnsi="仿宋_GB2312" w:eastAsia="仿宋_GB2312" w:cs="仿宋_GB2312"/>
          <w:b w:val="0"/>
          <w:bCs w:val="0"/>
          <w:kern w:val="2"/>
          <w:sz w:val="32"/>
          <w:szCs w:val="32"/>
          <w:lang w:val="en-US" w:eastAsia="zh-CN" w:bidi="ar-SA"/>
        </w:rPr>
        <w:t>。</w:t>
      </w:r>
    </w:p>
    <w:p w14:paraId="25A86B0A">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、文化旅游体育与传媒支出（类）</w:t>
      </w:r>
      <w:r>
        <w:rPr>
          <w:rFonts w:hint="eastAsia" w:ascii="仿宋_GB2312" w:hAnsi="仿宋_GB2312" w:eastAsia="仿宋_GB2312" w:cs="仿宋_GB2312"/>
          <w:sz w:val="32"/>
          <w:szCs w:val="32"/>
          <w:lang w:val="en-US" w:eastAsia="zh-CN"/>
        </w:rPr>
        <w:t>新闻出版电影</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出版发行</w:t>
      </w:r>
      <w:r>
        <w:rPr>
          <w:rFonts w:hint="eastAsia" w:ascii="仿宋_GB2312" w:hAnsi="仿宋_GB2312" w:eastAsia="仿宋_GB2312" w:cs="仿宋_GB2312"/>
          <w:sz w:val="32"/>
          <w:szCs w:val="32"/>
        </w:rPr>
        <w:t>（项）。</w:t>
      </w:r>
    </w:p>
    <w:p w14:paraId="2D5C1B8A">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年初预算为0万元，支出决算为9.83万元，决算数大于年初预算数的主要原因是：文化市场综合行政执法支队</w:t>
      </w:r>
      <w:r>
        <w:rPr>
          <w:rFonts w:hint="eastAsia" w:ascii="仿宋_GB2312" w:hAnsi="仿宋_GB2312" w:eastAsia="仿宋_GB2312" w:cs="仿宋_GB2312"/>
          <w:sz w:val="32"/>
          <w:szCs w:val="32"/>
          <w:lang w:val="en-US" w:eastAsia="zh-CN"/>
        </w:rPr>
        <w:t>省级专项扫黄打非经费补助，</w:t>
      </w:r>
      <w:r>
        <w:rPr>
          <w:rFonts w:hint="eastAsia" w:ascii="仿宋_GB2312" w:hAnsi="仿宋_GB2312" w:eastAsia="仿宋_GB2312" w:cs="仿宋_GB2312"/>
          <w:b w:val="0"/>
          <w:bCs w:val="0"/>
          <w:kern w:val="2"/>
          <w:sz w:val="32"/>
          <w:szCs w:val="32"/>
          <w:lang w:val="en-US" w:eastAsia="zh-CN" w:bidi="ar-SA"/>
        </w:rPr>
        <w:t>为后期追加非年初预算项目。</w:t>
      </w:r>
    </w:p>
    <w:p w14:paraId="11CEAA55">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、文化旅游体育与传媒支出（类）</w:t>
      </w:r>
      <w:r>
        <w:rPr>
          <w:rFonts w:hint="eastAsia" w:ascii="仿宋_GB2312" w:hAnsi="仿宋_GB2312" w:eastAsia="仿宋_GB2312" w:cs="仿宋_GB2312"/>
          <w:sz w:val="32"/>
          <w:szCs w:val="32"/>
          <w:lang w:val="en-US" w:eastAsia="zh-CN"/>
        </w:rPr>
        <w:t>广播电视</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行政运行</w:t>
      </w:r>
      <w:r>
        <w:rPr>
          <w:rFonts w:hint="eastAsia" w:ascii="仿宋_GB2312" w:hAnsi="仿宋_GB2312" w:eastAsia="仿宋_GB2312" w:cs="仿宋_GB2312"/>
          <w:sz w:val="32"/>
          <w:szCs w:val="32"/>
        </w:rPr>
        <w:t>（项）。</w:t>
      </w:r>
    </w:p>
    <w:p w14:paraId="38B25A4A">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年初预算为0万元，支出决算为26万元，决算数大于年初预算数的主要原因是：巴陵戏传承研究院</w:t>
      </w:r>
      <w:r>
        <w:rPr>
          <w:rFonts w:hint="eastAsia" w:ascii="仿宋_GB2312" w:hAnsi="仿宋_GB2312" w:eastAsia="仿宋_GB2312" w:cs="仿宋_GB2312"/>
          <w:sz w:val="32"/>
          <w:szCs w:val="32"/>
          <w:lang w:val="en-US" w:eastAsia="zh-CN"/>
        </w:rPr>
        <w:t>专项市委统战部十大同心任务典礼工作经费，</w:t>
      </w:r>
      <w:r>
        <w:rPr>
          <w:rFonts w:hint="eastAsia" w:ascii="仿宋_GB2312" w:hAnsi="仿宋_GB2312" w:eastAsia="仿宋_GB2312" w:cs="仿宋_GB2312"/>
          <w:b w:val="0"/>
          <w:bCs w:val="0"/>
          <w:kern w:val="2"/>
          <w:sz w:val="32"/>
          <w:szCs w:val="32"/>
          <w:lang w:val="en-US" w:eastAsia="zh-CN" w:bidi="ar-SA"/>
        </w:rPr>
        <w:t>为后期追加非年初预算项目。</w:t>
      </w:r>
    </w:p>
    <w:p w14:paraId="1B5457BE">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、文化旅游体育与传媒支出（类）</w:t>
      </w:r>
      <w:r>
        <w:rPr>
          <w:rFonts w:hint="eastAsia" w:ascii="仿宋_GB2312" w:hAnsi="仿宋_GB2312" w:eastAsia="仿宋_GB2312" w:cs="仿宋_GB2312"/>
          <w:sz w:val="32"/>
          <w:szCs w:val="32"/>
          <w:lang w:val="en-US" w:eastAsia="zh-CN"/>
        </w:rPr>
        <w:t>其他文化旅游体育与传媒支出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其他文化旅游体育与传媒支出</w:t>
      </w:r>
      <w:r>
        <w:rPr>
          <w:rFonts w:hint="eastAsia" w:ascii="仿宋_GB2312" w:hAnsi="仿宋_GB2312" w:eastAsia="仿宋_GB2312" w:cs="仿宋_GB2312"/>
          <w:sz w:val="32"/>
          <w:szCs w:val="32"/>
        </w:rPr>
        <w:t>（项）。</w:t>
      </w:r>
    </w:p>
    <w:p w14:paraId="6B440753">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年初预算为159.20万元，支出决算为428.08万元，完成年初预算的268.89%，决算数大于年初预算数的主要原因是：非税资金、专户资金和中央级专项为后期追加非年初预算项目。</w:t>
      </w:r>
    </w:p>
    <w:p w14:paraId="7A436807">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、社会保障和就业支出（类）</w:t>
      </w:r>
      <w:r>
        <w:rPr>
          <w:rFonts w:hint="eastAsia" w:ascii="仿宋_GB2312" w:hAnsi="仿宋_GB2312" w:eastAsia="仿宋_GB2312" w:cs="仿宋_GB2312"/>
          <w:sz w:val="32"/>
          <w:szCs w:val="32"/>
          <w:lang w:val="en-US" w:eastAsia="zh-CN"/>
        </w:rPr>
        <w:t>行政事业单位养老支出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行政单位离退休</w:t>
      </w:r>
      <w:r>
        <w:rPr>
          <w:rFonts w:hint="eastAsia" w:ascii="仿宋_GB2312" w:hAnsi="仿宋_GB2312" w:eastAsia="仿宋_GB2312" w:cs="仿宋_GB2312"/>
          <w:sz w:val="32"/>
          <w:szCs w:val="32"/>
        </w:rPr>
        <w:t>（项）。</w:t>
      </w:r>
    </w:p>
    <w:p w14:paraId="02F2F826">
      <w:pPr>
        <w:ind w:firstLine="640" w:firstLineChars="200"/>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年初预算为333.12万元，支出决算为331.06万元，完成年初预算的99.38%，决算数小于年初预算数的主要原因是：工会经费部分因党组会程序未及时走完，未支付。</w:t>
      </w:r>
    </w:p>
    <w:p w14:paraId="6D4C6680">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、社会保障和就业支出（类）</w:t>
      </w:r>
      <w:r>
        <w:rPr>
          <w:rFonts w:hint="eastAsia" w:ascii="仿宋_GB2312" w:hAnsi="仿宋_GB2312" w:eastAsia="仿宋_GB2312" w:cs="仿宋_GB2312"/>
          <w:sz w:val="32"/>
          <w:szCs w:val="32"/>
          <w:lang w:val="en-US" w:eastAsia="zh-CN"/>
        </w:rPr>
        <w:t>行政事业单位养老支出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事业单位离退休</w:t>
      </w:r>
      <w:r>
        <w:rPr>
          <w:rFonts w:hint="eastAsia" w:ascii="仿宋_GB2312" w:hAnsi="仿宋_GB2312" w:eastAsia="仿宋_GB2312" w:cs="仿宋_GB2312"/>
          <w:sz w:val="32"/>
          <w:szCs w:val="32"/>
        </w:rPr>
        <w:t>（项）。</w:t>
      </w:r>
    </w:p>
    <w:p w14:paraId="012797DF">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年初预算为408.46万元，支出决算为516.31万元，完成年初预算的126.40%，决算数大于年初预算数的主要原因是：</w:t>
      </w:r>
      <w:r>
        <w:rPr>
          <w:rFonts w:hint="eastAsia" w:ascii="仿宋_GB2312" w:hAnsi="仿宋_GB2312" w:eastAsia="仿宋_GB2312" w:cs="仿宋_GB2312"/>
          <w:sz w:val="32"/>
          <w:szCs w:val="32"/>
          <w:lang w:val="en-US" w:eastAsia="zh-CN"/>
        </w:rPr>
        <w:t>发放了2022年度基础绩效奖金和2023年部分奖金</w:t>
      </w:r>
      <w:r>
        <w:rPr>
          <w:rFonts w:hint="eastAsia" w:ascii="仿宋_GB2312" w:hAnsi="仿宋_GB2312" w:eastAsia="仿宋_GB2312" w:cs="仿宋_GB2312"/>
          <w:b w:val="0"/>
          <w:bCs w:val="0"/>
          <w:kern w:val="2"/>
          <w:sz w:val="32"/>
          <w:szCs w:val="32"/>
          <w:lang w:val="en-US" w:eastAsia="zh-CN" w:bidi="ar-SA"/>
        </w:rPr>
        <w:t>。</w:t>
      </w:r>
    </w:p>
    <w:p w14:paraId="134D4CBF">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、社会保障和就业支出（类）</w:t>
      </w:r>
      <w:r>
        <w:rPr>
          <w:rFonts w:hint="eastAsia" w:ascii="仿宋_GB2312" w:hAnsi="仿宋_GB2312" w:eastAsia="仿宋_GB2312" w:cs="仿宋_GB2312"/>
          <w:sz w:val="32"/>
          <w:szCs w:val="32"/>
          <w:lang w:val="en-US" w:eastAsia="zh-CN"/>
        </w:rPr>
        <w:t>行政事业单位养老支出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机关事业单位基本养老保险缴费支出</w:t>
      </w:r>
      <w:r>
        <w:rPr>
          <w:rFonts w:hint="eastAsia" w:ascii="仿宋_GB2312" w:hAnsi="仿宋_GB2312" w:eastAsia="仿宋_GB2312" w:cs="仿宋_GB2312"/>
          <w:sz w:val="32"/>
          <w:szCs w:val="32"/>
        </w:rPr>
        <w:t>（项）。</w:t>
      </w:r>
    </w:p>
    <w:p w14:paraId="14C4BD21">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年初预算为432.06万元，支出决算为432.06万元，完成年初预算的100%，决算数等于年初预算数的主要原因是：严格</w:t>
      </w:r>
      <w:r>
        <w:rPr>
          <w:rFonts w:hint="eastAsia" w:ascii="仿宋_GB2312" w:hAnsi="仿宋_GB2312" w:eastAsia="仿宋_GB2312" w:cs="仿宋_GB2312"/>
          <w:sz w:val="32"/>
          <w:szCs w:val="32"/>
          <w:lang w:val="en-US" w:eastAsia="zh-CN"/>
        </w:rPr>
        <w:t>按预算执行</w:t>
      </w:r>
      <w:r>
        <w:rPr>
          <w:rFonts w:hint="eastAsia" w:ascii="仿宋_GB2312" w:hAnsi="仿宋_GB2312" w:eastAsia="仿宋_GB2312" w:cs="仿宋_GB2312"/>
          <w:b w:val="0"/>
          <w:bCs w:val="0"/>
          <w:kern w:val="2"/>
          <w:sz w:val="32"/>
          <w:szCs w:val="32"/>
          <w:lang w:val="en-US" w:eastAsia="zh-CN" w:bidi="ar-SA"/>
        </w:rPr>
        <w:t>。</w:t>
      </w:r>
    </w:p>
    <w:p w14:paraId="6DB23B9B">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、社会保障和就业支出（类）</w:t>
      </w:r>
      <w:r>
        <w:rPr>
          <w:rFonts w:hint="eastAsia" w:ascii="仿宋_GB2312" w:hAnsi="仿宋_GB2312" w:eastAsia="仿宋_GB2312" w:cs="仿宋_GB2312"/>
          <w:sz w:val="32"/>
          <w:szCs w:val="32"/>
          <w:lang w:val="en-US" w:eastAsia="zh-CN"/>
        </w:rPr>
        <w:t>抚恤</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其他优抚支出</w:t>
      </w:r>
      <w:r>
        <w:rPr>
          <w:rFonts w:hint="eastAsia" w:ascii="仿宋_GB2312" w:hAnsi="仿宋_GB2312" w:eastAsia="仿宋_GB2312" w:cs="仿宋_GB2312"/>
          <w:sz w:val="32"/>
          <w:szCs w:val="32"/>
        </w:rPr>
        <w:t>（项）。</w:t>
      </w:r>
    </w:p>
    <w:p w14:paraId="76F60A2F">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年初预算为0万元，支出决算为102.85万元，</w:t>
      </w:r>
      <w:r>
        <w:rPr>
          <w:rFonts w:hint="eastAsia" w:ascii="仿宋_GB2312" w:hAnsi="仿宋_GB2312" w:eastAsia="仿宋_GB2312" w:cs="仿宋_GB2312"/>
          <w:b w:val="0"/>
          <w:bCs w:val="0"/>
          <w:kern w:val="2"/>
          <w:sz w:val="32"/>
          <w:szCs w:val="32"/>
          <w:highlight w:val="none"/>
          <w:lang w:val="en-US" w:eastAsia="zh-CN" w:bidi="ar-SA"/>
        </w:rPr>
        <w:t>决算数大于年初预算数的主要原因是：</w:t>
      </w:r>
      <w:r>
        <w:rPr>
          <w:rFonts w:hint="eastAsia" w:ascii="仿宋_GB2312" w:hAnsi="仿宋_GB2312" w:eastAsia="仿宋_GB2312" w:cs="仿宋_GB2312"/>
          <w:sz w:val="32"/>
          <w:szCs w:val="32"/>
          <w:highlight w:val="none"/>
          <w:lang w:val="en-US" w:eastAsia="zh-CN"/>
        </w:rPr>
        <w:t>发放了死亡遗属生活补助、一次性抚恤金</w:t>
      </w:r>
      <w:r>
        <w:rPr>
          <w:rFonts w:hint="eastAsia" w:ascii="仿宋_GB2312" w:hAnsi="仿宋_GB2312" w:eastAsia="仿宋_GB2312" w:cs="仿宋_GB2312"/>
          <w:b w:val="0"/>
          <w:bCs w:val="0"/>
          <w:kern w:val="2"/>
          <w:sz w:val="32"/>
          <w:szCs w:val="32"/>
          <w:highlight w:val="none"/>
          <w:lang w:val="en-US" w:eastAsia="zh-CN" w:bidi="ar-SA"/>
        </w:rPr>
        <w:t>。</w:t>
      </w:r>
    </w:p>
    <w:p w14:paraId="2E7F039A">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、社会保障和就业支出（类）</w:t>
      </w:r>
      <w:r>
        <w:rPr>
          <w:rFonts w:hint="eastAsia" w:ascii="仿宋_GB2312" w:hAnsi="仿宋_GB2312" w:eastAsia="仿宋_GB2312" w:cs="仿宋_GB2312"/>
          <w:sz w:val="32"/>
          <w:szCs w:val="32"/>
          <w:lang w:val="en-US" w:eastAsia="zh-CN"/>
        </w:rPr>
        <w:t>其他社会保障和就业支出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其他社会保障和就业支出</w:t>
      </w:r>
      <w:r>
        <w:rPr>
          <w:rFonts w:hint="eastAsia" w:ascii="仿宋_GB2312" w:hAnsi="仿宋_GB2312" w:eastAsia="仿宋_GB2312" w:cs="仿宋_GB2312"/>
          <w:sz w:val="32"/>
          <w:szCs w:val="32"/>
        </w:rPr>
        <w:t>（项）。</w:t>
      </w:r>
    </w:p>
    <w:p w14:paraId="559C7957">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年初预算为9.03万元，支出决算为20.37万元，完成年初预算的225.58%，</w:t>
      </w:r>
      <w:r>
        <w:rPr>
          <w:rFonts w:hint="eastAsia" w:ascii="仿宋_GB2312" w:hAnsi="仿宋_GB2312" w:eastAsia="仿宋_GB2312" w:cs="仿宋_GB2312"/>
          <w:b w:val="0"/>
          <w:bCs w:val="0"/>
          <w:kern w:val="2"/>
          <w:sz w:val="32"/>
          <w:szCs w:val="32"/>
          <w:highlight w:val="none"/>
          <w:lang w:val="en-US" w:eastAsia="zh-CN" w:bidi="ar-SA"/>
        </w:rPr>
        <w:t>决算数大于年初预算数的主要原因是：</w:t>
      </w:r>
      <w:r>
        <w:rPr>
          <w:rFonts w:hint="eastAsia" w:ascii="仿宋_GB2312" w:hAnsi="仿宋_GB2312" w:eastAsia="仿宋_GB2312" w:cs="仿宋_GB2312"/>
          <w:sz w:val="32"/>
          <w:szCs w:val="32"/>
          <w:highlight w:val="none"/>
          <w:lang w:val="en-US" w:eastAsia="zh-CN"/>
        </w:rPr>
        <w:t>2023年第二批工资补差</w:t>
      </w:r>
      <w:r>
        <w:rPr>
          <w:rFonts w:hint="eastAsia" w:ascii="仿宋_GB2312" w:hAnsi="仿宋_GB2312" w:eastAsia="仿宋_GB2312" w:cs="仿宋_GB2312"/>
          <w:b w:val="0"/>
          <w:bCs w:val="0"/>
          <w:kern w:val="2"/>
          <w:sz w:val="32"/>
          <w:szCs w:val="32"/>
          <w:highlight w:val="none"/>
          <w:lang w:val="en-US" w:eastAsia="zh-CN" w:bidi="ar-SA"/>
        </w:rPr>
        <w:t>。</w:t>
      </w:r>
    </w:p>
    <w:p w14:paraId="6F3FCAC8">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、卫生健康支出（类）</w:t>
      </w:r>
      <w:r>
        <w:rPr>
          <w:rFonts w:hint="eastAsia" w:ascii="仿宋_GB2312" w:hAnsi="仿宋_GB2312" w:eastAsia="仿宋_GB2312" w:cs="仿宋_GB2312"/>
          <w:sz w:val="32"/>
          <w:szCs w:val="32"/>
          <w:lang w:val="en-US" w:eastAsia="zh-CN"/>
        </w:rPr>
        <w:t>行政事业单位医疗</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行政单位医疗</w:t>
      </w:r>
      <w:r>
        <w:rPr>
          <w:rFonts w:hint="eastAsia" w:ascii="仿宋_GB2312" w:hAnsi="仿宋_GB2312" w:eastAsia="仿宋_GB2312" w:cs="仿宋_GB2312"/>
          <w:sz w:val="32"/>
          <w:szCs w:val="32"/>
        </w:rPr>
        <w:t>（项）。</w:t>
      </w:r>
    </w:p>
    <w:p w14:paraId="516D493A">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年初预算为117.18万元，支出决算为117.18万元，完成年初预算的100%，决算数等于年初预算数的主要原因是：严格</w:t>
      </w:r>
      <w:r>
        <w:rPr>
          <w:rFonts w:hint="eastAsia" w:ascii="仿宋_GB2312" w:hAnsi="仿宋_GB2312" w:eastAsia="仿宋_GB2312" w:cs="仿宋_GB2312"/>
          <w:sz w:val="32"/>
          <w:szCs w:val="32"/>
          <w:lang w:val="en-US" w:eastAsia="zh-CN"/>
        </w:rPr>
        <w:t>按预算执行</w:t>
      </w:r>
      <w:r>
        <w:rPr>
          <w:rFonts w:hint="eastAsia" w:ascii="仿宋_GB2312" w:hAnsi="仿宋_GB2312" w:eastAsia="仿宋_GB2312" w:cs="仿宋_GB2312"/>
          <w:b w:val="0"/>
          <w:bCs w:val="0"/>
          <w:kern w:val="2"/>
          <w:sz w:val="32"/>
          <w:szCs w:val="32"/>
          <w:lang w:val="en-US" w:eastAsia="zh-CN" w:bidi="ar-SA"/>
        </w:rPr>
        <w:t>。</w:t>
      </w:r>
    </w:p>
    <w:p w14:paraId="1B3C85E9">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、卫生健康支出（类）</w:t>
      </w:r>
      <w:r>
        <w:rPr>
          <w:rFonts w:hint="eastAsia" w:ascii="仿宋_GB2312" w:hAnsi="仿宋_GB2312" w:eastAsia="仿宋_GB2312" w:cs="仿宋_GB2312"/>
          <w:sz w:val="32"/>
          <w:szCs w:val="32"/>
          <w:lang w:val="en-US" w:eastAsia="zh-CN"/>
        </w:rPr>
        <w:t>行政事业单位医疗</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事业单位医疗</w:t>
      </w:r>
      <w:r>
        <w:rPr>
          <w:rFonts w:hint="eastAsia" w:ascii="仿宋_GB2312" w:hAnsi="仿宋_GB2312" w:eastAsia="仿宋_GB2312" w:cs="仿宋_GB2312"/>
          <w:sz w:val="32"/>
          <w:szCs w:val="32"/>
        </w:rPr>
        <w:t>（项）。</w:t>
      </w:r>
    </w:p>
    <w:p w14:paraId="1FD32D0F">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年初预算为270.58万元，支出决算为267.49万元，完成年初预算的98.86%，</w:t>
      </w:r>
      <w:r>
        <w:rPr>
          <w:rFonts w:hint="eastAsia" w:ascii="仿宋_GB2312" w:hAnsi="仿宋_GB2312" w:eastAsia="仿宋_GB2312" w:cs="仿宋_GB2312"/>
          <w:b w:val="0"/>
          <w:bCs w:val="0"/>
          <w:kern w:val="2"/>
          <w:sz w:val="32"/>
          <w:szCs w:val="32"/>
          <w:highlight w:val="none"/>
          <w:lang w:val="en-US" w:eastAsia="zh-CN" w:bidi="ar-SA"/>
        </w:rPr>
        <w:t>决算数小于年初预算数的主要原因是：</w:t>
      </w:r>
      <w:r>
        <w:rPr>
          <w:rFonts w:hint="eastAsia" w:ascii="仿宋_GB2312" w:hAnsi="仿宋_GB2312" w:eastAsia="仿宋_GB2312" w:cs="仿宋_GB2312"/>
          <w:sz w:val="32"/>
          <w:szCs w:val="32"/>
          <w:highlight w:val="none"/>
          <w:lang w:val="en-US" w:eastAsia="zh-CN"/>
        </w:rPr>
        <w:t>医保铺底、职工基本医疗保险缴费（含生育保险）结余了部分指标</w:t>
      </w:r>
      <w:r>
        <w:rPr>
          <w:rFonts w:hint="eastAsia" w:ascii="仿宋_GB2312" w:hAnsi="仿宋_GB2312" w:eastAsia="仿宋_GB2312" w:cs="仿宋_GB2312"/>
          <w:b w:val="0"/>
          <w:bCs w:val="0"/>
          <w:kern w:val="2"/>
          <w:sz w:val="32"/>
          <w:szCs w:val="32"/>
          <w:highlight w:val="none"/>
          <w:lang w:val="en-US" w:eastAsia="zh-CN" w:bidi="ar-SA"/>
        </w:rPr>
        <w:t>。</w:t>
      </w:r>
    </w:p>
    <w:p w14:paraId="0FA7C103">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、卫生健康支出（类）</w:t>
      </w:r>
      <w:r>
        <w:rPr>
          <w:rFonts w:hint="eastAsia" w:ascii="仿宋_GB2312" w:hAnsi="仿宋_GB2312" w:eastAsia="仿宋_GB2312" w:cs="仿宋_GB2312"/>
          <w:sz w:val="32"/>
          <w:szCs w:val="32"/>
          <w:lang w:val="en-US" w:eastAsia="zh-CN"/>
        </w:rPr>
        <w:t>行政事业单位医疗</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公务员医疗补助</w:t>
      </w:r>
      <w:r>
        <w:rPr>
          <w:rFonts w:hint="eastAsia" w:ascii="仿宋_GB2312" w:hAnsi="仿宋_GB2312" w:eastAsia="仿宋_GB2312" w:cs="仿宋_GB2312"/>
          <w:sz w:val="32"/>
          <w:szCs w:val="32"/>
        </w:rPr>
        <w:t>（项）。</w:t>
      </w:r>
    </w:p>
    <w:p w14:paraId="403D4C78">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年初预算为42.78万元，支出决算为14.61万元，完成年初预算的34.15%，</w:t>
      </w:r>
      <w:r>
        <w:rPr>
          <w:rFonts w:hint="eastAsia" w:ascii="仿宋_GB2312" w:hAnsi="仿宋_GB2312" w:eastAsia="仿宋_GB2312" w:cs="仿宋_GB2312"/>
          <w:b w:val="0"/>
          <w:bCs w:val="0"/>
          <w:kern w:val="2"/>
          <w:sz w:val="32"/>
          <w:szCs w:val="32"/>
          <w:highlight w:val="none"/>
          <w:lang w:val="en-US" w:eastAsia="zh-CN" w:bidi="ar-SA"/>
        </w:rPr>
        <w:t>决算数小于年初预算数的主要原因是：</w:t>
      </w:r>
      <w:r>
        <w:rPr>
          <w:rFonts w:hint="eastAsia" w:ascii="仿宋_GB2312" w:hAnsi="仿宋_GB2312" w:eastAsia="仿宋_GB2312" w:cs="仿宋_GB2312"/>
          <w:sz w:val="32"/>
          <w:szCs w:val="32"/>
          <w:highlight w:val="none"/>
          <w:lang w:val="en-US" w:eastAsia="zh-CN"/>
        </w:rPr>
        <w:t>医保铺底局机关预算放到了</w:t>
      </w:r>
      <w:r>
        <w:rPr>
          <w:rFonts w:hint="eastAsia" w:ascii="仿宋_GB2312" w:hAnsi="仿宋_GB2312" w:eastAsia="仿宋_GB2312" w:cs="仿宋_GB2312"/>
          <w:sz w:val="32"/>
          <w:szCs w:val="32"/>
          <w:lang w:val="en-US" w:eastAsia="zh-CN"/>
        </w:rPr>
        <w:t>公务员医疗补助，决算在行政单位医疗</w:t>
      </w:r>
      <w:r>
        <w:rPr>
          <w:rFonts w:hint="eastAsia" w:ascii="仿宋_GB2312" w:hAnsi="仿宋_GB2312" w:eastAsia="仿宋_GB2312" w:cs="仿宋_GB2312"/>
          <w:b w:val="0"/>
          <w:bCs w:val="0"/>
          <w:kern w:val="2"/>
          <w:sz w:val="32"/>
          <w:szCs w:val="32"/>
          <w:highlight w:val="none"/>
          <w:lang w:val="en-US" w:eastAsia="zh-CN" w:bidi="ar-SA"/>
        </w:rPr>
        <w:t>。</w:t>
      </w:r>
    </w:p>
    <w:p w14:paraId="2B5C9295">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、住房保障支出（类）</w:t>
      </w:r>
      <w:r>
        <w:rPr>
          <w:rFonts w:hint="eastAsia" w:ascii="仿宋_GB2312" w:hAnsi="仿宋_GB2312" w:eastAsia="仿宋_GB2312" w:cs="仿宋_GB2312"/>
          <w:sz w:val="32"/>
          <w:szCs w:val="32"/>
          <w:lang w:val="en-US" w:eastAsia="zh-CN"/>
        </w:rPr>
        <w:t>住房改革支出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住房公积金</w:t>
      </w:r>
      <w:r>
        <w:rPr>
          <w:rFonts w:hint="eastAsia" w:ascii="仿宋_GB2312" w:hAnsi="仿宋_GB2312" w:eastAsia="仿宋_GB2312" w:cs="仿宋_GB2312"/>
          <w:sz w:val="32"/>
          <w:szCs w:val="32"/>
        </w:rPr>
        <w:t>（项）。</w:t>
      </w:r>
    </w:p>
    <w:p w14:paraId="255D7EC5">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年初预算为419.33万元，支出决算为412.78万元，完成年初预算的98.44%，</w:t>
      </w:r>
      <w:r>
        <w:rPr>
          <w:rFonts w:hint="eastAsia" w:ascii="仿宋_GB2312" w:hAnsi="仿宋_GB2312" w:eastAsia="仿宋_GB2312" w:cs="仿宋_GB2312"/>
          <w:b w:val="0"/>
          <w:bCs w:val="0"/>
          <w:kern w:val="2"/>
          <w:sz w:val="32"/>
          <w:szCs w:val="32"/>
          <w:highlight w:val="none"/>
          <w:lang w:val="en-US" w:eastAsia="zh-CN" w:bidi="ar-SA"/>
        </w:rPr>
        <w:t>决算数小于年初预算数的主要原因是：</w:t>
      </w:r>
      <w:r>
        <w:rPr>
          <w:rFonts w:hint="eastAsia" w:ascii="仿宋_GB2312" w:hAnsi="仿宋_GB2312" w:eastAsia="仿宋_GB2312" w:cs="仿宋_GB2312"/>
          <w:sz w:val="32"/>
          <w:szCs w:val="32"/>
          <w:highlight w:val="none"/>
          <w:lang w:val="en-US" w:eastAsia="zh-CN"/>
        </w:rPr>
        <w:t>部分单位有结余，可能有中途退休人员造成的差额</w:t>
      </w:r>
      <w:r>
        <w:rPr>
          <w:rFonts w:hint="eastAsia" w:ascii="仿宋_GB2312" w:hAnsi="仿宋_GB2312" w:eastAsia="仿宋_GB2312" w:cs="仿宋_GB2312"/>
          <w:b w:val="0"/>
          <w:bCs w:val="0"/>
          <w:kern w:val="2"/>
          <w:sz w:val="32"/>
          <w:szCs w:val="32"/>
          <w:highlight w:val="none"/>
          <w:lang w:val="en-US" w:eastAsia="zh-CN" w:bidi="ar-SA"/>
        </w:rPr>
        <w:t>。</w:t>
      </w:r>
    </w:p>
    <w:p w14:paraId="7D7B6CF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76C65EA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7851.67</w:t>
      </w:r>
      <w:r>
        <w:rPr>
          <w:rFonts w:hint="eastAsia" w:ascii="仿宋_GB2312" w:hAnsi="仿宋_GB2312" w:eastAsia="仿宋_GB2312" w:cs="仿宋_GB2312"/>
          <w:sz w:val="32"/>
          <w:szCs w:val="32"/>
        </w:rPr>
        <w:t>万元，其中：</w:t>
      </w:r>
    </w:p>
    <w:p w14:paraId="5AD4D08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6763.51</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86.14</w:t>
      </w:r>
      <w:r>
        <w:rPr>
          <w:rFonts w:hint="eastAsia" w:ascii="仿宋_GB2312" w:hAnsi="仿宋_GB2312" w:eastAsia="仿宋_GB2312" w:cs="仿宋_GB2312"/>
          <w:sz w:val="32"/>
          <w:szCs w:val="32"/>
        </w:rPr>
        <w:t>%,主要包括</w:t>
      </w:r>
      <w:r>
        <w:rPr>
          <w:rFonts w:hint="eastAsia" w:ascii="Times New Roman" w:hAnsi="Times New Roman" w:eastAsia="仿宋_GB2312"/>
          <w:sz w:val="32"/>
          <w:szCs w:val="32"/>
        </w:rPr>
        <w:t>基本工资、津贴补贴、奖金、伙食补助费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Times New Roman" w:hAnsi="Times New Roman" w:eastAsia="仿宋_GB2312"/>
          <w:sz w:val="32"/>
          <w:szCs w:val="32"/>
          <w:lang w:eastAsia="zh-CN"/>
        </w:rPr>
        <w:t>。</w:t>
      </w:r>
    </w:p>
    <w:p w14:paraId="6643352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1088.16</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13.86</w:t>
      </w:r>
      <w:r>
        <w:rPr>
          <w:rFonts w:hint="eastAsia" w:ascii="仿宋_GB2312" w:hAnsi="仿宋_GB2312" w:eastAsia="仿宋_GB2312" w:cs="仿宋_GB2312"/>
          <w:sz w:val="32"/>
          <w:szCs w:val="32"/>
        </w:rPr>
        <w:t>%，主要包括</w:t>
      </w:r>
      <w:r>
        <w:rPr>
          <w:rFonts w:hint="eastAsia" w:ascii="Times New Roman" w:hAnsi="Times New Roman" w:eastAsia="仿宋_GB2312"/>
          <w:sz w:val="32"/>
          <w:szCs w:val="32"/>
        </w:rPr>
        <w:t>办公费、印刷费、咨询费、手续费、水费、电费、邮电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文物和陈列品购置。</w:t>
      </w:r>
    </w:p>
    <w:p w14:paraId="3084C1E9">
      <w:pPr>
        <w:pStyle w:val="2"/>
        <w:rPr>
          <w:rFonts w:hint="eastAsia"/>
        </w:rPr>
      </w:pPr>
    </w:p>
    <w:p w14:paraId="0EAF257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14:paraId="629422EA">
      <w:pPr>
        <w:pStyle w:val="14"/>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年度政府性基金预算财政拨款收入</w:t>
      </w:r>
      <w:r>
        <w:rPr>
          <w:rFonts w:hint="eastAsia" w:ascii="仿宋_GB2312" w:hAnsi="仿宋_GB2312" w:eastAsia="仿宋_GB2312" w:cs="仿宋_GB2312"/>
          <w:sz w:val="32"/>
          <w:szCs w:val="32"/>
          <w:lang w:val="en-US" w:eastAsia="zh-CN"/>
        </w:rPr>
        <w:t>2417.52</w:t>
      </w:r>
      <w:r>
        <w:rPr>
          <w:rFonts w:hint="eastAsia" w:ascii="仿宋_GB2312" w:hAnsi="仿宋_GB2312" w:eastAsia="仿宋_GB2312" w:cs="仿宋_GB2312"/>
          <w:sz w:val="32"/>
          <w:szCs w:val="32"/>
        </w:rPr>
        <w:t>万元；年初结转和结余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2417.52</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2417.52</w:t>
      </w:r>
      <w:r>
        <w:rPr>
          <w:rFonts w:hint="eastAsia" w:ascii="仿宋_GB2312" w:hAnsi="仿宋_GB2312" w:eastAsia="仿宋_GB2312" w:cs="仿宋_GB2312"/>
          <w:sz w:val="32"/>
          <w:szCs w:val="32"/>
        </w:rPr>
        <w:t>万元；年末结转和结余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万元。具体情况如下：</w:t>
      </w:r>
    </w:p>
    <w:p w14:paraId="0F7DF75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Times New Roman" w:hAnsi="Times New Roman" w:eastAsia="仿宋_GB2312"/>
          <w:sz w:val="32"/>
          <w:szCs w:val="32"/>
        </w:rPr>
        <w:t>城乡社区支出（类）国有土地使用权出让收入安排的支出（款）</w:t>
      </w:r>
      <w:r>
        <w:rPr>
          <w:rFonts w:hint="eastAsia" w:ascii="仿宋_GB2312" w:hAnsi="仿宋_GB2312" w:eastAsia="仿宋_GB2312" w:cs="仿宋_GB2312"/>
          <w:sz w:val="32"/>
          <w:szCs w:val="32"/>
          <w:lang w:eastAsia="zh-CN"/>
        </w:rPr>
        <w:t>农村基础建设支出</w:t>
      </w:r>
      <w:r>
        <w:rPr>
          <w:rFonts w:hint="eastAsia" w:ascii="仿宋_GB2312" w:hAnsi="仿宋_GB2312" w:eastAsia="仿宋_GB2312" w:cs="仿宋_GB2312"/>
          <w:sz w:val="32"/>
          <w:szCs w:val="32"/>
        </w:rPr>
        <w:t>（项）。</w:t>
      </w:r>
    </w:p>
    <w:p w14:paraId="07C79AC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1818.73</w:t>
      </w:r>
      <w:r>
        <w:rPr>
          <w:rFonts w:hint="eastAsia" w:ascii="仿宋_GB2312" w:hAnsi="仿宋_GB2312" w:eastAsia="仿宋_GB2312" w:cs="仿宋_GB2312"/>
          <w:sz w:val="32"/>
          <w:szCs w:val="32"/>
        </w:rPr>
        <w:t>万元，决算数大于年初预算数的主要原因是：</w:t>
      </w:r>
      <w:r>
        <w:rPr>
          <w:rFonts w:hint="eastAsia" w:ascii="Times New Roman" w:hAnsi="Times New Roman" w:eastAsia="仿宋_GB2312"/>
          <w:sz w:val="32"/>
          <w:szCs w:val="32"/>
          <w:lang w:val="en-US" w:eastAsia="zh-CN"/>
        </w:rPr>
        <w:t>年中追加部分</w:t>
      </w:r>
      <w:r>
        <w:rPr>
          <w:rFonts w:hint="eastAsia" w:ascii="仿宋_GB2312" w:hAnsi="仿宋_GB2312" w:eastAsia="仿宋_GB2312" w:cs="仿宋_GB2312"/>
          <w:sz w:val="32"/>
          <w:szCs w:val="32"/>
          <w:lang w:eastAsia="zh-CN"/>
        </w:rPr>
        <w:t>农村基础建设收入</w:t>
      </w:r>
      <w:r>
        <w:rPr>
          <w:rFonts w:hint="eastAsia" w:ascii="Times New Roman" w:hAnsi="Times New Roman" w:eastAsia="仿宋_GB2312"/>
          <w:sz w:val="32"/>
          <w:szCs w:val="32"/>
          <w:lang w:val="en-US" w:eastAsia="zh-CN"/>
        </w:rPr>
        <w:t>安排形成的支出。</w:t>
      </w:r>
    </w:p>
    <w:p w14:paraId="7C967DF5">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城乡社区支出（类）国有土地使用权出让收入安排的支出</w:t>
      </w:r>
      <w:r>
        <w:rPr>
          <w:rFonts w:hint="eastAsia" w:ascii="仿宋_GB2312" w:hAnsi="仿宋_GB2312" w:eastAsia="仿宋_GB2312" w:cs="仿宋_GB2312"/>
          <w:sz w:val="32"/>
          <w:szCs w:val="32"/>
        </w:rPr>
        <w:t>（款）</w:t>
      </w:r>
      <w:r>
        <w:rPr>
          <w:rFonts w:hint="eastAsia" w:ascii="Times New Roman" w:hAnsi="Times New Roman" w:eastAsia="仿宋_GB2312"/>
          <w:sz w:val="32"/>
          <w:szCs w:val="32"/>
        </w:rPr>
        <w:t>其他国有土地使用权出让收入安排的支出</w:t>
      </w:r>
      <w:r>
        <w:rPr>
          <w:rFonts w:hint="eastAsia" w:ascii="仿宋_GB2312" w:hAnsi="仿宋_GB2312" w:eastAsia="仿宋_GB2312" w:cs="仿宋_GB2312"/>
          <w:sz w:val="32"/>
          <w:szCs w:val="32"/>
        </w:rPr>
        <w:t>（项）。</w:t>
      </w:r>
    </w:p>
    <w:p w14:paraId="3FD7C27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598.8</w:t>
      </w:r>
      <w:r>
        <w:rPr>
          <w:rFonts w:hint="eastAsia" w:ascii="仿宋_GB2312" w:hAnsi="仿宋_GB2312" w:eastAsia="仿宋_GB2312" w:cs="仿宋_GB2312"/>
          <w:sz w:val="32"/>
          <w:szCs w:val="32"/>
        </w:rPr>
        <w:t>万元，决算数大于年初预算数的主要原因是：</w:t>
      </w:r>
      <w:r>
        <w:rPr>
          <w:rFonts w:hint="eastAsia" w:ascii="Times New Roman" w:hAnsi="Times New Roman" w:eastAsia="仿宋_GB2312"/>
          <w:sz w:val="32"/>
          <w:szCs w:val="32"/>
          <w:lang w:val="en-US" w:eastAsia="zh-CN"/>
        </w:rPr>
        <w:t>年中追加部分国有土地使用权出让收入安排形成的支出。</w:t>
      </w:r>
    </w:p>
    <w:p w14:paraId="35CB095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p>
    <w:p w14:paraId="39DBAD1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14:paraId="4EC942D9">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i w:val="0"/>
          <w:iCs/>
          <w:color w:val="auto"/>
          <w:kern w:val="0"/>
          <w:sz w:val="32"/>
          <w:szCs w:val="32"/>
          <w:lang w:val="en-US" w:eastAsia="zh-CN" w:bidi="ar-SA"/>
        </w:rPr>
      </w:pPr>
      <w:r>
        <w:rPr>
          <w:rFonts w:hint="eastAsia" w:ascii="仿宋_GB2312" w:hAnsi="仿宋_GB2312" w:eastAsia="仿宋_GB2312" w:cs="仿宋_GB2312"/>
          <w:i w:val="0"/>
          <w:iCs/>
          <w:color w:val="auto"/>
          <w:kern w:val="0"/>
          <w:sz w:val="32"/>
          <w:szCs w:val="32"/>
          <w:lang w:val="en-US" w:eastAsia="zh-CN" w:bidi="ar-SA"/>
        </w:rPr>
        <w:t>2023年度国有资本经营预算财政拨款收入0万元；年初结转和结余0万；支出0万元，其中：基本支出0万元，项目支出0万元；年末结转和结余0万元。</w:t>
      </w:r>
    </w:p>
    <w:p w14:paraId="56183608">
      <w:pPr>
        <w:pStyle w:val="2"/>
        <w:rPr>
          <w:rFonts w:hint="eastAsia"/>
        </w:rPr>
      </w:pPr>
    </w:p>
    <w:p w14:paraId="6337220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14:paraId="3027F88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49B9706B">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17.65</w:t>
      </w:r>
      <w:r>
        <w:rPr>
          <w:rFonts w:hint="eastAsia" w:ascii="仿宋_GB2312" w:hAnsi="仿宋_GB2312" w:eastAsia="仿宋_GB2312" w:cs="仿宋_GB2312"/>
          <w:sz w:val="32"/>
          <w:szCs w:val="32"/>
        </w:rPr>
        <w:t>元，支出决算为</w:t>
      </w:r>
      <w:r>
        <w:rPr>
          <w:rFonts w:hint="eastAsia" w:ascii="仿宋_GB2312" w:hAnsi="仿宋_GB2312" w:eastAsia="仿宋_GB2312" w:cs="仿宋_GB2312"/>
          <w:sz w:val="32"/>
          <w:szCs w:val="32"/>
          <w:lang w:val="en-US" w:eastAsia="zh-CN"/>
        </w:rPr>
        <w:t>17.65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等于</w:t>
      </w:r>
      <w:r>
        <w:rPr>
          <w:rFonts w:hint="eastAsia" w:ascii="仿宋_GB2312" w:hAnsi="仿宋_GB2312" w:eastAsia="仿宋_GB2312" w:cs="仿宋_GB2312"/>
          <w:sz w:val="32"/>
          <w:szCs w:val="32"/>
        </w:rPr>
        <w:t>预算数的主要原因是严格执行中央八项规定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1.28</w:t>
      </w:r>
      <w:r>
        <w:rPr>
          <w:rFonts w:hint="eastAsia" w:ascii="仿宋_GB2312" w:hAnsi="仿宋_GB2312" w:eastAsia="仿宋_GB2312" w:cs="仿宋_GB2312"/>
          <w:sz w:val="32"/>
          <w:szCs w:val="32"/>
        </w:rPr>
        <w:t>%,增长的主要原因是</w:t>
      </w:r>
      <w:r>
        <w:rPr>
          <w:rFonts w:hint="eastAsia" w:ascii="仿宋_GB2312" w:hAnsi="仿宋_GB2312" w:eastAsia="仿宋_GB2312" w:cs="仿宋_GB2312"/>
          <w:sz w:val="32"/>
          <w:szCs w:val="32"/>
          <w:lang w:eastAsia="zh-CN"/>
        </w:rPr>
        <w:t>公务车龄过大，保养维修成本增加</w:t>
      </w:r>
      <w:r>
        <w:rPr>
          <w:rFonts w:hint="eastAsia" w:ascii="仿宋_GB2312" w:hAnsi="仿宋_GB2312" w:eastAsia="仿宋_GB2312" w:cs="仿宋_GB2312"/>
          <w:sz w:val="32"/>
          <w:szCs w:val="32"/>
        </w:rPr>
        <w:t>。其中：</w:t>
      </w:r>
    </w:p>
    <w:p w14:paraId="77B6CD78">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FF0000"/>
          <w:kern w:val="0"/>
          <w:sz w:val="32"/>
          <w:szCs w:val="32"/>
          <w:lang w:val="en-US" w:eastAsia="zh-CN" w:bidi="ar-SA"/>
        </w:rPr>
      </w:pPr>
      <w:r>
        <w:rPr>
          <w:rFonts w:hint="eastAsia" w:ascii="仿宋_GB2312" w:hAnsi="仿宋_GB2312" w:eastAsia="仿宋_GB2312" w:cs="仿宋_GB2312"/>
          <w:sz w:val="32"/>
          <w:szCs w:val="32"/>
        </w:rPr>
        <w:t>因公出国（境）费支出预算为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b w:val="0"/>
          <w:bCs/>
          <w:color w:val="auto"/>
          <w:kern w:val="0"/>
          <w:sz w:val="32"/>
          <w:szCs w:val="32"/>
          <w:lang w:val="en-US" w:eastAsia="zh-CN" w:bidi="ar-SA"/>
        </w:rPr>
        <w:t>决算数等于预算数，主要原因是我单位严格按预算执行决算；与上年一致，无增减变动，主要原因是未安排因公出国（境）活动。</w:t>
      </w:r>
    </w:p>
    <w:p w14:paraId="7AC455E3">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5.17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5.17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等于</w:t>
      </w:r>
      <w:r>
        <w:rPr>
          <w:rFonts w:hint="eastAsia" w:ascii="仿宋_GB2312" w:hAnsi="仿宋_GB2312" w:eastAsia="仿宋_GB2312" w:cs="仿宋_GB2312"/>
          <w:sz w:val="32"/>
          <w:szCs w:val="32"/>
        </w:rPr>
        <w:t>预算数的主要原因是</w:t>
      </w:r>
      <w:r>
        <w:rPr>
          <w:rFonts w:hint="eastAsia" w:ascii="Times New Roman" w:hAnsi="Times New Roman" w:eastAsia="仿宋_GB2312"/>
          <w:sz w:val="32"/>
          <w:szCs w:val="32"/>
        </w:rPr>
        <w:t>严格执行中央八项规定</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与上年相比增加</w:t>
      </w:r>
      <w:r>
        <w:rPr>
          <w:rFonts w:hint="eastAsia" w:ascii="仿宋_GB2312" w:hAnsi="仿宋_GB2312" w:eastAsia="仿宋_GB2312" w:cs="仿宋_GB2312"/>
          <w:color w:val="auto"/>
          <w:sz w:val="32"/>
          <w:szCs w:val="32"/>
          <w:lang w:val="en-US" w:eastAsia="zh-CN"/>
        </w:rPr>
        <w:t>0.5</w:t>
      </w:r>
      <w:r>
        <w:rPr>
          <w:rFonts w:hint="eastAsia" w:ascii="仿宋_GB2312" w:hAnsi="仿宋_GB2312" w:eastAsia="仿宋_GB2312" w:cs="仿宋_GB2312"/>
          <w:color w:val="auto"/>
          <w:sz w:val="32"/>
          <w:szCs w:val="32"/>
        </w:rPr>
        <w:t>万元，增长</w:t>
      </w:r>
      <w:r>
        <w:rPr>
          <w:rFonts w:hint="eastAsia" w:ascii="仿宋_GB2312" w:hAnsi="仿宋_GB2312" w:eastAsia="仿宋_GB2312" w:cs="仿宋_GB2312"/>
          <w:color w:val="auto"/>
          <w:sz w:val="32"/>
          <w:szCs w:val="32"/>
          <w:lang w:val="en-US" w:eastAsia="zh-CN"/>
        </w:rPr>
        <w:t>10.7</w:t>
      </w:r>
      <w:r>
        <w:rPr>
          <w:rFonts w:hint="eastAsia" w:ascii="仿宋_GB2312" w:hAnsi="仿宋_GB2312" w:eastAsia="仿宋_GB2312" w:cs="仿宋_GB2312"/>
          <w:color w:val="auto"/>
          <w:sz w:val="32"/>
          <w:szCs w:val="32"/>
        </w:rPr>
        <w:t>%,增长的主要原因是</w:t>
      </w:r>
      <w:r>
        <w:rPr>
          <w:rFonts w:hint="eastAsia" w:ascii="仿宋_GB2312" w:hAnsi="仿宋_GB2312" w:eastAsia="仿宋_GB2312" w:cs="仿宋_GB2312"/>
          <w:color w:val="auto"/>
          <w:sz w:val="32"/>
          <w:szCs w:val="32"/>
          <w:lang w:val="en-US" w:eastAsia="zh-CN"/>
        </w:rPr>
        <w:t>由于工作需要</w:t>
      </w:r>
      <w:r>
        <w:rPr>
          <w:rFonts w:hint="eastAsia" w:ascii="仿宋_GB2312" w:hAnsi="仿宋_GB2312" w:eastAsia="仿宋_GB2312" w:cs="仿宋_GB2312"/>
          <w:color w:val="auto"/>
          <w:sz w:val="32"/>
          <w:szCs w:val="32"/>
        </w:rPr>
        <w:t>。</w:t>
      </w:r>
    </w:p>
    <w:p w14:paraId="014792E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公务用车购置费支出预算为0万元，支出决算为0万元，决算数等于预算数，主要原因是我单位严格按预算执行决算；与上年一致，无增减变动，主要原因是两年均未购置公务用车。  </w:t>
      </w:r>
    </w:p>
    <w:p w14:paraId="2885F33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12.48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12.48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于预算数的主要原因是</w:t>
      </w:r>
      <w:r>
        <w:rPr>
          <w:rFonts w:hint="eastAsia" w:ascii="Times New Roman" w:hAnsi="Times New Roman" w:eastAsia="仿宋_GB2312"/>
          <w:sz w:val="32"/>
          <w:szCs w:val="32"/>
        </w:rPr>
        <w:t>严格执行中央八项规定</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13.66</w:t>
      </w:r>
      <w:r>
        <w:rPr>
          <w:rFonts w:hint="eastAsia" w:ascii="仿宋_GB2312" w:hAnsi="仿宋_GB2312" w:eastAsia="仿宋_GB2312" w:cs="仿宋_GB2312"/>
          <w:sz w:val="32"/>
          <w:szCs w:val="32"/>
        </w:rPr>
        <w:t>%,增长的主要原因是</w:t>
      </w:r>
      <w:r>
        <w:rPr>
          <w:rFonts w:hint="eastAsia" w:ascii="仿宋_GB2312" w:hAnsi="仿宋_GB2312" w:eastAsia="仿宋_GB2312" w:cs="仿宋_GB2312"/>
          <w:sz w:val="32"/>
          <w:szCs w:val="32"/>
          <w:lang w:eastAsia="zh-CN"/>
        </w:rPr>
        <w:t>公务车龄过大，保养维修成本增加</w:t>
      </w:r>
      <w:r>
        <w:rPr>
          <w:rFonts w:hint="eastAsia" w:ascii="仿宋_GB2312" w:hAnsi="仿宋_GB2312" w:eastAsia="仿宋_GB2312" w:cs="仿宋_GB2312"/>
          <w:sz w:val="32"/>
          <w:szCs w:val="32"/>
        </w:rPr>
        <w:t>。</w:t>
      </w:r>
    </w:p>
    <w:p w14:paraId="3B7C10D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7C53AE8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5.17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29.29</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12.48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70.71</w:t>
      </w:r>
      <w:r>
        <w:rPr>
          <w:rFonts w:hint="eastAsia" w:ascii="仿宋_GB2312" w:hAnsi="仿宋_GB2312" w:eastAsia="仿宋_GB2312" w:cs="仿宋_GB2312"/>
          <w:sz w:val="32"/>
          <w:szCs w:val="32"/>
        </w:rPr>
        <w:t>%。其中：</w:t>
      </w:r>
    </w:p>
    <w:p w14:paraId="1A66F55A">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color w:val="auto"/>
          <w:kern w:val="0"/>
          <w:sz w:val="32"/>
          <w:szCs w:val="32"/>
          <w:lang w:val="en-US" w:eastAsia="zh-CN" w:bidi="ar-SA"/>
        </w:rPr>
        <w:t>因公出国（境）费支出决算为0万元，全年安排因公出国（境）团组0个，累计0人次，我单位2023年度无因公出国（境）费支出。</w:t>
      </w:r>
    </w:p>
    <w:p w14:paraId="026C8395">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5.17</w:t>
      </w:r>
      <w:r>
        <w:rPr>
          <w:rFonts w:hint="eastAsia" w:ascii="仿宋_GB2312" w:hAnsi="仿宋_GB2312" w:eastAsia="仿宋_GB2312" w:cs="仿宋_GB2312"/>
          <w:sz w:val="32"/>
          <w:szCs w:val="32"/>
        </w:rPr>
        <w:t>万元，全年共接待来访团组</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407</w:t>
      </w:r>
      <w:r>
        <w:rPr>
          <w:rFonts w:hint="eastAsia" w:ascii="仿宋_GB2312" w:hAnsi="仿宋_GB2312" w:eastAsia="仿宋_GB2312" w:cs="仿宋_GB2312"/>
          <w:sz w:val="32"/>
          <w:szCs w:val="32"/>
        </w:rPr>
        <w:t>人次，主要是</w:t>
      </w:r>
      <w:r>
        <w:rPr>
          <w:rFonts w:hint="eastAsia" w:ascii="Times New Roman" w:hAnsi="Times New Roman" w:eastAsia="仿宋_GB2312"/>
          <w:sz w:val="32"/>
          <w:szCs w:val="32"/>
        </w:rPr>
        <w:t>工作业务学习交流</w:t>
      </w:r>
      <w:r>
        <w:rPr>
          <w:rFonts w:hint="eastAsia" w:ascii="Times New Roman" w:hAnsi="Times New Roman" w:eastAsia="仿宋_GB2312"/>
          <w:sz w:val="32"/>
          <w:szCs w:val="32"/>
          <w:lang w:eastAsia="zh-CN"/>
        </w:rPr>
        <w:t>及旅游发展大会部署</w:t>
      </w:r>
      <w:r>
        <w:rPr>
          <w:rFonts w:hint="eastAsia" w:ascii="仿宋_GB2312" w:hAnsi="仿宋_GB2312" w:eastAsia="仿宋_GB2312" w:cs="仿宋_GB2312"/>
          <w:sz w:val="32"/>
          <w:szCs w:val="32"/>
        </w:rPr>
        <w:t>发生的接待支出。</w:t>
      </w:r>
    </w:p>
    <w:p w14:paraId="7541D890">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12.48</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b w:val="0"/>
          <w:bCs/>
          <w:color w:val="auto"/>
          <w:kern w:val="0"/>
          <w:sz w:val="32"/>
          <w:szCs w:val="32"/>
          <w:lang w:val="en-US" w:eastAsia="zh-CN" w:bidi="ar-SA"/>
        </w:rPr>
        <w:t>当年没有购置公务用车</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12.48</w:t>
      </w:r>
      <w:r>
        <w:rPr>
          <w:rFonts w:hint="eastAsia" w:ascii="仿宋_GB2312" w:hAnsi="仿宋_GB2312" w:eastAsia="仿宋_GB2312" w:cs="仿宋_GB2312"/>
          <w:sz w:val="32"/>
          <w:szCs w:val="32"/>
        </w:rPr>
        <w:t>万元，主要是</w:t>
      </w:r>
      <w:r>
        <w:rPr>
          <w:rFonts w:hint="eastAsia" w:ascii="Times New Roman" w:hAnsi="Times New Roman" w:eastAsia="仿宋_GB2312"/>
          <w:sz w:val="32"/>
          <w:szCs w:val="32"/>
        </w:rPr>
        <w:t>公务用车油料费及维修费</w:t>
      </w:r>
      <w:r>
        <w:rPr>
          <w:rFonts w:hint="eastAsia" w:ascii="仿宋_GB2312" w:hAnsi="仿宋_GB2312" w:eastAsia="仿宋_GB2312" w:cs="仿宋_GB2312"/>
          <w:sz w:val="32"/>
          <w:szCs w:val="32"/>
        </w:rPr>
        <w:t>支出，截止202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年12月31日，我单位开支财政拨款的公务用车保有量为</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辆。</w:t>
      </w:r>
    </w:p>
    <w:p w14:paraId="655F7B87">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textAlignment w:val="auto"/>
        <w:rPr>
          <w:rFonts w:hint="eastAsia" w:ascii="仿宋_GB2312" w:hAnsi="仿宋_GB2312" w:eastAsia="仿宋_GB2312" w:cs="仿宋_GB2312"/>
          <w:b w:val="0"/>
          <w:bCs/>
          <w:color w:val="FF0000"/>
          <w:kern w:val="0"/>
          <w:sz w:val="32"/>
          <w:szCs w:val="32"/>
          <w:lang w:val="en-US" w:eastAsia="zh-CN" w:bidi="ar-SA"/>
        </w:rPr>
      </w:pPr>
      <w:r>
        <w:rPr>
          <w:rFonts w:hint="eastAsia" w:ascii="仿宋_GB2312" w:hAnsi="仿宋_GB2312" w:eastAsia="仿宋_GB2312" w:cs="仿宋_GB2312"/>
          <w:b w:val="0"/>
          <w:bCs/>
          <w:color w:val="FF0000"/>
          <w:kern w:val="0"/>
          <w:sz w:val="32"/>
          <w:szCs w:val="32"/>
          <w:lang w:val="en-US" w:eastAsia="zh-CN" w:bidi="ar-SA"/>
        </w:rPr>
        <w:t xml:space="preserve">  </w:t>
      </w:r>
    </w:p>
    <w:p w14:paraId="2E70FB7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14:paraId="4E1087A4">
      <w:pPr>
        <w:pStyle w:val="14"/>
        <w:ind w:firstLine="640" w:firstLineChars="200"/>
        <w:rPr>
          <w:rFonts w:hint="default" w:ascii="Times New Roman" w:hAnsi="Times New Roman" w:eastAsia="仿宋_GB2312"/>
          <w:sz w:val="32"/>
          <w:szCs w:val="32"/>
          <w:lang w:val="en-US" w:eastAsia="zh-CN"/>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年度机关运行经费支出</w:t>
      </w:r>
      <w:r>
        <w:rPr>
          <w:rFonts w:hint="eastAsia" w:ascii="仿宋_GB2312" w:hAnsi="仿宋_GB2312" w:eastAsia="仿宋_GB2312" w:cs="仿宋_GB2312"/>
          <w:sz w:val="32"/>
          <w:szCs w:val="32"/>
          <w:lang w:val="en-US" w:eastAsia="zh-CN"/>
        </w:rPr>
        <w:t>1088.16</w:t>
      </w:r>
      <w:r>
        <w:rPr>
          <w:rFonts w:hint="eastAsia" w:ascii="仿宋_GB2312" w:hAnsi="仿宋_GB2312" w:eastAsia="仿宋_GB2312" w:cs="仿宋_GB2312"/>
          <w:sz w:val="32"/>
          <w:szCs w:val="32"/>
        </w:rPr>
        <w:t>万元，比上年决算数减少</w:t>
      </w:r>
      <w:r>
        <w:rPr>
          <w:rFonts w:hint="eastAsia" w:ascii="仿宋_GB2312" w:hAnsi="仿宋_GB2312" w:eastAsia="仿宋_GB2312" w:cs="仿宋_GB2312"/>
          <w:sz w:val="32"/>
          <w:szCs w:val="32"/>
          <w:lang w:val="en-US" w:eastAsia="zh-CN"/>
        </w:rPr>
        <w:t>432.42</w:t>
      </w:r>
      <w:r>
        <w:rPr>
          <w:rFonts w:hint="eastAsia" w:ascii="仿宋_GB2312" w:hAnsi="仿宋_GB2312" w:eastAsia="仿宋_GB2312" w:cs="仿宋_GB2312"/>
          <w:sz w:val="32"/>
          <w:szCs w:val="32"/>
        </w:rPr>
        <w:t xml:space="preserve"> 万元，降低</w:t>
      </w:r>
      <w:r>
        <w:rPr>
          <w:rFonts w:hint="eastAsia" w:ascii="仿宋_GB2312" w:hAnsi="仿宋_GB2312" w:eastAsia="仿宋_GB2312" w:cs="仿宋_GB2312"/>
          <w:sz w:val="32"/>
          <w:szCs w:val="32"/>
          <w:lang w:val="en-US" w:eastAsia="zh-CN"/>
        </w:rPr>
        <w:t>28.44</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厉行节约，节省机关运行成本。</w:t>
      </w:r>
    </w:p>
    <w:p w14:paraId="6BE7A32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14:paraId="4A56EA9B">
      <w:pPr>
        <w:pStyle w:val="14"/>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年度，会议费年初预算3.90万元，支出决算为1.10万元，完成年初预算的28.21%。用于召开第二届岳阳市旅游发展大会组委会第一次全体会议，</w:t>
      </w:r>
      <w:r>
        <w:rPr>
          <w:rFonts w:hint="eastAsia" w:ascii="仿宋_GB2312" w:hAnsi="仿宋_GB2312" w:eastAsia="仿宋_GB2312" w:cs="仿宋_GB2312"/>
          <w:sz w:val="32"/>
          <w:szCs w:val="32"/>
        </w:rPr>
        <w:t>人数</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人，内容为</w:t>
      </w:r>
      <w:r>
        <w:rPr>
          <w:rFonts w:hint="eastAsia" w:ascii="仿宋_GB2312" w:hAnsi="仿宋_GB2312" w:eastAsia="仿宋_GB2312" w:cs="仿宋_GB2312"/>
          <w:sz w:val="32"/>
          <w:szCs w:val="32"/>
          <w:lang w:val="en-US" w:eastAsia="zh-CN"/>
        </w:rPr>
        <w:t>支付会议租车、聘书购买、会议手册等</w:t>
      </w:r>
      <w:r>
        <w:rPr>
          <w:rFonts w:hint="eastAsia" w:ascii="仿宋_GB2312" w:hAnsi="仿宋_GB2312" w:eastAsia="仿宋_GB2312" w:cs="仿宋_GB2312"/>
          <w:sz w:val="32"/>
          <w:szCs w:val="32"/>
          <w:lang w:eastAsia="zh-CN"/>
        </w:rPr>
        <w:t>。</w:t>
      </w:r>
    </w:p>
    <w:p w14:paraId="7DF5F21F">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培训费年初预算11.21万元，支出决算为9.29万元，完成年初预算的82.87%。用于开展市级以上非遗代表性传承人培训、全市景区场馆讲解员技能提升研修班培训等，人数210人，内容为餐费、资料费、场地费等。</w:t>
      </w:r>
    </w:p>
    <w:p w14:paraId="73566CC5">
      <w:pPr>
        <w:widowControl w:val="0"/>
        <w:autoSpaceDE w:val="0"/>
        <w:autoSpaceDN w:val="0"/>
        <w:adjustRightInd w:val="0"/>
        <w:ind w:firstLine="640" w:firstLineChars="200"/>
        <w:rPr>
          <w:rFonts w:hint="eastAsia" w:ascii="仿宋_GB2312" w:hAnsi="仿宋_GB2312" w:eastAsia="仿宋_GB2312" w:cs="仿宋_GB2312"/>
          <w:b/>
          <w:bCs/>
          <w:i/>
          <w:color w:val="FF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举办节庆、晚会、论坛、赛事活动年初预算0万元，支出决算为0万元，本单位无举办节庆、晚会、论坛、赛事等活动的预算和支出决算数。</w:t>
      </w:r>
    </w:p>
    <w:p w14:paraId="7E6C376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14:paraId="46103F1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2244.58</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288.56</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220.58</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1735.43</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2244.58</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2244.58</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14:paraId="24529486">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14:paraId="57AF02E6">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仿宋_GB2312" w:hAnsi="仿宋_GB2312" w:eastAsia="仿宋_GB2312" w:cs="仿宋_GB2312"/>
          <w:color w:val="FF0000"/>
          <w:sz w:val="32"/>
          <w:szCs w:val="32"/>
          <w:highlight w:val="none"/>
          <w:lang w:val="en-US" w:eastAsia="zh-CN"/>
        </w:rPr>
      </w:pPr>
      <w:r>
        <w:rPr>
          <w:rFonts w:hint="eastAsia" w:ascii="Times New Roman" w:hAnsi="Times New Roman" w:eastAsia="仿宋_GB2312"/>
          <w:sz w:val="32"/>
          <w:szCs w:val="32"/>
          <w:lang w:val="en-US" w:eastAsia="zh-CN"/>
        </w:rPr>
        <w:t>截至2022年12月31日，本单位共有车辆11辆，其中，主要领导干部用车0辆，机要通信用车0辆、应急保障用车1辆、执法执勤用车3辆、特种专业技术用车0辆、其他用车7辆，其他用车主要用于送戏下乡演出、群众文化服务用车、流动服务车、应急保障用车、公务用车和业务用车；单位价值50万元以上通用设备0台（套）；单位价值100万元以上专用设备2台（套）。</w:t>
      </w:r>
    </w:p>
    <w:p w14:paraId="40C2F33E">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2074E3A5">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14F37E4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14:paraId="54FAFA2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w:t>
      </w:r>
      <w:r>
        <w:rPr>
          <w:rFonts w:hint="eastAsia" w:ascii="仿宋_GB2312" w:hAnsi="仿宋_GB2312" w:eastAsia="仿宋_GB2312" w:cs="仿宋_GB2312"/>
          <w:sz w:val="32"/>
          <w:szCs w:val="32"/>
          <w:lang w:val="en-US" w:eastAsia="zh-CN"/>
        </w:rPr>
        <w:t>14985.42</w:t>
      </w:r>
      <w:r>
        <w:rPr>
          <w:rFonts w:hint="eastAsia" w:ascii="仿宋_GB2312" w:hAnsi="仿宋_GB2312" w:eastAsia="仿宋_GB2312" w:cs="仿宋_GB2312"/>
          <w:b w:val="0"/>
          <w:bCs w:val="0"/>
          <w:color w:val="000000"/>
          <w:kern w:val="0"/>
          <w:sz w:val="32"/>
          <w:szCs w:val="32"/>
          <w:lang w:val="en-US" w:eastAsia="zh-CN" w:bidi="ar-SA"/>
        </w:rPr>
        <w:t>万元，政府性基金预算支出2417.52万元，国有资本经营预算支出0万元。从评价情况来看，整体支出绩效评价中，2023年整体支出</w:t>
      </w:r>
      <w:r>
        <w:rPr>
          <w:rFonts w:hint="eastAsia" w:ascii="仿宋_GB2312" w:hAnsi="仿宋_GB2312" w:eastAsia="仿宋_GB2312" w:cs="仿宋_GB2312"/>
          <w:sz w:val="32"/>
          <w:szCs w:val="32"/>
          <w:lang w:val="en-US" w:eastAsia="zh-CN"/>
        </w:rPr>
        <w:t>18954.64</w:t>
      </w:r>
      <w:r>
        <w:rPr>
          <w:rFonts w:hint="eastAsia" w:ascii="仿宋_GB2312" w:hAnsi="仿宋_GB2312" w:eastAsia="仿宋_GB2312" w:cs="仿宋_GB2312"/>
          <w:b w:val="0"/>
          <w:bCs w:val="0"/>
          <w:color w:val="000000"/>
          <w:kern w:val="0"/>
          <w:sz w:val="32"/>
          <w:szCs w:val="32"/>
          <w:lang w:val="en-US" w:eastAsia="zh-CN" w:bidi="ar-SA"/>
        </w:rPr>
        <w:t>万元，其中：基本支出</w:t>
      </w:r>
      <w:r>
        <w:rPr>
          <w:rFonts w:hint="eastAsia" w:ascii="仿宋_GB2312" w:hAnsi="仿宋_GB2312" w:eastAsia="仿宋_GB2312" w:cs="仿宋_GB2312"/>
          <w:sz w:val="32"/>
          <w:szCs w:val="32"/>
          <w:lang w:val="en-US" w:eastAsia="zh-CN"/>
        </w:rPr>
        <w:t>9246.25</w:t>
      </w:r>
      <w:r>
        <w:rPr>
          <w:rFonts w:hint="eastAsia" w:ascii="仿宋_GB2312" w:hAnsi="仿宋_GB2312" w:eastAsia="仿宋_GB2312" w:cs="仿宋_GB2312"/>
          <w:b w:val="0"/>
          <w:bCs w:val="0"/>
          <w:color w:val="000000"/>
          <w:kern w:val="0"/>
          <w:sz w:val="32"/>
          <w:szCs w:val="32"/>
          <w:lang w:val="en-US" w:eastAsia="zh-CN" w:bidi="ar-SA"/>
        </w:rPr>
        <w:t>万元，项目支出9708.39万元，本单位整体支出绩效自评综合评分99分，评价结果等次为优。</w:t>
      </w:r>
    </w:p>
    <w:p w14:paraId="4D4F483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highlight w:val="yellow"/>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w:t>
      </w:r>
      <w:bookmarkStart w:id="1" w:name="_GoBack"/>
      <w:bookmarkEnd w:id="1"/>
      <w:r>
        <w:rPr>
          <w:rFonts w:hint="eastAsia" w:ascii="仿宋_GB2312" w:hAnsi="仿宋_GB2312" w:eastAsia="仿宋_GB2312" w:cs="仿宋_GB2312"/>
          <w:b w:val="0"/>
          <w:bCs w:val="0"/>
          <w:color w:val="000000"/>
          <w:kern w:val="0"/>
          <w:sz w:val="32"/>
          <w:szCs w:val="32"/>
          <w:lang w:val="en-US" w:eastAsia="zh-CN" w:bidi="ar-SA"/>
        </w:rPr>
        <w:t>13个，共涉及资金800万元，占一般公共预算项目支出总额的11.21%。组织对政府性基金预算项目支出开展绩效自评，项目1个，共涉及资金2417.52万元</w:t>
      </w:r>
      <w:r>
        <w:rPr>
          <w:rFonts w:hint="eastAsia" w:ascii="仿宋_GB2312" w:hAnsi="仿宋_GB2312" w:eastAsia="仿宋_GB2312" w:cs="仿宋_GB2312"/>
          <w:b w:val="0"/>
          <w:bCs w:val="0"/>
          <w:color w:val="000000"/>
          <w:kern w:val="0"/>
          <w:sz w:val="32"/>
          <w:szCs w:val="32"/>
          <w:highlight w:val="none"/>
          <w:lang w:val="en-US" w:eastAsia="zh-CN" w:bidi="ar-SA"/>
        </w:rPr>
        <w:t>，占政府性基金预算项目支出总额的100%。组织对国有资本经营预算项目支出开展绩效自评，项目0个，共涉及资金0万元（由于国有资本经营预算项目支出总额为0，故无法计算占国有资本经营预算项目支出总额的比重）。从评价情况来看，项目绩效自评得分99分，评价结果等次为优。</w:t>
      </w:r>
    </w:p>
    <w:p w14:paraId="45638E48">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78ED0A2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根据年初设定的绩效目标，绩效自评得分为99分。全年预算数为</w:t>
      </w:r>
      <w:r>
        <w:rPr>
          <w:rFonts w:hint="eastAsia" w:ascii="仿宋_GB2312" w:hAnsi="仿宋_GB2312" w:eastAsia="仿宋_GB2312" w:cs="仿宋_GB2312"/>
          <w:sz w:val="32"/>
          <w:szCs w:val="32"/>
        </w:rPr>
        <w:t>7191.85</w:t>
      </w:r>
      <w:r>
        <w:rPr>
          <w:rFonts w:hint="eastAsia" w:ascii="仿宋_GB2312" w:hAnsi="仿宋_GB2312" w:eastAsia="仿宋_GB2312" w:cs="仿宋_GB2312"/>
          <w:b w:val="0"/>
          <w:bCs w:val="0"/>
          <w:color w:val="000000"/>
          <w:kern w:val="0"/>
          <w:sz w:val="32"/>
          <w:szCs w:val="32"/>
          <w:lang w:val="en-US" w:eastAsia="zh-CN" w:bidi="ar-SA"/>
        </w:rPr>
        <w:t>万元，执行数为</w:t>
      </w:r>
      <w:r>
        <w:rPr>
          <w:rFonts w:hint="eastAsia" w:ascii="仿宋_GB2312" w:hAnsi="仿宋_GB2312" w:eastAsia="仿宋_GB2312" w:cs="仿宋_GB2312"/>
          <w:sz w:val="32"/>
          <w:szCs w:val="32"/>
        </w:rPr>
        <w:t>14985.42</w:t>
      </w:r>
      <w:r>
        <w:rPr>
          <w:rFonts w:hint="eastAsia" w:ascii="仿宋_GB2312" w:hAnsi="仿宋_GB2312" w:eastAsia="仿宋_GB2312" w:cs="仿宋_GB2312"/>
          <w:b w:val="0"/>
          <w:bCs w:val="0"/>
          <w:color w:val="000000"/>
          <w:kern w:val="0"/>
          <w:sz w:val="32"/>
          <w:szCs w:val="32"/>
          <w:lang w:val="en-US" w:eastAsia="zh-CN" w:bidi="ar-SA"/>
        </w:rPr>
        <w:t>万元，完成预算的208.37%</w:t>
      </w:r>
      <w:r>
        <w:rPr>
          <w:rFonts w:hint="eastAsia" w:ascii="仿宋_GB2312" w:hAnsi="仿宋_GB2312" w:eastAsia="仿宋_GB2312" w:cs="仿宋_GB2312"/>
          <w:b w:val="0"/>
          <w:bCs w:val="0"/>
          <w:color w:val="000000"/>
          <w:kern w:val="0"/>
          <w:sz w:val="32"/>
          <w:szCs w:val="32"/>
          <w:highlight w:val="none"/>
          <w:lang w:val="en-US" w:eastAsia="zh-CN" w:bidi="ar-SA"/>
        </w:rPr>
        <w:t>。绩效目标完成情况：</w:t>
      </w:r>
      <w:r>
        <w:rPr>
          <w:rFonts w:hint="eastAsia" w:ascii="Times New Roman" w:hAnsi="Times New Roman" w:eastAsia="仿宋_GB2312" w:cs="Times New Roman"/>
          <w:color w:val="000000"/>
          <w:kern w:val="0"/>
          <w:sz w:val="32"/>
          <w:szCs w:val="32"/>
          <w:highlight w:val="none"/>
          <w:lang w:val="en-US" w:eastAsia="zh-CN" w:bidi="ar-SA"/>
        </w:rPr>
        <w:t>一是文艺创作精品迭出。举办第五届岳阳文化艺术节，集中展示了近年来我市艺术创作成果。巴陵戏《共饮一江水》获国家艺术基金扶持，《昭君出塞》入选中国戏曲像音像工程。城市民谣《岳州印记》火爆网络，山水画长卷《天下洞庭》在中国美术馆展出。5个节目获全省公益广告大赛奖项，4个作品获省网络原创视听节目大赛大奖；二是公共服务提质增效。深入实施湖南省公共文化服务体系高质量发展五年行动计划，汨罗市、华容县、岳阳楼区荣获“五年行动计划”绩效评价优秀县市区。全市获评国家一级图书馆4个，市图书馆率先在全省启用社保卡“一卡通”图书借阅服务。岳阳县图书馆被评为全省服务农民、服务基层文化建设示范单位；三是文化活动精彩纷呈。首届全国社区春晚总晚会在岳阳举行，全国共举办685场海选，宣发总曝光量突破11.3亿。市美术馆组织各类美术展览13场、公教活动50场。市文化馆（岳阳文化艺术会展中心）举办高雅艺术惠民演出7场、艺术普及课堂250节。全市完成“送戏曲进万村、送书画进万家”主题活动850场，同时开展“欢乐潇湘·幸福岳阳”“四季村晚”等系列活动，群众文化获得感、幸福感不断增强。发现的主要问题及原因：一是管理措施不够到位；二是目标设定不够合理。下一步改进措施：一是提高认识，突出重点；二是强化管理，规范行为。</w:t>
      </w:r>
    </w:p>
    <w:p w14:paraId="28A69411">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0537A28E">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2023年度，尽管我局取得了不少成绩，但通过本次自评和现场核查发现，局系统在绩效管理、预算管理、项目管理、政府采购管理、财务管理等方面尚存在一些不足，具体如下：</w:t>
      </w:r>
    </w:p>
    <w:p w14:paraId="39002B58">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1.绩效管理意识有待提高，绩效管理机制有待完善。</w:t>
      </w:r>
    </w:p>
    <w:p w14:paraId="1C24A7B6">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2.预算编制精准度不够，部分预算执行率较低。</w:t>
      </w:r>
    </w:p>
    <w:p w14:paraId="23FBD346">
      <w:pPr>
        <w:pStyle w:val="2"/>
        <w:ind w:firstLine="640" w:firstLineChars="200"/>
        <w:rPr>
          <w:rFonts w:hint="eastAsia"/>
          <w:lang w:val="en-US" w:eastAsia="zh-CN"/>
        </w:rPr>
      </w:pPr>
      <w:r>
        <w:rPr>
          <w:rFonts w:hint="eastAsia" w:ascii="仿宋_GB2312" w:hAnsi="仿宋_GB2312" w:eastAsia="仿宋_GB2312" w:cs="仿宋_GB2312"/>
          <w:b w:val="0"/>
          <w:bCs w:val="0"/>
          <w:sz w:val="32"/>
          <w:szCs w:val="32"/>
          <w:lang w:val="en-US" w:eastAsia="zh-CN"/>
        </w:rPr>
        <w:t>3.“双监控”责任未压实，项目监管有效性不足。</w:t>
      </w:r>
    </w:p>
    <w:p w14:paraId="1405FBD0">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4.政府采购基础工作不扎实，管理效能有待提升。</w:t>
      </w:r>
    </w:p>
    <w:p w14:paraId="5A4D85BB">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5.部分单位财务制度落实不到位，基础管理有待加强。</w:t>
      </w:r>
    </w:p>
    <w:p w14:paraId="4207B538">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主要体现在：</w:t>
      </w:r>
    </w:p>
    <w:p w14:paraId="754FD6C8">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1.部门绩效主体意识不强，编报的绩效目标不全面，对于需要开展绩效评价的项目缺乏跟踪，或对于跟踪评价过程中发现的问题和相关责任还没有形成有效的制约机制。 </w:t>
      </w:r>
    </w:p>
    <w:p w14:paraId="559A494E">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绩效管理体制、机制还不健全。一是协调机制不够健全。绝大多数单位把绩效管理工作只落实到财务人员头上，单位内部没有建立绩效评价协调机制，而财务人员对绩效指标的一些基础数据、信息资料不是很清楚，存在被动现象。</w:t>
      </w:r>
    </w:p>
    <w:p w14:paraId="01DDD50C">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基于上述问题和不足，我局计划从以下方面进行工作规范、完善管理：</w:t>
      </w:r>
    </w:p>
    <w:p w14:paraId="29400DC4">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1.提高全面预算绩效管理意识，构建全方位预算绩效管理格局。</w:t>
      </w:r>
    </w:p>
    <w:p w14:paraId="41C3B587">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2.提升部门预算管理水平，提高资金使用绩效。</w:t>
      </w:r>
    </w:p>
    <w:p w14:paraId="0DE9333E">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3.创新监管形式，健全持续性跟踪监管机制。</w:t>
      </w:r>
    </w:p>
    <w:p w14:paraId="2751C826">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4.理顺政府采购管理机制，提升政采管理水平。</w:t>
      </w:r>
    </w:p>
    <w:p w14:paraId="2711844A">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5.严格落实复核岗位职责，抓实财务管理工作。</w:t>
      </w:r>
    </w:p>
    <w:p w14:paraId="2BC82514">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14:paraId="27577E6A">
      <w:pPr>
        <w:pStyle w:val="14"/>
        <w:jc w:val="both"/>
        <w:rPr>
          <w:sz w:val="72"/>
          <w:szCs w:val="72"/>
        </w:rPr>
      </w:pPr>
    </w:p>
    <w:p w14:paraId="4FAE96F4">
      <w:pPr>
        <w:pStyle w:val="14"/>
        <w:jc w:val="center"/>
        <w:rPr>
          <w:sz w:val="72"/>
          <w:szCs w:val="72"/>
        </w:rPr>
      </w:pPr>
    </w:p>
    <w:p w14:paraId="7837219C">
      <w:pPr>
        <w:pStyle w:val="14"/>
        <w:jc w:val="center"/>
        <w:rPr>
          <w:rFonts w:hint="eastAsia" w:ascii="方正小标宋_GBK" w:hAnsi="方正小标宋_GBK" w:eastAsia="方正小标宋_GBK" w:cs="方正小标宋_GBK"/>
          <w:sz w:val="70"/>
          <w:szCs w:val="70"/>
          <w:lang w:eastAsia="zh-CN"/>
        </w:rPr>
      </w:pPr>
    </w:p>
    <w:p w14:paraId="3CCE0E09">
      <w:pPr>
        <w:pStyle w:val="14"/>
        <w:jc w:val="center"/>
        <w:rPr>
          <w:rFonts w:hint="eastAsia" w:ascii="方正小标宋_GBK" w:hAnsi="方正小标宋_GBK" w:eastAsia="方正小标宋_GBK" w:cs="方正小标宋_GBK"/>
          <w:sz w:val="70"/>
          <w:szCs w:val="70"/>
          <w:lang w:eastAsia="zh-CN"/>
        </w:rPr>
      </w:pPr>
    </w:p>
    <w:p w14:paraId="5F863AE6">
      <w:pPr>
        <w:pStyle w:val="14"/>
        <w:jc w:val="center"/>
        <w:rPr>
          <w:rFonts w:hint="eastAsia" w:ascii="方正小标宋_GBK" w:hAnsi="方正小标宋_GBK" w:eastAsia="方正小标宋_GBK" w:cs="方正小标宋_GBK"/>
          <w:sz w:val="72"/>
          <w:szCs w:val="72"/>
        </w:rPr>
      </w:pPr>
    </w:p>
    <w:p w14:paraId="77F41EE5">
      <w:pPr>
        <w:pStyle w:val="14"/>
        <w:jc w:val="center"/>
        <w:rPr>
          <w:rFonts w:hint="eastAsia" w:ascii="方正小标宋_GBK" w:hAnsi="方正小标宋_GBK" w:eastAsia="方正小标宋_GBK" w:cs="方正小标宋_GBK"/>
          <w:sz w:val="72"/>
          <w:szCs w:val="72"/>
        </w:rPr>
      </w:pPr>
    </w:p>
    <w:p w14:paraId="265CC57F">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61C57E99">
      <w:pPr>
        <w:jc w:val="center"/>
        <w:rPr>
          <w:rFonts w:hint="eastAsia" w:ascii="方正小标宋_GBK" w:hAnsi="方正小标宋_GBK" w:eastAsia="方正小标宋_GBK" w:cs="方正小标宋_GBK"/>
          <w:color w:val="000000"/>
          <w:kern w:val="0"/>
          <w:sz w:val="70"/>
          <w:szCs w:val="70"/>
        </w:rPr>
      </w:pPr>
    </w:p>
    <w:p w14:paraId="0DCBB695">
      <w:pPr>
        <w:pStyle w:val="14"/>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14:paraId="71F22558">
      <w:pPr>
        <w:pStyle w:val="9"/>
      </w:pPr>
    </w:p>
    <w:p w14:paraId="4EFD94DD">
      <w:pPr>
        <w:pStyle w:val="5"/>
      </w:pPr>
    </w:p>
    <w:p w14:paraId="6C22D7ED"/>
    <w:p w14:paraId="6B511543">
      <w:pPr>
        <w:pStyle w:val="9"/>
      </w:pPr>
    </w:p>
    <w:p w14:paraId="41306A03">
      <w:pPr>
        <w:pStyle w:val="5"/>
      </w:pPr>
    </w:p>
    <w:p w14:paraId="7021C0ED"/>
    <w:p w14:paraId="4EF01624">
      <w:pPr>
        <w:pStyle w:val="9"/>
      </w:pPr>
    </w:p>
    <w:p w14:paraId="69ED7B57">
      <w:pPr>
        <w:pStyle w:val="5"/>
      </w:pPr>
    </w:p>
    <w:p w14:paraId="2C3026E9"/>
    <w:p w14:paraId="6B3902D4">
      <w:pPr>
        <w:pStyle w:val="9"/>
      </w:pPr>
    </w:p>
    <w:p w14:paraId="6A2B6DFD">
      <w:pPr>
        <w:pStyle w:val="5"/>
      </w:pPr>
    </w:p>
    <w:p w14:paraId="43C47152"/>
    <w:p w14:paraId="2D3A20B7">
      <w:pPr>
        <w:pStyle w:val="9"/>
      </w:pPr>
    </w:p>
    <w:p w14:paraId="2136306C">
      <w:pPr>
        <w:pStyle w:val="5"/>
      </w:pPr>
    </w:p>
    <w:p w14:paraId="1BC7FACD"/>
    <w:p w14:paraId="4DC55A7D">
      <w:pPr>
        <w:pStyle w:val="9"/>
      </w:pPr>
    </w:p>
    <w:p w14:paraId="38B2B18B">
      <w:pPr>
        <w:pStyle w:val="5"/>
      </w:pPr>
    </w:p>
    <w:p w14:paraId="7B0D357F"/>
    <w:p w14:paraId="6BCE6FCE">
      <w:pPr>
        <w:pStyle w:val="9"/>
      </w:pPr>
    </w:p>
    <w:p w14:paraId="1FDB5F2B">
      <w:pPr>
        <w:pStyle w:val="5"/>
      </w:pPr>
    </w:p>
    <w:p w14:paraId="2C24A32A"/>
    <w:p w14:paraId="169D5AD8">
      <w:pPr>
        <w:pStyle w:val="9"/>
      </w:pPr>
    </w:p>
    <w:p w14:paraId="60374B51">
      <w:pPr>
        <w:pStyle w:val="5"/>
      </w:pPr>
    </w:p>
    <w:p w14:paraId="15EE1C8A"/>
    <w:p w14:paraId="423BD246">
      <w:pPr>
        <w:pStyle w:val="9"/>
      </w:pPr>
    </w:p>
    <w:p w14:paraId="66D6DD8B">
      <w:pPr>
        <w:pStyle w:val="5"/>
      </w:pPr>
    </w:p>
    <w:p w14:paraId="0516B280"/>
    <w:p w14:paraId="315FB392">
      <w:pPr>
        <w:pStyle w:val="9"/>
      </w:pPr>
    </w:p>
    <w:p w14:paraId="46B702CD">
      <w:pPr>
        <w:pStyle w:val="5"/>
      </w:pPr>
    </w:p>
    <w:p w14:paraId="23E12829"/>
    <w:p w14:paraId="2C6060D8">
      <w:pPr>
        <w:pStyle w:val="9"/>
      </w:pPr>
    </w:p>
    <w:p w14:paraId="38B8C323">
      <w:pPr>
        <w:pStyle w:val="5"/>
      </w:pPr>
    </w:p>
    <w:p w14:paraId="4FB309C7">
      <w:pPr>
        <w:pStyle w:val="5"/>
      </w:pPr>
    </w:p>
    <w:p w14:paraId="56C08314"/>
    <w:p w14:paraId="42257CF2">
      <w:pPr>
        <w:pStyle w:val="9"/>
      </w:pPr>
    </w:p>
    <w:p w14:paraId="47B3EF4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4ADE83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指为保障行政单位（包括参照公务员法管理的事业单位）运行用于购买货物和服务的各项资金，包括办公费、印刷费、邮电费、差旅费、会议费、日常维修费、专用材料及一般设备购置费、办公用房水电费、办公用房取暖费、办公用房物业管理费、公务用车运行维护费以及其他费用。</w:t>
      </w:r>
    </w:p>
    <w:p w14:paraId="020EE6A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三、财政拨款收入，指省级财政当年拨付的资金。</w:t>
      </w:r>
    </w:p>
    <w:p w14:paraId="07252E2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四、其他收入，指除“财政拨款收入”以外的收入。主要是上级单位拨款、存款利息收入等。</w:t>
      </w:r>
    </w:p>
    <w:p w14:paraId="3701A83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基本支出，指为保障机构正常运转、完成日常工作任务而发生的行政单位(含参照公务员法管理的事业单位)履行一般行政管理职能，维持机关日常运转所必须开支的费用，包括用于工资、津贴及奖金等的人员经费和用于办公、水电费等的公用经费。</w:t>
      </w:r>
    </w:p>
    <w:p w14:paraId="0B44248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六、项目支出，指在基本支出之外为完成特定行政任务和事业发展目标所发生的支出。</w:t>
      </w:r>
    </w:p>
    <w:p w14:paraId="3AE0672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七、年初结转和结余，指以前年度尚未完成、结转到本年仍按原规定用途继续使用的资金，或项目已完成等产生的结余资金。</w:t>
      </w:r>
    </w:p>
    <w:p w14:paraId="1B40C62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bCs/>
          <w:i/>
          <w:color w:val="FF0000"/>
          <w:kern w:val="0"/>
          <w:sz w:val="32"/>
          <w:szCs w:val="32"/>
          <w:lang w:val="en-US" w:eastAsia="zh-CN" w:bidi="ar-SA"/>
        </w:rPr>
      </w:pPr>
      <w:r>
        <w:rPr>
          <w:rFonts w:hint="eastAsia" w:ascii="仿宋_GB2312" w:hAnsi="仿宋_GB2312" w:eastAsia="仿宋_GB2312" w:cs="仿宋_GB2312"/>
          <w:color w:val="000000"/>
          <w:kern w:val="0"/>
          <w:sz w:val="32"/>
          <w:szCs w:val="32"/>
        </w:rPr>
        <w:t>八、年末结转和结余，指单位按有关规定结转到下年或以后年度继续使用的资金。</w:t>
      </w:r>
    </w:p>
    <w:p w14:paraId="1D18FE9F">
      <w:pPr>
        <w:pStyle w:val="14"/>
        <w:jc w:val="center"/>
        <w:rPr>
          <w:rFonts w:hint="eastAsia" w:ascii="仿宋_GB2312" w:hAnsi="仿宋_GB2312" w:eastAsia="仿宋_GB2312" w:cs="仿宋_GB2312"/>
          <w:sz w:val="32"/>
          <w:szCs w:val="32"/>
        </w:rPr>
      </w:pPr>
    </w:p>
    <w:p w14:paraId="26B76816">
      <w:pPr>
        <w:pStyle w:val="5"/>
      </w:pPr>
    </w:p>
    <w:p w14:paraId="1279FDDB"/>
    <w:p w14:paraId="36B5A47E">
      <w:pPr>
        <w:pStyle w:val="9"/>
      </w:pPr>
    </w:p>
    <w:p w14:paraId="68CEBC70">
      <w:pPr>
        <w:pStyle w:val="5"/>
      </w:pPr>
    </w:p>
    <w:p w14:paraId="7B21D6E4"/>
    <w:p w14:paraId="3AB24533">
      <w:pPr>
        <w:pStyle w:val="9"/>
      </w:pPr>
    </w:p>
    <w:p w14:paraId="61A68478">
      <w:pPr>
        <w:pStyle w:val="5"/>
      </w:pPr>
    </w:p>
    <w:p w14:paraId="4171342C"/>
    <w:p w14:paraId="51AF9B78">
      <w:pPr>
        <w:pStyle w:val="9"/>
      </w:pPr>
    </w:p>
    <w:p w14:paraId="547E28FD">
      <w:pPr>
        <w:pStyle w:val="5"/>
      </w:pPr>
    </w:p>
    <w:p w14:paraId="27AFC029"/>
    <w:p w14:paraId="08A4E8BE">
      <w:pPr>
        <w:pStyle w:val="9"/>
      </w:pPr>
    </w:p>
    <w:p w14:paraId="4D67485D">
      <w:pPr>
        <w:pStyle w:val="5"/>
      </w:pPr>
    </w:p>
    <w:p w14:paraId="112A7E80"/>
    <w:p w14:paraId="76475B17">
      <w:pPr>
        <w:pStyle w:val="9"/>
      </w:pPr>
    </w:p>
    <w:p w14:paraId="7ABC4DFE">
      <w:pPr>
        <w:pStyle w:val="5"/>
      </w:pPr>
    </w:p>
    <w:p w14:paraId="229BD2D6">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5E4797C9">
      <w:pPr>
        <w:pStyle w:val="14"/>
        <w:jc w:val="both"/>
        <w:rPr>
          <w:rFonts w:hint="eastAsia" w:ascii="方正小标宋_GBK" w:hAnsi="方正小标宋_GBK" w:eastAsia="方正小标宋_GBK" w:cs="方正小标宋_GBK"/>
          <w:sz w:val="70"/>
          <w:szCs w:val="70"/>
          <w:lang w:eastAsia="zh-CN"/>
        </w:rPr>
      </w:pPr>
    </w:p>
    <w:p w14:paraId="58E3F1F0">
      <w:pPr>
        <w:pStyle w:val="14"/>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06E832DC">
      <w:pPr>
        <w:ind w:firstLine="640" w:firstLineChars="200"/>
        <w:jc w:val="left"/>
        <w:rPr>
          <w:rFonts w:hint="eastAsia" w:ascii="宋体" w:hAnsi="宋体" w:eastAsia="宋体" w:cs="黑体"/>
          <w:b/>
          <w:color w:val="000000"/>
          <w:kern w:val="0"/>
          <w:sz w:val="32"/>
          <w:szCs w:val="32"/>
          <w:lang w:val="en-US" w:eastAsia="zh-CN"/>
        </w:rPr>
      </w:pPr>
    </w:p>
    <w:p w14:paraId="3C6A38D5">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14:paraId="276A7C85">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14:paraId="781A3D16"/>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B614CF"/>
    <w:multiLevelType w:val="singleLevel"/>
    <w:tmpl w:val="EBB614CF"/>
    <w:lvl w:ilvl="0" w:tentative="0">
      <w:start w:val="2"/>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zMmE1NWMzMDhjNzY2M2ZiYTBkMGEyMDZmZjExMGY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9958AD"/>
    <w:rsid w:val="0AD553D5"/>
    <w:rsid w:val="0B28639C"/>
    <w:rsid w:val="12583BA5"/>
    <w:rsid w:val="134E637B"/>
    <w:rsid w:val="13BA5B9C"/>
    <w:rsid w:val="1D97DEFF"/>
    <w:rsid w:val="1DFF72E5"/>
    <w:rsid w:val="1EFC6F07"/>
    <w:rsid w:val="212D776C"/>
    <w:rsid w:val="22AC03C2"/>
    <w:rsid w:val="260303B6"/>
    <w:rsid w:val="2FDF85B8"/>
    <w:rsid w:val="2FFFEE04"/>
    <w:rsid w:val="31C95635"/>
    <w:rsid w:val="34DF85B0"/>
    <w:rsid w:val="3B8F36BC"/>
    <w:rsid w:val="3BA64AD4"/>
    <w:rsid w:val="4134048C"/>
    <w:rsid w:val="470D549F"/>
    <w:rsid w:val="491FF225"/>
    <w:rsid w:val="4AC81EC2"/>
    <w:rsid w:val="4FFD214C"/>
    <w:rsid w:val="50C44D5E"/>
    <w:rsid w:val="5352765A"/>
    <w:rsid w:val="55491815"/>
    <w:rsid w:val="56506535"/>
    <w:rsid w:val="5777D4F5"/>
    <w:rsid w:val="59DD8326"/>
    <w:rsid w:val="5BF83DEA"/>
    <w:rsid w:val="5DEF592A"/>
    <w:rsid w:val="5F8B5088"/>
    <w:rsid w:val="5FC6BB1E"/>
    <w:rsid w:val="5FF720F1"/>
    <w:rsid w:val="67FF5C0B"/>
    <w:rsid w:val="6B9A16B0"/>
    <w:rsid w:val="6BAA4A2F"/>
    <w:rsid w:val="6BE62696"/>
    <w:rsid w:val="6EFC0924"/>
    <w:rsid w:val="6FB74722"/>
    <w:rsid w:val="6FEF8B7E"/>
    <w:rsid w:val="707B1384"/>
    <w:rsid w:val="710567DF"/>
    <w:rsid w:val="71A6591B"/>
    <w:rsid w:val="737D59BA"/>
    <w:rsid w:val="737F32B1"/>
    <w:rsid w:val="77C37683"/>
    <w:rsid w:val="79FF515B"/>
    <w:rsid w:val="7E9D4991"/>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2">
    <w:name w:val="heading 4"/>
    <w:basedOn w:val="1"/>
    <w:next w:val="1"/>
    <w:unhideWhenUsed/>
    <w:qFormat/>
    <w:uiPriority w:val="0"/>
    <w:pPr>
      <w:keepNext/>
      <w:keepLines/>
      <w:spacing w:line="360" w:lineRule="auto"/>
      <w:outlineLvl w:val="3"/>
    </w:pPr>
    <w:rPr>
      <w:rFonts w:ascii="Cambria" w:hAnsi="Cambria" w:eastAsia="仿宋" w:cs="Times New Roman"/>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6"/>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6"/>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10244</Words>
  <Characters>11256</Characters>
  <Lines>63</Lines>
  <Paragraphs>18</Paragraphs>
  <TotalTime>25</TotalTime>
  <ScaleCrop>false</ScaleCrop>
  <LinksUpToDate>false</LinksUpToDate>
  <CharactersWithSpaces>11286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bunnyyan</cp:lastModifiedBy>
  <cp:lastPrinted>2024-09-10T08:30:00Z</cp:lastPrinted>
  <dcterms:modified xsi:type="dcterms:W3CDTF">2025-08-25T07:15:12Z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97B896464BFE41A084AF976CA0B62EC0_13</vt:lpwstr>
  </property>
  <property fmtid="{D5CDD505-2E9C-101B-9397-08002B2CF9AE}" pid="4" name="KSOTemplateDocerSaveRecord">
    <vt:lpwstr>eyJoZGlkIjoiZWU2NGQxZjRjNWQ2YzBlZDQxNTc2NWYwZTRlMzBlYWUiLCJ1c2VySWQiOiIzNzQxOTg4MDQifQ==</vt:lpwstr>
  </property>
</Properties>
</file>