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61677">
      <w:pPr>
        <w:keepNext w:val="0"/>
        <w:keepLines w:val="0"/>
        <w:pageBreakBefore w:val="0"/>
        <w:kinsoku/>
        <w:wordWrap/>
        <w:overflowPunct/>
        <w:topLinePunct w:val="0"/>
        <w:autoSpaceDE/>
        <w:autoSpaceDN/>
        <w:bidi w:val="0"/>
        <w:adjustRightInd/>
        <w:snapToGrid/>
        <w:ind w:firstLine="1040" w:firstLineChars="200"/>
        <w:jc w:val="center"/>
        <w:textAlignment w:val="auto"/>
        <w:rPr>
          <w:rFonts w:hint="default" w:ascii="Times New Roman" w:hAnsi="Times New Roman" w:eastAsia="方正小标宋_GBK" w:cs="Times New Roman"/>
          <w:sz w:val="52"/>
          <w:szCs w:val="52"/>
          <w:highlight w:val="none"/>
        </w:rPr>
      </w:pPr>
      <w:bookmarkStart w:id="1" w:name="_GoBack"/>
      <w:bookmarkEnd w:id="1"/>
    </w:p>
    <w:p w14:paraId="53D5F66A">
      <w:pPr>
        <w:keepNext w:val="0"/>
        <w:keepLines w:val="0"/>
        <w:pageBreakBefore w:val="0"/>
        <w:kinsoku/>
        <w:wordWrap/>
        <w:overflowPunct/>
        <w:topLinePunct w:val="0"/>
        <w:autoSpaceDE/>
        <w:autoSpaceDN/>
        <w:bidi w:val="0"/>
        <w:adjustRightInd/>
        <w:snapToGrid/>
        <w:ind w:left="2200" w:hanging="2200" w:hangingChars="500"/>
        <w:jc w:val="both"/>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岳阳市自然资源和规划事务中心</w:t>
      </w:r>
      <w:r>
        <w:rPr>
          <w:rFonts w:hint="eastAsia" w:ascii="方正小标宋简体" w:hAnsi="方正小标宋简体" w:eastAsia="方正小标宋简体" w:cs="方正小标宋简体"/>
          <w:sz w:val="44"/>
          <w:szCs w:val="44"/>
          <w:highlight w:val="none"/>
        </w:rPr>
        <w:t>整体支出绩效自评报告</w:t>
      </w:r>
    </w:p>
    <w:p w14:paraId="37E8162B">
      <w:pPr>
        <w:keepNext w:val="0"/>
        <w:keepLines w:val="0"/>
        <w:pageBreakBefore w:val="0"/>
        <w:kinsoku/>
        <w:wordWrap/>
        <w:overflowPunct/>
        <w:topLinePunct w:val="0"/>
        <w:autoSpaceDE/>
        <w:autoSpaceDN/>
        <w:bidi w:val="0"/>
        <w:adjustRightInd/>
        <w:snapToGrid/>
        <w:ind w:firstLine="1041" w:firstLineChars="200"/>
        <w:jc w:val="center"/>
        <w:textAlignment w:val="auto"/>
        <w:rPr>
          <w:rFonts w:hint="default" w:ascii="Times New Roman" w:hAnsi="Times New Roman" w:eastAsia="方正小标宋_GBK" w:cs="Times New Roman"/>
          <w:b/>
          <w:sz w:val="52"/>
          <w:szCs w:val="52"/>
          <w:highlight w:val="none"/>
        </w:rPr>
      </w:pPr>
    </w:p>
    <w:p w14:paraId="6D1B0444">
      <w:pPr>
        <w:keepNext w:val="0"/>
        <w:keepLines w:val="0"/>
        <w:pageBreakBefore w:val="0"/>
        <w:kinsoku/>
        <w:wordWrap/>
        <w:overflowPunct/>
        <w:topLinePunct w:val="0"/>
        <w:autoSpaceDE/>
        <w:autoSpaceDN/>
        <w:bidi w:val="0"/>
        <w:adjustRightInd/>
        <w:snapToGrid/>
        <w:ind w:firstLine="643" w:firstLineChars="200"/>
        <w:jc w:val="center"/>
        <w:textAlignment w:val="auto"/>
        <w:rPr>
          <w:rFonts w:hint="default" w:ascii="Times New Roman" w:hAnsi="Times New Roman" w:eastAsia="楷体_GB2312" w:cs="Times New Roman"/>
          <w:b/>
          <w:sz w:val="32"/>
          <w:szCs w:val="32"/>
          <w:highlight w:val="none"/>
        </w:rPr>
      </w:pPr>
    </w:p>
    <w:p w14:paraId="20533324">
      <w:pPr>
        <w:keepNext w:val="0"/>
        <w:keepLines w:val="0"/>
        <w:pageBreakBefore w:val="0"/>
        <w:kinsoku/>
        <w:wordWrap/>
        <w:overflowPunct/>
        <w:topLinePunct w:val="0"/>
        <w:autoSpaceDE/>
        <w:autoSpaceDN/>
        <w:bidi w:val="0"/>
        <w:adjustRightInd/>
        <w:snapToGrid/>
        <w:ind w:firstLine="643" w:firstLineChars="200"/>
        <w:jc w:val="center"/>
        <w:textAlignment w:val="auto"/>
        <w:rPr>
          <w:rFonts w:hint="default" w:ascii="Times New Roman" w:hAnsi="Times New Roman" w:eastAsia="楷体_GB2312" w:cs="Times New Roman"/>
          <w:b/>
          <w:sz w:val="32"/>
          <w:szCs w:val="32"/>
          <w:highlight w:val="none"/>
        </w:rPr>
      </w:pPr>
    </w:p>
    <w:p w14:paraId="7A0BDA70">
      <w:pPr>
        <w:keepNext w:val="0"/>
        <w:keepLines w:val="0"/>
        <w:pageBreakBefore w:val="0"/>
        <w:kinsoku/>
        <w:wordWrap/>
        <w:overflowPunct/>
        <w:topLinePunct w:val="0"/>
        <w:autoSpaceDE/>
        <w:autoSpaceDN/>
        <w:bidi w:val="0"/>
        <w:adjustRightInd/>
        <w:snapToGrid/>
        <w:ind w:firstLine="643" w:firstLineChars="200"/>
        <w:jc w:val="center"/>
        <w:textAlignment w:val="auto"/>
        <w:rPr>
          <w:rFonts w:hint="default" w:ascii="Times New Roman" w:hAnsi="Times New Roman" w:eastAsia="楷体_GB2312" w:cs="Times New Roman"/>
          <w:b/>
          <w:sz w:val="32"/>
          <w:szCs w:val="32"/>
          <w:highlight w:val="none"/>
        </w:rPr>
      </w:pPr>
    </w:p>
    <w:p w14:paraId="3280593B">
      <w:pPr>
        <w:keepNext w:val="0"/>
        <w:keepLines w:val="0"/>
        <w:pageBreakBefore w:val="0"/>
        <w:kinsoku/>
        <w:wordWrap/>
        <w:overflowPunct/>
        <w:topLinePunct w:val="0"/>
        <w:autoSpaceDE/>
        <w:autoSpaceDN/>
        <w:bidi w:val="0"/>
        <w:adjustRightInd/>
        <w:snapToGrid/>
        <w:ind w:firstLine="643" w:firstLineChars="200"/>
        <w:jc w:val="center"/>
        <w:textAlignment w:val="auto"/>
        <w:rPr>
          <w:rFonts w:hint="default" w:ascii="Times New Roman" w:hAnsi="Times New Roman" w:eastAsia="楷体_GB2312" w:cs="Times New Roman"/>
          <w:b/>
          <w:sz w:val="32"/>
          <w:szCs w:val="32"/>
          <w:highlight w:val="none"/>
        </w:rPr>
      </w:pPr>
    </w:p>
    <w:p w14:paraId="786C38B9">
      <w:pPr>
        <w:keepNext w:val="0"/>
        <w:keepLines w:val="0"/>
        <w:pageBreakBefore w:val="0"/>
        <w:kinsoku/>
        <w:wordWrap/>
        <w:overflowPunct/>
        <w:topLinePunct w:val="0"/>
        <w:autoSpaceDE/>
        <w:autoSpaceDN/>
        <w:bidi w:val="0"/>
        <w:adjustRightInd/>
        <w:snapToGrid/>
        <w:ind w:firstLine="643" w:firstLineChars="200"/>
        <w:jc w:val="center"/>
        <w:textAlignment w:val="auto"/>
        <w:rPr>
          <w:rFonts w:hint="default" w:ascii="Times New Roman" w:hAnsi="Times New Roman" w:eastAsia="楷体_GB2312" w:cs="Times New Roman"/>
          <w:b/>
          <w:sz w:val="32"/>
          <w:szCs w:val="32"/>
          <w:highlight w:val="none"/>
        </w:rPr>
      </w:pPr>
    </w:p>
    <w:p w14:paraId="307B40AA">
      <w:pPr>
        <w:keepNext w:val="0"/>
        <w:keepLines w:val="0"/>
        <w:pageBreakBefore w:val="0"/>
        <w:kinsoku/>
        <w:wordWrap/>
        <w:overflowPunct/>
        <w:topLinePunct w:val="0"/>
        <w:autoSpaceDE/>
        <w:autoSpaceDN/>
        <w:bidi w:val="0"/>
        <w:adjustRightInd/>
        <w:snapToGrid/>
        <w:ind w:firstLine="643" w:firstLineChars="200"/>
        <w:jc w:val="center"/>
        <w:textAlignment w:val="auto"/>
        <w:rPr>
          <w:rFonts w:hint="default" w:ascii="Times New Roman" w:hAnsi="Times New Roman" w:eastAsia="楷体_GB2312" w:cs="Times New Roman"/>
          <w:b/>
          <w:sz w:val="32"/>
          <w:szCs w:val="32"/>
          <w:highlight w:val="none"/>
        </w:rPr>
      </w:pPr>
    </w:p>
    <w:p w14:paraId="3FAC1AFA">
      <w:pPr>
        <w:keepNext w:val="0"/>
        <w:keepLines w:val="0"/>
        <w:pageBreakBefore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黑体" w:cs="Times New Roman"/>
          <w:sz w:val="32"/>
          <w:szCs w:val="32"/>
          <w:highlight w:val="none"/>
        </w:rPr>
      </w:pPr>
    </w:p>
    <w:p w14:paraId="72719BCB">
      <w:pPr>
        <w:keepNext w:val="0"/>
        <w:keepLines w:val="0"/>
        <w:pageBreakBefore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黑体" w:cs="Times New Roman"/>
          <w:sz w:val="32"/>
          <w:szCs w:val="32"/>
          <w:highlight w:val="none"/>
        </w:rPr>
      </w:pPr>
    </w:p>
    <w:p w14:paraId="624B1F2D">
      <w:pPr>
        <w:keepNext w:val="0"/>
        <w:keepLines w:val="0"/>
        <w:pageBreakBefore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黑体" w:cs="Times New Roman"/>
          <w:sz w:val="32"/>
          <w:szCs w:val="32"/>
          <w:highlight w:val="none"/>
        </w:rPr>
      </w:pPr>
    </w:p>
    <w:p w14:paraId="5E7ABE47">
      <w:pPr>
        <w:keepNext w:val="0"/>
        <w:keepLines w:val="0"/>
        <w:pageBreakBefore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黑体" w:cs="Times New Roman"/>
          <w:sz w:val="32"/>
          <w:szCs w:val="32"/>
          <w:highlight w:val="none"/>
        </w:rPr>
      </w:pPr>
    </w:p>
    <w:p w14:paraId="0F6CE352">
      <w:pPr>
        <w:keepNext w:val="0"/>
        <w:keepLines w:val="0"/>
        <w:pageBreakBefore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黑体" w:cs="Times New Roman"/>
          <w:sz w:val="32"/>
          <w:szCs w:val="32"/>
          <w:highlight w:val="none"/>
        </w:rPr>
      </w:pPr>
    </w:p>
    <w:p w14:paraId="2B705B6C">
      <w:pPr>
        <w:keepNext w:val="0"/>
        <w:keepLines w:val="0"/>
        <w:pageBreakBefore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黑体" w:cs="Times New Roman"/>
          <w:sz w:val="32"/>
          <w:szCs w:val="32"/>
          <w:highlight w:val="none"/>
        </w:rPr>
      </w:pPr>
    </w:p>
    <w:p w14:paraId="69BB075F">
      <w:pPr>
        <w:keepNext w:val="0"/>
        <w:keepLines w:val="0"/>
        <w:pageBreakBefore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黑体" w:cs="Times New Roman"/>
          <w:sz w:val="32"/>
          <w:szCs w:val="32"/>
          <w:highlight w:val="none"/>
        </w:rPr>
      </w:pPr>
    </w:p>
    <w:p w14:paraId="30641714">
      <w:pPr>
        <w:keepNext w:val="0"/>
        <w:keepLines w:val="0"/>
        <w:pageBreakBefore w:val="0"/>
        <w:kinsoku/>
        <w:wordWrap/>
        <w:overflowPunct/>
        <w:topLinePunct w:val="0"/>
        <w:autoSpaceDE/>
        <w:autoSpaceDN/>
        <w:bidi w:val="0"/>
        <w:adjustRightInd/>
        <w:snapToGrid/>
        <w:spacing w:line="600" w:lineRule="exact"/>
        <w:ind w:firstLine="640" w:firstLineChars="200"/>
        <w:jc w:val="center"/>
        <w:textAlignment w:val="auto"/>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14:paraId="46CA46E0">
      <w:pPr>
        <w:keepNext w:val="0"/>
        <w:keepLines w:val="0"/>
        <w:pageBreakBefore w:val="0"/>
        <w:kinsoku/>
        <w:wordWrap/>
        <w:overflowPunct/>
        <w:topLinePunct w:val="0"/>
        <w:autoSpaceDE/>
        <w:autoSpaceDN/>
        <w:bidi w:val="0"/>
        <w:adjustRightInd/>
        <w:snapToGrid/>
        <w:spacing w:line="600" w:lineRule="exact"/>
        <w:ind w:firstLine="640" w:firstLineChars="200"/>
        <w:jc w:val="center"/>
        <w:textAlignment w:val="auto"/>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年  月  日</w:t>
      </w:r>
    </w:p>
    <w:p w14:paraId="50D4B949">
      <w:pPr>
        <w:keepNext w:val="0"/>
        <w:keepLines w:val="0"/>
        <w:pageBreakBefore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14:paraId="0B0F2C18">
      <w:pPr>
        <w:keepNext w:val="0"/>
        <w:keepLines w:val="0"/>
        <w:pageBreakBefore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sz w:val="44"/>
          <w:szCs w:val="44"/>
          <w:highlight w:val="none"/>
        </w:rPr>
      </w:pPr>
      <w:r>
        <w:rPr>
          <w:rFonts w:hint="default" w:ascii="Times New Roman" w:hAnsi="Times New Roman" w:eastAsia="仿宋_GB2312" w:cs="Times New Roman"/>
          <w:sz w:val="32"/>
          <w:szCs w:val="32"/>
          <w:highlight w:val="none"/>
        </w:rPr>
        <w:br w:type="page"/>
      </w: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岳阳市自然资源和规划事务中心</w:t>
      </w:r>
      <w:r>
        <w:rPr>
          <w:rFonts w:hint="eastAsia" w:ascii="方正小标宋简体" w:hAnsi="方正小标宋简体" w:eastAsia="方正小标宋简体" w:cs="方正小标宋简体"/>
          <w:sz w:val="44"/>
          <w:szCs w:val="44"/>
          <w:highlight w:val="none"/>
        </w:rPr>
        <w:t>整体支出绩效自评报告</w:t>
      </w:r>
    </w:p>
    <w:p w14:paraId="7D2D6103">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14:paraId="14831666">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部门（单位）基本情况</w:t>
      </w:r>
    </w:p>
    <w:p w14:paraId="355E957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620" w:firstLineChars="20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（一）职能职责</w:t>
      </w:r>
    </w:p>
    <w:p w14:paraId="16C7855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1、为机关提供支持保障的职能。</w:t>
      </w:r>
    </w:p>
    <w:p w14:paraId="6D10511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（1）为市自然资源和规划局依法履行全民所有土地、矿产、森林、草原、湿地、水等自然资源资产所有者职责和国土空间用途管制职责提供技术支持和服务保障。</w:t>
      </w:r>
    </w:p>
    <w:p w14:paraId="29100F6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（2）为自然资源调查监测、开发利用、矿产资源管理工作提供技术支持和服务保障。</w:t>
      </w:r>
    </w:p>
    <w:p w14:paraId="1ED2764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（3）为建立和实施国土空间规划体系提供技术支持和服务保障。</w:t>
      </w:r>
    </w:p>
    <w:p w14:paraId="6BB7806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（4）为建筑工程、市政工程规划管理提供技术支持和服务保障。</w:t>
      </w:r>
    </w:p>
    <w:p w14:paraId="74ADFE5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（5）为统筹国土空间生态修复、用途管制、全域土地综合整治工作提供技术支持和服务保障。</w:t>
      </w:r>
    </w:p>
    <w:p w14:paraId="65E788F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（6）为组织实施最严格的耕地保护制度提供技术支持和服务保障。</w:t>
      </w:r>
    </w:p>
    <w:p w14:paraId="61F20A0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（7）为地质管理、地质灾害防治等相关工作提供技术支持和服务保障。</w:t>
      </w:r>
    </w:p>
    <w:p w14:paraId="4D6ED50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（8）为自然资源和规划地理信息管理、系统信息化建设工作提供技术支持和服务保障。</w:t>
      </w:r>
    </w:p>
    <w:p w14:paraId="5C741F6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（9）为自然资源和规划系统档案利用、管理提供技术支持和服务保障。</w:t>
      </w:r>
    </w:p>
    <w:p w14:paraId="288D635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2、面向社会提供公益服务的职能。</w:t>
      </w:r>
    </w:p>
    <w:p w14:paraId="68E2AD8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（1）负责全市基础地理空间数据汇集、更新、安全、共享以及地理信息系统建设、维护等技术服务工作。</w:t>
      </w:r>
    </w:p>
    <w:p w14:paraId="3178D2B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（2）负责为全市城市建设提供地理空间数据和技术服务。</w:t>
      </w:r>
    </w:p>
    <w:p w14:paraId="4FAEB54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（3）为社会无偿提供档案咨询、查询公益服务工作。</w:t>
      </w:r>
    </w:p>
    <w:p w14:paraId="5891309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3、完成市自然资源和规划局交办的其他任务。</w:t>
      </w:r>
    </w:p>
    <w:p w14:paraId="05851DC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（二）机构设置</w:t>
      </w:r>
    </w:p>
    <w:p w14:paraId="4E6422D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根据市编委岳编发〔2021〕29号文件、岳编办函〔2022〕153号文件、岳编发〔2022〕194号文件、岳编办函〔2022〕243号文件、岳编发〔2024〕6号文件、岳编办函〔2024〕55号文件核定，我中心设15个内设机构和4个分支机构。编制人数143人，实际在职139人。</w:t>
      </w:r>
    </w:p>
    <w:p w14:paraId="2A5BAD0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620" w:firstLineChars="20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 xml:space="preserve">内设机构分别是：综合部、资源利用服务部（市储量评审部）、规划编制研究部、规划技术服务部、土地综合整治部、耕保技术服务部、地灾防治地质监测技术部、财务部、卫片数据处理部、土地监管服务部、规划监管服务部、矿产安全服务部、政策法规宣教部、违法建设治理部、人事部。  </w:t>
      </w:r>
    </w:p>
    <w:p w14:paraId="1B8A9DD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620" w:firstLineChars="200"/>
        <w:jc w:val="both"/>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分支机构分别是：自然资源和规划数据中心（市地理信息中心）、自然资源和规划档案馆。市测绘成果审核中心、市卫星应用中心。</w:t>
      </w:r>
    </w:p>
    <w:p w14:paraId="51FEB9EB">
      <w:pPr>
        <w:pStyle w:val="13"/>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14:paraId="42A4D0A9">
      <w:pPr>
        <w:pStyle w:val="13"/>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14:paraId="3A975A95">
      <w:pPr>
        <w:pStyle w:val="13"/>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default" w:ascii="仿宋" w:hAnsi="仿宋" w:eastAsia="仿宋" w:cs="仿宋"/>
          <w:kern w:val="0"/>
          <w:sz w:val="31"/>
          <w:szCs w:val="31"/>
          <w:lang w:val="en-US" w:eastAsia="en-US" w:bidi="ar-SA"/>
        </w:rPr>
      </w:pPr>
      <w:r>
        <w:rPr>
          <w:rFonts w:hint="eastAsia" w:ascii="仿宋" w:hAnsi="仿宋" w:eastAsia="仿宋" w:cs="仿宋"/>
          <w:kern w:val="0"/>
          <w:sz w:val="31"/>
          <w:szCs w:val="31"/>
          <w:lang w:val="en-US" w:eastAsia="zh-CN" w:bidi="ar-SA"/>
        </w:rPr>
        <w:t>本单位</w:t>
      </w:r>
      <w:r>
        <w:rPr>
          <w:rFonts w:hint="default" w:ascii="仿宋" w:hAnsi="仿宋" w:eastAsia="仿宋" w:cs="仿宋"/>
          <w:kern w:val="0"/>
          <w:sz w:val="31"/>
          <w:szCs w:val="31"/>
          <w:lang w:val="en-US" w:eastAsia="en-US" w:bidi="ar-SA"/>
        </w:rPr>
        <w:t>202</w:t>
      </w:r>
      <w:r>
        <w:rPr>
          <w:rFonts w:hint="eastAsia" w:ascii="仿宋" w:hAnsi="仿宋" w:eastAsia="仿宋" w:cs="仿宋"/>
          <w:kern w:val="0"/>
          <w:sz w:val="31"/>
          <w:szCs w:val="31"/>
          <w:lang w:val="en-US" w:eastAsia="zh-CN" w:bidi="ar-SA"/>
        </w:rPr>
        <w:t>4</w:t>
      </w:r>
      <w:r>
        <w:rPr>
          <w:rFonts w:hint="default" w:ascii="仿宋" w:hAnsi="仿宋" w:eastAsia="仿宋" w:cs="仿宋"/>
          <w:kern w:val="0"/>
          <w:sz w:val="31"/>
          <w:szCs w:val="31"/>
          <w:lang w:val="en-US" w:eastAsia="en-US" w:bidi="ar-SA"/>
        </w:rPr>
        <w:t>年度</w:t>
      </w:r>
      <w:r>
        <w:rPr>
          <w:rFonts w:hint="eastAsia" w:ascii="仿宋" w:hAnsi="仿宋" w:eastAsia="仿宋" w:cs="仿宋"/>
          <w:kern w:val="0"/>
          <w:sz w:val="31"/>
          <w:szCs w:val="31"/>
          <w:lang w:val="en-US" w:eastAsia="zh-CN" w:bidi="ar-SA"/>
        </w:rPr>
        <w:t>基本</w:t>
      </w:r>
      <w:r>
        <w:rPr>
          <w:rFonts w:hint="default" w:ascii="仿宋" w:hAnsi="仿宋" w:eastAsia="仿宋" w:cs="仿宋"/>
          <w:kern w:val="0"/>
          <w:sz w:val="31"/>
          <w:szCs w:val="31"/>
          <w:lang w:val="en-US" w:eastAsia="en-US" w:bidi="ar-SA"/>
        </w:rPr>
        <w:t>支出</w:t>
      </w:r>
      <w:r>
        <w:rPr>
          <w:rFonts w:hint="eastAsia" w:ascii="仿宋" w:hAnsi="仿宋" w:eastAsia="仿宋" w:cs="仿宋"/>
          <w:kern w:val="0"/>
          <w:sz w:val="31"/>
          <w:szCs w:val="31"/>
          <w:lang w:val="en-US" w:eastAsia="zh-CN" w:bidi="ar-SA"/>
        </w:rPr>
        <w:t>2619.25</w:t>
      </w:r>
      <w:r>
        <w:rPr>
          <w:rFonts w:hint="default" w:ascii="仿宋" w:hAnsi="仿宋" w:eastAsia="仿宋" w:cs="仿宋"/>
          <w:kern w:val="0"/>
          <w:sz w:val="31"/>
          <w:szCs w:val="31"/>
          <w:lang w:val="en-US" w:eastAsia="en-US" w:bidi="ar-SA"/>
        </w:rPr>
        <w:t>万元，其中工资福利性支出</w:t>
      </w:r>
      <w:r>
        <w:rPr>
          <w:rFonts w:hint="eastAsia" w:ascii="仿宋" w:hAnsi="仿宋" w:eastAsia="仿宋" w:cs="仿宋"/>
          <w:kern w:val="0"/>
          <w:sz w:val="31"/>
          <w:szCs w:val="31"/>
          <w:lang w:val="en-US" w:eastAsia="zh-CN" w:bidi="ar-SA"/>
        </w:rPr>
        <w:t>2195.70</w:t>
      </w:r>
      <w:r>
        <w:rPr>
          <w:rFonts w:hint="default" w:ascii="仿宋" w:hAnsi="仿宋" w:eastAsia="仿宋" w:cs="仿宋"/>
          <w:kern w:val="0"/>
          <w:sz w:val="31"/>
          <w:szCs w:val="31"/>
          <w:lang w:val="en-US" w:eastAsia="en-US" w:bidi="ar-SA"/>
        </w:rPr>
        <w:t>万元，商品和服务性支出</w:t>
      </w:r>
      <w:r>
        <w:rPr>
          <w:rFonts w:hint="eastAsia" w:ascii="仿宋" w:hAnsi="仿宋" w:eastAsia="仿宋" w:cs="仿宋"/>
          <w:kern w:val="0"/>
          <w:sz w:val="31"/>
          <w:szCs w:val="31"/>
          <w:lang w:val="en-US" w:eastAsia="zh-CN" w:bidi="ar-SA"/>
        </w:rPr>
        <w:t>318.52</w:t>
      </w:r>
      <w:r>
        <w:rPr>
          <w:rFonts w:hint="default" w:ascii="仿宋" w:hAnsi="仿宋" w:eastAsia="仿宋" w:cs="仿宋"/>
          <w:kern w:val="0"/>
          <w:sz w:val="31"/>
          <w:szCs w:val="31"/>
          <w:lang w:val="en-US" w:eastAsia="en-US" w:bidi="ar-SA"/>
        </w:rPr>
        <w:t>万元，其他对个人及家庭的补助103</w:t>
      </w:r>
      <w:r>
        <w:rPr>
          <w:rFonts w:hint="eastAsia" w:ascii="仿宋" w:hAnsi="仿宋" w:eastAsia="仿宋" w:cs="仿宋"/>
          <w:kern w:val="0"/>
          <w:sz w:val="31"/>
          <w:szCs w:val="31"/>
          <w:lang w:val="en-US" w:eastAsia="zh-CN" w:bidi="ar-SA"/>
        </w:rPr>
        <w:t>.</w:t>
      </w:r>
      <w:r>
        <w:rPr>
          <w:rFonts w:hint="default" w:ascii="仿宋" w:hAnsi="仿宋" w:eastAsia="仿宋" w:cs="仿宋"/>
          <w:kern w:val="0"/>
          <w:sz w:val="31"/>
          <w:szCs w:val="31"/>
          <w:lang w:val="en-US" w:eastAsia="en-US" w:bidi="ar-SA"/>
        </w:rPr>
        <w:t>6</w:t>
      </w:r>
      <w:r>
        <w:rPr>
          <w:rFonts w:hint="eastAsia" w:ascii="仿宋" w:hAnsi="仿宋" w:eastAsia="仿宋" w:cs="仿宋"/>
          <w:kern w:val="0"/>
          <w:sz w:val="31"/>
          <w:szCs w:val="31"/>
          <w:lang w:val="en-US" w:eastAsia="zh-CN" w:bidi="ar-SA"/>
        </w:rPr>
        <w:t>7</w:t>
      </w:r>
      <w:r>
        <w:rPr>
          <w:rFonts w:hint="default" w:ascii="仿宋" w:hAnsi="仿宋" w:eastAsia="仿宋" w:cs="仿宋"/>
          <w:kern w:val="0"/>
          <w:sz w:val="31"/>
          <w:szCs w:val="31"/>
          <w:lang w:val="en-US" w:eastAsia="en-US" w:bidi="ar-SA"/>
        </w:rPr>
        <w:t>万元</w:t>
      </w:r>
      <w:r>
        <w:rPr>
          <w:rFonts w:hint="eastAsia" w:ascii="仿宋" w:hAnsi="仿宋" w:eastAsia="仿宋" w:cs="仿宋"/>
          <w:kern w:val="0"/>
          <w:sz w:val="31"/>
          <w:szCs w:val="31"/>
          <w:lang w:val="en-US" w:eastAsia="zh-CN" w:bidi="ar-SA"/>
        </w:rPr>
        <w:t>，资本性支出1.36万元。</w:t>
      </w:r>
      <w:r>
        <w:rPr>
          <w:rFonts w:hint="default" w:ascii="仿宋" w:hAnsi="仿宋" w:eastAsia="仿宋" w:cs="仿宋"/>
          <w:kern w:val="0"/>
          <w:sz w:val="31"/>
          <w:szCs w:val="31"/>
          <w:lang w:val="en-US" w:eastAsia="en-US" w:bidi="ar-SA"/>
        </w:rPr>
        <w:t>主要用于人员经费和环境宣传、资产采购、“三公”经费等公用支出。</w:t>
      </w:r>
    </w:p>
    <w:p w14:paraId="66353A3B">
      <w:pPr>
        <w:pStyle w:val="13"/>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eastAsia" w:ascii="Times New Roman" w:hAnsi="Times New Roman" w:eastAsia="楷体_GB2312" w:cs="Times New Roman"/>
          <w:b/>
          <w:kern w:val="0"/>
          <w:sz w:val="32"/>
          <w:szCs w:val="32"/>
          <w:lang w:val="en-US" w:eastAsia="zh-CN" w:bidi="ar-SA"/>
        </w:rPr>
        <w:t>（二）</w:t>
      </w:r>
      <w:r>
        <w:rPr>
          <w:rFonts w:hint="default" w:ascii="Times New Roman" w:hAnsi="Times New Roman" w:eastAsia="楷体_GB2312" w:cs="Times New Roman"/>
          <w:b/>
          <w:sz w:val="32"/>
          <w:szCs w:val="32"/>
          <w:highlight w:val="none"/>
        </w:rPr>
        <w:t>项目支出情况</w:t>
      </w:r>
    </w:p>
    <w:p w14:paraId="1D47C509">
      <w:pPr>
        <w:pStyle w:val="13"/>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项目</w:t>
      </w:r>
      <w:r>
        <w:rPr>
          <w:rFonts w:hint="default" w:ascii="仿宋" w:hAnsi="仿宋" w:eastAsia="仿宋" w:cs="仿宋"/>
          <w:kern w:val="0"/>
          <w:sz w:val="31"/>
          <w:szCs w:val="31"/>
          <w:lang w:val="en-US" w:eastAsia="en-US" w:bidi="ar-SA"/>
        </w:rPr>
        <w:t>支出</w:t>
      </w:r>
      <w:r>
        <w:rPr>
          <w:rFonts w:hint="eastAsia" w:ascii="仿宋" w:hAnsi="仿宋" w:eastAsia="仿宋" w:cs="仿宋"/>
          <w:kern w:val="0"/>
          <w:sz w:val="31"/>
          <w:szCs w:val="31"/>
          <w:lang w:val="en-US" w:eastAsia="zh-CN" w:bidi="ar-SA"/>
        </w:rPr>
        <w:t>1758.45</w:t>
      </w:r>
      <w:r>
        <w:rPr>
          <w:rFonts w:hint="default" w:ascii="仿宋" w:hAnsi="仿宋" w:eastAsia="仿宋" w:cs="仿宋"/>
          <w:kern w:val="0"/>
          <w:sz w:val="31"/>
          <w:szCs w:val="31"/>
          <w:lang w:val="en-US" w:eastAsia="en-US" w:bidi="ar-SA"/>
        </w:rPr>
        <w:t>万元，其中业务工作经费1758.45</w:t>
      </w:r>
      <w:r>
        <w:rPr>
          <w:rFonts w:hint="eastAsia" w:ascii="仿宋" w:hAnsi="仿宋" w:eastAsia="仿宋" w:cs="仿宋"/>
          <w:kern w:val="0"/>
          <w:sz w:val="31"/>
          <w:szCs w:val="31"/>
          <w:lang w:val="en-US" w:eastAsia="zh-CN" w:bidi="ar-SA"/>
        </w:rPr>
        <w:t>万元。</w:t>
      </w:r>
    </w:p>
    <w:p w14:paraId="7E9E5E77">
      <w:pPr>
        <w:pStyle w:val="13"/>
        <w:keepNext w:val="0"/>
        <w:keepLines w:val="0"/>
        <w:pageBreakBefore w:val="0"/>
        <w:widowControl/>
        <w:numPr>
          <w:ilvl w:val="0"/>
          <w:numId w:val="0"/>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kern w:val="0"/>
          <w:sz w:val="32"/>
          <w:szCs w:val="32"/>
          <w:lang w:val="en-US" w:eastAsia="zh-CN" w:bidi="ar-SA"/>
        </w:rPr>
        <w:t>三、</w:t>
      </w:r>
      <w:r>
        <w:rPr>
          <w:rFonts w:hint="default" w:ascii="Times New Roman" w:hAnsi="Times New Roman" w:eastAsia="黑体" w:cs="Times New Roman"/>
          <w:sz w:val="32"/>
          <w:szCs w:val="32"/>
          <w:highlight w:val="none"/>
        </w:rPr>
        <w:t>政府性基金预算支出情况</w:t>
      </w:r>
    </w:p>
    <w:p w14:paraId="753D742B">
      <w:pPr>
        <w:pStyle w:val="13"/>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bookmarkStart w:id="0" w:name="OLE_LINK8"/>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bookmarkEnd w:id="0"/>
      <w:r>
        <w:rPr>
          <w:rFonts w:hint="eastAsia" w:ascii="仿宋_GB2312" w:hAnsi="仿宋_GB2312" w:eastAsia="仿宋_GB2312" w:cs="仿宋_GB2312"/>
          <w:sz w:val="32"/>
          <w:szCs w:val="32"/>
        </w:rPr>
        <w:t>本单位没有使用政府性基金预算安排的</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p>
    <w:p w14:paraId="2CEE4D9A">
      <w:pPr>
        <w:pStyle w:val="13"/>
        <w:keepNext w:val="0"/>
        <w:keepLines w:val="0"/>
        <w:pageBreakBefore w:val="0"/>
        <w:widowControl/>
        <w:numPr>
          <w:ilvl w:val="0"/>
          <w:numId w:val="0"/>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kern w:val="0"/>
          <w:sz w:val="32"/>
          <w:szCs w:val="32"/>
          <w:lang w:val="en-US" w:eastAsia="zh-CN" w:bidi="ar-SA"/>
        </w:rPr>
        <w:t>四、</w:t>
      </w:r>
      <w:r>
        <w:rPr>
          <w:rFonts w:hint="default" w:ascii="Times New Roman" w:hAnsi="Times New Roman" w:eastAsia="黑体" w:cs="Times New Roman"/>
          <w:sz w:val="32"/>
          <w:szCs w:val="32"/>
          <w:highlight w:val="none"/>
        </w:rPr>
        <w:t>国有资本经营预算支出情况</w:t>
      </w:r>
    </w:p>
    <w:p w14:paraId="7FDDFD53">
      <w:pPr>
        <w:pStyle w:val="13"/>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年本单位没有使用</w:t>
      </w:r>
      <w:r>
        <w:rPr>
          <w:rFonts w:hint="eastAsia" w:ascii="仿宋_GB2312" w:hAnsi="仿宋_GB2312" w:eastAsia="仿宋_GB2312" w:cs="仿宋_GB2312"/>
          <w:sz w:val="32"/>
          <w:szCs w:val="32"/>
          <w:lang w:val="en-US" w:eastAsia="zh-CN"/>
        </w:rPr>
        <w:t>国有资本经营预算</w:t>
      </w:r>
      <w:r>
        <w:rPr>
          <w:rFonts w:hint="eastAsia" w:ascii="仿宋_GB2312" w:hAnsi="仿宋_GB2312" w:eastAsia="仿宋_GB2312" w:cs="仿宋_GB2312"/>
          <w:sz w:val="32"/>
          <w:szCs w:val="32"/>
        </w:rPr>
        <w:t>安排的</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p>
    <w:p w14:paraId="2D77A259">
      <w:pPr>
        <w:pStyle w:val="13"/>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kern w:val="0"/>
          <w:sz w:val="32"/>
          <w:szCs w:val="32"/>
          <w:lang w:val="en-US" w:eastAsia="zh-CN" w:bidi="ar-SA"/>
        </w:rPr>
        <w:t>五、</w:t>
      </w:r>
      <w:r>
        <w:rPr>
          <w:rFonts w:hint="default" w:ascii="Times New Roman" w:hAnsi="Times New Roman" w:eastAsia="黑体" w:cs="Times New Roman"/>
          <w:sz w:val="32"/>
          <w:szCs w:val="32"/>
          <w:highlight w:val="none"/>
        </w:rPr>
        <w:t>社会保险基金预算支出情况</w:t>
      </w:r>
    </w:p>
    <w:p w14:paraId="5BC21D0C">
      <w:pPr>
        <w:pStyle w:val="13"/>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年本单位没有使用</w:t>
      </w:r>
      <w:r>
        <w:rPr>
          <w:rFonts w:hint="eastAsia" w:ascii="仿宋_GB2312" w:hAnsi="仿宋_GB2312" w:eastAsia="仿宋_GB2312" w:cs="仿宋_GB2312"/>
          <w:sz w:val="32"/>
          <w:szCs w:val="32"/>
          <w:lang w:val="en-US" w:eastAsia="zh-CN"/>
        </w:rPr>
        <w:t>社会保险基金预算</w:t>
      </w:r>
      <w:r>
        <w:rPr>
          <w:rFonts w:hint="eastAsia" w:ascii="仿宋_GB2312" w:hAnsi="仿宋_GB2312" w:eastAsia="仿宋_GB2312" w:cs="仿宋_GB2312"/>
          <w:sz w:val="32"/>
          <w:szCs w:val="32"/>
        </w:rPr>
        <w:t>安排的</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p>
    <w:p w14:paraId="487B5F7A">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六、部门整体支出绩效情况</w:t>
      </w:r>
    </w:p>
    <w:p w14:paraId="208952E3">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2024年，在局党组的坚强领导下，认真贯彻落实省厅、市委市政府和市局相关文件精神，紧紧围绕市局中心工作，将各项工作层层压实，到岗到位，高质高效完成全年重点工作，现将工作总结如下：</w:t>
      </w:r>
    </w:p>
    <w:p w14:paraId="79407B5C">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党建引领注重人才培养。充分利用“学习强国”模块督促中心职工在线学习。学习班通过组织进一步提升业务能力和工作水平。2024年，中心共提拔正科级干部2人；副科级干部4人；职称晋升9人；职称评审通过正高1人、副高2人、中级1人。我中心党委书记吴海峰同志及一支部支部书记彭斌同志两户家庭被评为岳阳市自然资源和规划局“书香家庭”。中心一支部被评为岳阳市自然资源和规划局优秀党支部，中心8名党员评为优秀共产党员；4名党员被评为优秀党务工作者。</w:t>
      </w:r>
    </w:p>
    <w:p w14:paraId="2116917E">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抓好全域土地综合整治。一是推进已内酰胺片区土地污染治理。为顺利实施对已内酰胺片区土壤修复，邀请生态环境部土壤中心牵头的专家团队开展了外围地块及厂内灌区土壤污染状况调查工作。目前已开展外围地块1、2、3、4、5、7、8、10、11、12号地块（共984亩）初步调查，其中8、10、11、12号（共293亩）地块初步调查无污染，可依法移除名录进行土地开发利用；1、3、4、7号地块（共691亩）有污染，已开展详细调查工作。厂区内灌区210亩已开展初步调查和详细调查，检测出有污染，后续需采取临时管控措施，包括建设围挡防止居民进入污染地块，对地面裸露土壤进行覆绿防止下雨导致污染扩散。生产区2820亩的调查工作需煤化工、热电和己内酰胺事业部生产设施拆除后开展。二是启动省人大执法检查排查的土壤污染调查项目。按照《岳阳市自然资源和规划局配合第三轮中央生态环境保护督察工作方案》要求，受自然资源所有者权益科和开发利用科委托，我中心负责岳阳楼区天润塑化及周边A、B地块（122亩）、岳阳楼区环球中心二期04-02A、04-03地块（178亩）土壤污染状况详调工作和岳土网挂（2022）24号地块（36.5亩）初调工作。项目已获得市政府批示，同意由市政府财政拨付经费贰佰贰拾肆万元整（￥2240000.00元），该项目预计2025年1月份进入招投标程序。三是临时用地复垦方案、矿山生态修复评审及现场督查。组织召开临时用地复垦方案的技术评审会12次、矿山生态修复评审会6次并通过专家评审。6月参加市局管制科对各县市区临时用地到期复垦专项整治“回头看”现场督查工作。</w:t>
      </w:r>
    </w:p>
    <w:p w14:paraId="0D34529B">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强化耕地保护目标管理。中心1至11月份开展了耕地情况现场核实工作。一是涉及平江县、云溪区10个高标准农田建设项目耕地面积为2517.2841公顷的核实，其中：云溪区耕地面积167.4819公顷，平江县耕地面积2349.8022公顷；二是对湘阴县、平江县和汨罗市的27个农用地开发项目进行了实地复核，预计新增耕地面积96.2811公顷，其中水田面积80.9299公顷。调查人员深入田间地块逐一对耕地的位置、数量和质量进行认真的比照和核实，指出存在的问题，并提出了整改的意见，确保新增耕地数量真实、质量可靠，全力抗牢粮食安全和耕地保护责任。</w:t>
      </w:r>
    </w:p>
    <w:p w14:paraId="00DC7D1D">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详细规划的技术审查。一是规委会工作。2月6日、4月28日及8月2日组织召开3次市国土空间规划委员会专题会，集中审议岳阳楼吕仙亭片区文旅专项规划及城市设计、岳阳市河湖水域空间保护范围及管控试点成果、2024年规划编制工作计划等重要议题。二是协助规划一科参与撰写《关于岳阳市国土空间规划工作的情况汇报》《关于落实&lt;湖南省国土空间规划（2021—2035年）&gt;》的情况汇报材料》等向卫江书记的汇报材料、协助规划二科对控制性详细规划编制、调整控制性详细规划等文本进行技术审查、参与岳阳市总规宣传视频的修改工作、参与城镇开发边界局部优化工作、参与屈原管理区县级国土空间规划报批工作、参与《关于促进中心城区房地产高品质发展的若干政策措施》的制定、参与蒋涤非副省长来岳调研城市规划建设工作座谈会、参与岳阳市河湖水域空间保护范围及管控试点成果报自然资源部工作、参与2024年城乡规划年度计划实施情况的报告撰写、参与国土空间规划年度城市体检工作、参与湖南省第四届旅发大会项目设计前期规划审查、商务洽谈工作。</w:t>
      </w:r>
    </w:p>
    <w:p w14:paraId="00B30309">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强化规划技术服务。一是完成了《祥源·城市之光项目A、F地块修建性详细规划及建筑方案调整修改》《洛王-冷水铺片区01-1601-17地块项目规划及建筑设计方案》等20个项目的前期审查工作，并进行了现场踏勘。二是协助建筑工程科规范和优化审批程序，提高工作服务水平为工作重点，对15个项目组织召开市级专家评审。完成市住建局关于提供天然水域面积和可透水地面面积的复函；修建性详细规划及建筑设计方案批复2个；核发建筑工程规划许可证2个；规划条件核实及土地核验6项。回复市长热线、政务热线共2次；依申请公开2次；回复人大代表、政协委员建议、提案4份。积极配合市发改委、市住建局、市城管局等单位，做好优化营商环境国评获得用电、用水、用气指标的相关工作。三是积极配合规划技术服务专班做好省旅发大会前期工作。安排组织与深圳市建筑设计研究总院等7家国内顶尖设计团队设计费用的腾讯会商洽谈会会务和资料收集整理，对岳阳楼历史文化示范片区内巴陵广场提质提升，小火车沿线整治提升，油榨岭巷、游击巷风貌提升等其他设计方案，及时邀请国内专家、市级专家、楼区政府、市城投等其他部门以及我局行政业务科室开展多轮技术审查。截止目前组织安排了20余次工作对接、工作部署、人员调度、商务洽谈、方案审查等会务工作。</w:t>
      </w:r>
    </w:p>
    <w:p w14:paraId="1683F559">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地灾防治扛牢责任。一是开展“地下水地质环境监测”工作。年初已向省事务中心争取到了2024年的地下水环境监测专项资金25万元。现拟与12月16日迎接省事务中心验收工作。二是成功承办了全省5.12防灾减灾日在我市平江举行。三是在岳阳县成功举办了2024年岳阳市地质灾害避险演练和全市自然资源系统地灾防灾培训会活动，得到了各级领导的一致好评。四是开展了湖南省“地质灾害防治宣传红背包公益行动”巡讲活动（岳阳站）。五是按照《汛期地质灾害巡督查制度》规定，至今已累计对各县市区地质灾害防治工作进行了42次巡查、检查。根据最新的汛后复查结果，截至目前，岳阳市共有在册地质灾害隐患点1038处，威胁人数11334人，全市中高风险切坡建房户约12000户，威胁人数近7万余人。六是年初以雪为令”，积极开展低温雨雪冰冻天气地质灾害防御工作。1月19日、2月18日我市两次启动地质灾害防御IV级响应，平江县一起成功避险案例受到湖南省低温雨雪冰冻灾害应急指挥部办公室通报表扬；岳阳县一起成功避险案例受到湖南省应急厅通报表扬。</w:t>
      </w:r>
    </w:p>
    <w:p w14:paraId="31D7035C">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推进卫星应用建设。中心成为市局2024年国有资源运作改革重点任务分解表（征求意见稿）的责任单位之一，与测绘和地理信息管理科的运作项目为打造卫星遥感数据分中心，统一提供地理时空基础数据，经由测绘和地理信息管理科向局三资调报送2次情况；岳阳市自然资源和规划局联合岳阳市数据局向各个市直征集卫星遥感及无人机机巢应用服务需求及建设意见，召开了部份市直部门征集卫星遥感及无人机机巢应用服务需求及建设意见的座谈会，并收集了市直部门的意见，今年在水务集团供水调度指挥中心办公楼楼顶装、临港高新区科技孵化服务中心办公楼楼顶、建工城陵矶国际汽车城楼顶、岳阳楼区站前路电力局办公楼楼顶、北港社区居委会办公楼楼顶和君山区农业农村局办公楼楼顶安装了6台套无人机机巢（其中省级4个，市级2个），加上去年在南湖新区管委会的1台套无人机机巢，正在联网调试。建成后，为岳阳城市构建全方位、立体化、智能化低空遥感监测网，为智慧城市装上“天眼”赋能城市精细化管理，以绣花功夫实现“大城善治”。无人机机巢群为我局在地理信息获取、城市管理、工程建设监管、应急响应能力的提升做出做出贡献支。二级机构卫星应用中心被省厅评为2023 年度自然资源湖南省优秀市级卫星应用技术中心。</w:t>
      </w:r>
    </w:p>
    <w:p w14:paraId="01E612AD">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严格矿产资源储量评审。中心严格履行矿产资源储量评审职能，对市级发证的财政出资项目转采矿权的地质勘查报告进行了细致的评审备案工作。同时，对生产矿山储量年报、采矿权延续办证的核实报告以及政策性关闭矿山的闭坑地质报告进行了全面审查。全年共完成了14个2023年度生产矿山储量年报的审查，包括湖南省临湘市桃林矿区上塘冲银孔山铅锌矿矿山等；完成了5个储量核实报告的审查，如湖南省汨罗市湖鼻饰面用花岗岩矿资源等；还完成了3个砂石资源估算报告的审查。为确保报告的评审质量，我部在储量（资源量）评审会中，坚持邀请1-2名省级评审专家参与，确保评审工作的专业性和权威性。</w:t>
      </w:r>
    </w:p>
    <w:p w14:paraId="0146AC1E">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强化档案管理接收利用信息化。一是在档案整理方面，不动产类档案：共接收不动产登记中心2024年度的登记档案22481卷，并完成了22114卷的不动产登记档案整理任务。同时，11月份接收了6935卷宅基地农房登记档案，我们预计这些档案将在年底前整理完毕。业务及综合类档案：全年共接收2023年度档案8193卷，其中包括矿管科215卷、行政执法支队43卷、行政审批科142卷、调查监测科72卷、储备中心762卷、测绘成果审核中心图纸3178卷以及文书档案3797卷。在完成接收任务的同时，我们还完成局机关及二级机构的7670卷共计533502页档案资料的整理及数字化工作。二是档案查询利用工作。在规划和国土业务档案查询利用方面，我们共查询了331卷档案，提供了4830份不动产登记档案信息查询服务，完成了2030份介绍信查询，涉及2432人和49569套房屋。我们还协助纪委进行了509人次的查询，涉及414套房屋的信息。此外，我们还出具了1108份异地公积金无房证明，以及5684份抵押注销领证查询。为了优化营商环境，我们为群众提供了高效的不动产抵押注销取证业务。客户只需在手机上还清贷款，并由抵押权人发出申请单方办理抵押注销业务。我馆配置了五合一一体机，方便客户拍照、签名、按指纹领取不动产权证，极大地简化了流程。三是举办国际档案日系列宣传活动。6月9日，为贯彻落实习近平关于档案工作、历史学习与研究、文化遗产保护重要论述精神，中心档案馆开展了主题为：“筑梦现代化 奋斗兰台人”2024年第十七个国际档案日系列宣传活动。内容包括制作展出宣传展板、现场解答群众咨询、档案知识及利用等多方面宣传、馆内开展《档案法实施条例》知识竞赛等系列活动。</w:t>
      </w:r>
    </w:p>
    <w:p w14:paraId="40FC1D80">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保障工程建设项目测绘成果。“多测合一”改革工作的持续推进，我中心的审核业务范围从原来的施工和竣工阶段进一步扩展到了建设阶段。完成中心医院配套商业、天伦东湖院二期、中医院制剂中心等项目的规划放线审核工作；完成春和景明15栋、17栋等项目规划验线工作；完成八字门小学、望岳路等七座人行天桥和金凤桥北路、邵峰路、开发中路、西环线等道路建设的竣工验收审核工作。完成天伦东湖院、春和景明、岳阳学院等40个建设项目的主要经济技术指标审核工作；完成九禧府、芒果时代广场等建设项目50栋房屋面积预测审核工作，审核建筑面积50.63万平方米。完成天伦湖与树、联东U谷二期、金茂岳茂苑等87个建设项目竣工验收审核工作；完成祥云府、绿岛御庭等建设项目504栋房屋面积实测审核工作，审核建筑面积281.61万平方米。处理不动产历史测绘成果调查出具测绘调查表93张。</w:t>
      </w:r>
    </w:p>
    <w:p w14:paraId="506E1C0D">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一）常态化开展政务信息公开。一是做好地理信息数据利用服务，全年我中心受理市林业局、市交通运输局、岳阳市规划勘测院等单位数据申领40笔，为城市规划、建设提供必要的基础资料和保障。二是协助地理信息科部署全市测绘地理信息软硬件安全检查和防控工作，并按照上级文件要求，对本单位的相关情况进行自查和整改。三是做好市局门户网站和微信公众号运维工作，2024年门户网站共发布数据2552条。微信公众号发布信息154条。四是做好12345热线电话、市长信箱和依申请公开派单及回复，全年共处理工单537件。五是按照省厅要求，及时向各县市区局下发月清三地两矿、天空地网综合监测、年度国土变更调查等工作底数。六是协助测绘科开展全市测绘地理信息软硬件安全检查和防控工作、全市测绘地理信息资质巡查和保密检查工作，完成了21家单位的涉密地理信息成果保密安全检查。</w:t>
      </w:r>
    </w:p>
    <w:p w14:paraId="0D775B32">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二）切实做好全局基础运维工作。一是每日对中心机房的所有设备进行巡检，对湘阴备份机房进行安全巡检，保证机房正常运行，保障局网络能正常访问，对机房出现的漏水问题及时整改恢复。二是积极主动对接各科室，解决出现的网络问题，保证各科室工作顺利进行。对到期的卡巴斯基杀毒软件续费，保障内网安全需要，及时修补系统漏洞，预防病毒木马攻击。三是处理全局信息化相关终端及设备故障、会务跟踪，保障日常工作正常运行，一季度共处理各类运维事项924件。四是按要求及时更新局大厅LED展示的内容，投放当前重点工作内容，同时同步更新楼道电子显示屏内容。</w:t>
      </w:r>
    </w:p>
    <w:p w14:paraId="4FA97CEF">
      <w:pPr>
        <w:keepNext w:val="0"/>
        <w:keepLines w:val="0"/>
        <w:pageBreakBefore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三）完善信息化建设。一是完成岳阳市“多规合一”协同审批及国土空间规划“一张图”系统项目验收，对系统平台功能进行更新，新增移动办公功能。协同空间规划一科完成局政务办公平台的切换，带领技术单位按科室、部门进行智慧政务平台的安装，手把手指导平台的使用、答疑解惑。完成四全平台数据到智慧政务平台的转移，并对接各县市区，指导他们进行平台切换。二是积极配合科室、部门参与电子签章、电子证照系统项目建设，与行政审批服务局对接，完成电子签章项目初步建设，服务器部署，电子签章申请等工作。三是按时按要求完成相关数据归集任务，每月定期或实时报送至行政审批局，全年共推送归集数据210条，通过不断优化数据归集流程，减少了数据录入错误，提高数据质量，有效提升数据治理效能，优化营商环境。四是完成国务院数据回流对接事项，向市行政审批服务局提起数据资源需求，并开发接口功能，实现数据回流。五是按要求向省厅上报自然资源领域重要信息系统。六是配合不动产，与公积金实现数据对接。七是向大数据中心申请岳阳市“多测合一”信息平台的政务云资源。</w:t>
      </w:r>
    </w:p>
    <w:p w14:paraId="59A42DCA">
      <w:pPr>
        <w:pStyle w:val="13"/>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14:paraId="6E9FD35C">
      <w:pPr>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000000"/>
          <w:kern w:val="2"/>
          <w:sz w:val="32"/>
          <w:szCs w:val="32"/>
          <w:lang w:val="en-US" w:eastAsia="zh-CN"/>
        </w:rPr>
      </w:pPr>
      <w:r>
        <w:rPr>
          <w:rFonts w:hint="default" w:ascii="仿宋_GB2312" w:hAnsi="仿宋_GB2312" w:eastAsia="仿宋_GB2312" w:cs="仿宋_GB2312"/>
          <w:color w:val="000000"/>
          <w:kern w:val="2"/>
          <w:sz w:val="32"/>
          <w:szCs w:val="32"/>
          <w:lang w:val="en-US" w:eastAsia="zh-CN"/>
        </w:rPr>
        <w:t>回顾2024年，虽取得了一定的成绩，但离局党组的要求还存在一定的差距。</w:t>
      </w:r>
    </w:p>
    <w:p w14:paraId="2F8C76DE">
      <w:pPr>
        <w:keepNext w:val="0"/>
        <w:keepLines w:val="0"/>
        <w:pageBreakBefore w:val="0"/>
        <w:widowControl/>
        <w:numPr>
          <w:ilvl w:val="0"/>
          <w:numId w:val="0"/>
        </w:numPr>
        <w:kinsoku/>
        <w:wordWrap/>
        <w:overflowPunct/>
        <w:topLinePunct w:val="0"/>
        <w:autoSpaceDE/>
        <w:autoSpaceDN/>
        <w:bidi w:val="0"/>
        <w:adjustRightInd/>
        <w:snapToGrid/>
        <w:spacing w:line="640" w:lineRule="exact"/>
        <w:ind w:firstLine="320" w:firstLineChars="100"/>
        <w:jc w:val="both"/>
        <w:textAlignment w:val="auto"/>
        <w:rPr>
          <w:rFonts w:hint="default" w:ascii="仿宋_GB2312" w:hAnsi="仿宋_GB2312" w:eastAsia="仿宋_GB2312" w:cs="仿宋_GB2312"/>
          <w:color w:val="000000"/>
          <w:kern w:val="2"/>
          <w:sz w:val="32"/>
          <w:szCs w:val="32"/>
          <w:lang w:val="en-US" w:eastAsia="zh-CN"/>
        </w:rPr>
      </w:pPr>
      <w:r>
        <w:rPr>
          <w:rFonts w:hint="default" w:ascii="仿宋_GB2312" w:hAnsi="仿宋_GB2312" w:eastAsia="仿宋_GB2312" w:cs="仿宋_GB2312"/>
          <w:color w:val="000000"/>
          <w:kern w:val="2"/>
          <w:sz w:val="32"/>
          <w:szCs w:val="32"/>
          <w:lang w:val="en-US" w:eastAsia="zh-CN"/>
        </w:rPr>
        <w:t>（一）干部综合素质有待提升。随着自然资源事业的蓬勃发展，对干部队伍的综合素质提出了更高要求。当前，部分干部在专业能力、行业知识、判断力及综合分析能力上虽有基础，但面对快速变化的环境，自觉学习和主动更新知识的意识不足，导致思想观念相对滞后，知识结构老化，特别是在应对市场经济挑战和复杂局面时显得力不从心。此外，培训体系的个性化、针对性不强，培训方式单一，难以有效激发干部的学习热情和创新思维，使得干部在运用理论解决实际问题、拓宽工作思路方面难以适应新形势的需要。</w:t>
      </w:r>
    </w:p>
    <w:p w14:paraId="5E20DB2A">
      <w:pPr>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000000"/>
          <w:kern w:val="2"/>
          <w:sz w:val="32"/>
          <w:szCs w:val="32"/>
          <w:lang w:val="en-US" w:eastAsia="zh-CN"/>
        </w:rPr>
      </w:pPr>
      <w:r>
        <w:rPr>
          <w:rFonts w:hint="default" w:ascii="仿宋_GB2312" w:hAnsi="仿宋_GB2312" w:eastAsia="仿宋_GB2312" w:cs="仿宋_GB2312"/>
          <w:color w:val="000000"/>
          <w:kern w:val="2"/>
          <w:sz w:val="32"/>
          <w:szCs w:val="32"/>
          <w:lang w:val="en-US" w:eastAsia="zh-CN"/>
        </w:rPr>
        <w:t>业务水平有待进一步提高。中心作为连接局内各业务科室及区局的重要桥梁，面临着对口服务科室多、业务范围广的挑战。由于一个部室可能需要同时对接多个科室，导致在信息传达、工作协同方面存在时效性不强、沟通不畅的问题，影响了整体工作效率和服务质量。特别是在面对紧急任务或复杂项目时，这种协同滞后的情况尤为明显。</w:t>
      </w:r>
    </w:p>
    <w:p w14:paraId="739F112F">
      <w:pPr>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eastAsia="zh-CN"/>
        </w:rPr>
        <w:t>八、</w:t>
      </w:r>
      <w:r>
        <w:rPr>
          <w:rFonts w:hint="default" w:ascii="Times New Roman" w:hAnsi="Times New Roman" w:eastAsia="黑体" w:cs="Times New Roman"/>
          <w:sz w:val="32"/>
          <w:szCs w:val="32"/>
          <w:highlight w:val="none"/>
        </w:rPr>
        <w:t>下一步改进措施</w:t>
      </w:r>
    </w:p>
    <w:p w14:paraId="70878BC5">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深化党建引领，强化能力素质建设。深入学习贯彻党的二十大精神及习近平新时代中国特色社会主义思想，通过“三会一课”、主题党日、民主评议党员等制度，推动党史学习教育常态化制度化，增强党员党性修养。利用“学习强国”平台，督促党员每日学习，形成常态化学习机制。同时，组织观看红色电影、开展集中学习研讨、志愿服务等活动，丰富学习形式，提升学习效果。加强理想信念教育，引导干部树立正确的世界观、人生观、价值观，增强责任感和使命感。</w:t>
      </w:r>
    </w:p>
    <w:p w14:paraId="57BF3F8E">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推进“多规合一”智慧政务审批系统建设。持续优化“多规合一”智慧政务审批系统，确保系统稳定、高效运行。加强与各部门科室的沟通对接，及时收集反馈意见，不断满足业务需求。制定详细的系统过渡方案，确保从四全政务平台到“多规合一”系统的平稳过渡。通过培训、指导等方式，提高干部对新系统的熟悉度和操作能力。依托智慧政务审批系统，实现全市自然资源和规划管理的全业务、全过程、全方位覆盖，提升管理效能和服务水平。</w:t>
      </w:r>
    </w:p>
    <w:p w14:paraId="21617B5C">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加强业务协同，提升服务质量。建立与机关科室的紧密合作机制，明确责任分工，加强沟通协调。在编制审查、专项规划、控制性详细规划等方面，确保工作高效、有序进行。积极参与矿山生态修复、临时用地复垦、建设用地增减挂钩等技术评审工作，提供专业、科学的意见和建议。定期开展业务交流和学习活动，促进干部之间的知识共享和经验交流，提升整体业务水平。</w:t>
      </w:r>
    </w:p>
    <w:p w14:paraId="73C445EB">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完善规章制度，优化审查流程。结合日常规划审查工作实践，不断优化规划方案审查流程，明确审查标准、责任主体和审查时限。压实审查主体责任，加强审查过程中的监督和指导，确保审查质量。同时，建立审查结果反馈机制，及时总结经验教训，持续改进工作。通过完善规章制度和优化审查流程，提高审查工作的规范性和效率性，为自然资源管理提供有力保障。</w:t>
      </w:r>
    </w:p>
    <w:p w14:paraId="6A5D7707">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强化规划研究，提升服务水平。中心将加强对国土空间规划理论体系和标准体系的研究，跟踪国内外最新研究成果和实践经验。深入研究国土空间规划法律法规和相关政策，为规划编制和实施提供法律依据和政策支持。积极开展规划课题研究工作，聚焦岳阳市省域副中心建设等重大问题，提出具有前瞻性和可操作性的规划建议。通过规划研究和服务水平的提升，为岳阳市的经济社会发展贡献更多智慧和力量。</w:t>
      </w:r>
    </w:p>
    <w:p w14:paraId="0F2844F7">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加速档案馆数字化转型。积极响应国家档案局关于加快推进档案数字化工作的号召，争取专项资金支持。制定详细的数字化工作计划和实施方案，对馆藏历史公文及业务档案进行全面、系统的数字化加工。建立完善的数字化档案数据库和检索系统，实现档案资源的快速检索和高效利用。同时，加强数据安全管理和备份工作，确保档案数据的安全可靠。通过档案馆的数字化转型，为档案服务模式创新和智慧档案建设奠定坚实基础。</w:t>
      </w:r>
    </w:p>
    <w:p w14:paraId="78712961">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深入推进清廉资规建设。提高政治站位，深化对清廉资规建设重要性的认识。通过召开会议、学习文件等方式，传达上级精神和工作要求。落实好谈心谈话制度，及时了解干部的思想动态和工作情况。对存在苗头性、倾向性问题的干部进行及时提醒和纠正。推进风险提示和教育提醒常态化，通过案例分析、警示教育等方式，增强干部的廉洁自律意识。同时，建立“负面清单”制度，明确禁止行为和处罚措施。营造“风清气正”的工作环境，鼓励干部之间相互监督、相互提醒，共同维护良好的政治生态。</w:t>
      </w:r>
    </w:p>
    <w:p w14:paraId="5C1F195C">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加强地质灾害预警与响应能力建设。细化《岳阳市自然资源和规划局地质灾害防御响应工作方案》，明确各级响应的启动条件、工作流程和责任分工。加强与气象、应急等部门的沟通协调，建立信息共享和联动机制。及时收集、整理和分析地质灾害预警信息，为防御工作提供科学依据。组织开展地质灾害应急演练和培训活动，提高干部和群众的应急反应能力和自救互救能力。同时，加强地质灾害防治知识的宣传和教育，提高公众的防灾减灾意识。</w:t>
      </w:r>
    </w:p>
    <w:p w14:paraId="658CA335">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全面推进己内酰胺片区土壤污染调查和修复治理工作。2025年6月完成外围区域地块（1016亩）的调查及有污染地块的风险评估和修复方案编制工作，2025年12月完成生产区域地块（3030亩）的调查有污染地块的风险评估和修复方案编制工作。</w:t>
      </w:r>
    </w:p>
    <w:p w14:paraId="3C2647BB">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市局交代的其他任务。积极参与市局组织的各项活动和项目，认真履行工作职责，确保任务高质量完成。加强与市局各科室的沟通协调，及时汇报工作进展和存在的问题，争取市局的支持和帮助。同时，主动为市局提供有价值的意见和建议，为市局的工作贡献更多力量。</w:t>
      </w:r>
    </w:p>
    <w:p w14:paraId="43224E21">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九、</w:t>
      </w:r>
      <w:r>
        <w:rPr>
          <w:rFonts w:hint="eastAsia" w:ascii="Times New Roman" w:hAnsi="Times New Roman" w:eastAsia="黑体" w:cs="Times New Roman"/>
          <w:sz w:val="32"/>
          <w:szCs w:val="32"/>
          <w:highlight w:val="none"/>
          <w:lang w:eastAsia="zh-CN"/>
        </w:rPr>
        <w:t>单位</w:t>
      </w:r>
      <w:r>
        <w:rPr>
          <w:rFonts w:hint="default" w:ascii="Times New Roman" w:hAnsi="Times New Roman" w:eastAsia="黑体" w:cs="Times New Roman"/>
          <w:sz w:val="32"/>
          <w:szCs w:val="32"/>
          <w:highlight w:val="none"/>
        </w:rPr>
        <w:t>整体支出绩效自评结果拟应用和公开情况</w:t>
      </w:r>
    </w:p>
    <w:p w14:paraId="633DF27E">
      <w:pPr>
        <w:pStyle w:val="4"/>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rPr>
      </w:pPr>
      <w:r>
        <w:rPr>
          <w:rFonts w:hint="eastAsia" w:ascii="仿宋_GB2312" w:hAnsi="仿宋_GB2312" w:eastAsia="仿宋_GB2312" w:cs="仿宋_GB2312"/>
          <w:sz w:val="32"/>
          <w:szCs w:val="32"/>
          <w:lang w:val="en-US" w:eastAsia="zh-CN"/>
        </w:rPr>
        <w:t>本单位</w:t>
      </w:r>
      <w:r>
        <w:rPr>
          <w:rFonts w:hint="eastAsia" w:ascii="仿宋_GB2312" w:hAnsi="仿宋_GB2312" w:eastAsia="仿宋_GB2312" w:cs="仿宋_GB2312"/>
          <w:sz w:val="32"/>
          <w:szCs w:val="32"/>
          <w:lang w:eastAsia="zh-CN"/>
        </w:rPr>
        <w:t>绩效自评结果为良好等级。下一步将根据财政检查绩效自评发现的问题等进行改善，并按政务公开的相关规定，及时将部门整体支出及项目绩效自评报告，通过门户网站向社会公开。</w:t>
      </w:r>
    </w:p>
    <w:p w14:paraId="44A2C318">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eastAsia="zh-CN"/>
        </w:rPr>
        <w:t>十、</w:t>
      </w:r>
      <w:r>
        <w:rPr>
          <w:rFonts w:hint="default" w:ascii="Times New Roman" w:hAnsi="Times New Roman" w:eastAsia="黑体" w:cs="Times New Roman"/>
          <w:sz w:val="32"/>
          <w:szCs w:val="32"/>
          <w:highlight w:val="none"/>
        </w:rPr>
        <w:t>其他需要说明的情况</w:t>
      </w:r>
    </w:p>
    <w:p w14:paraId="73DEE223">
      <w:pPr>
        <w:pStyle w:val="4"/>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0C6929E4">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14:paraId="64A6B13B">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报告需要以下附件：</w:t>
      </w:r>
    </w:p>
    <w:p w14:paraId="0C7B3C77">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部门整体支出绩效评价基础数据表</w:t>
      </w:r>
    </w:p>
    <w:p w14:paraId="1E7609FE">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部门整体支出绩效自评表</w:t>
      </w:r>
    </w:p>
    <w:p w14:paraId="3D94BF55">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项目支出绩效自评表（一个一级项目支出一张表）</w:t>
      </w:r>
    </w:p>
    <w:p w14:paraId="23D6A6EC">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政府性基金预算支出情况表</w:t>
      </w:r>
    </w:p>
    <w:p w14:paraId="06946C4D">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国有资本经营预算支出情况表</w:t>
      </w:r>
    </w:p>
    <w:p w14:paraId="2DDD1F07">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社会保险基金预算支出情况表</w:t>
      </w:r>
    </w:p>
    <w:p w14:paraId="6CFBEF7E">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lang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23952">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0C7E0C"/>
    <w:multiLevelType w:val="singleLevel"/>
    <w:tmpl w:val="E90C7E0C"/>
    <w:lvl w:ilvl="0" w:tentative="0">
      <w:start w:val="2"/>
      <w:numFmt w:val="chineseCounting"/>
      <w:suff w:val="nothing"/>
      <w:lvlText w:val="（%1）"/>
      <w:lvlJc w:val="left"/>
      <w:rPr>
        <w:rFonts w:hint="eastAsia"/>
      </w:rPr>
    </w:lvl>
  </w:abstractNum>
  <w:abstractNum w:abstractNumId="1">
    <w:nsid w:val="0D6D5912"/>
    <w:multiLevelType w:val="singleLevel"/>
    <w:tmpl w:val="0D6D5912"/>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0ZTUxZDRkNzI1MzAwYWFiNDA2YjgwZTdkMWZlNGUifQ=="/>
  </w:docVars>
  <w:rsids>
    <w:rsidRoot w:val="59886344"/>
    <w:rsid w:val="00D74A65"/>
    <w:rsid w:val="01A63CD7"/>
    <w:rsid w:val="02740C23"/>
    <w:rsid w:val="03380674"/>
    <w:rsid w:val="03D61236"/>
    <w:rsid w:val="04207E21"/>
    <w:rsid w:val="044779E7"/>
    <w:rsid w:val="04665F1D"/>
    <w:rsid w:val="046E3282"/>
    <w:rsid w:val="04CB2C07"/>
    <w:rsid w:val="050424C6"/>
    <w:rsid w:val="05412745"/>
    <w:rsid w:val="055A55B4"/>
    <w:rsid w:val="058C7E64"/>
    <w:rsid w:val="058F1A07"/>
    <w:rsid w:val="05FD2B10"/>
    <w:rsid w:val="08CE609D"/>
    <w:rsid w:val="09D74819"/>
    <w:rsid w:val="0A2C48FB"/>
    <w:rsid w:val="0A3A5A49"/>
    <w:rsid w:val="0A8E0CF2"/>
    <w:rsid w:val="0AC8263F"/>
    <w:rsid w:val="0C844E03"/>
    <w:rsid w:val="0CE01F46"/>
    <w:rsid w:val="0D58412A"/>
    <w:rsid w:val="0D9D24E2"/>
    <w:rsid w:val="0EA578A0"/>
    <w:rsid w:val="0FCE32B3"/>
    <w:rsid w:val="0FFE195E"/>
    <w:rsid w:val="10282A91"/>
    <w:rsid w:val="113A4C18"/>
    <w:rsid w:val="11496C09"/>
    <w:rsid w:val="11851C0B"/>
    <w:rsid w:val="11C0213A"/>
    <w:rsid w:val="11F748B7"/>
    <w:rsid w:val="127C4DBC"/>
    <w:rsid w:val="13864430"/>
    <w:rsid w:val="1432607A"/>
    <w:rsid w:val="16096967"/>
    <w:rsid w:val="161746E0"/>
    <w:rsid w:val="16FF2141"/>
    <w:rsid w:val="17836BED"/>
    <w:rsid w:val="17E01CEC"/>
    <w:rsid w:val="185D40D7"/>
    <w:rsid w:val="18B23140"/>
    <w:rsid w:val="191F5F30"/>
    <w:rsid w:val="1A8C400A"/>
    <w:rsid w:val="1AF62AC5"/>
    <w:rsid w:val="1C161A62"/>
    <w:rsid w:val="1DAD016C"/>
    <w:rsid w:val="1E5D026B"/>
    <w:rsid w:val="1E7F253B"/>
    <w:rsid w:val="1EA00084"/>
    <w:rsid w:val="1ED96131"/>
    <w:rsid w:val="1F503858"/>
    <w:rsid w:val="1F9E2ADD"/>
    <w:rsid w:val="204D7932"/>
    <w:rsid w:val="20566C4C"/>
    <w:rsid w:val="212E3725"/>
    <w:rsid w:val="21884F0C"/>
    <w:rsid w:val="219429D4"/>
    <w:rsid w:val="21FB1EA6"/>
    <w:rsid w:val="220C0AAE"/>
    <w:rsid w:val="238C4C0D"/>
    <w:rsid w:val="23B66BD2"/>
    <w:rsid w:val="24135347"/>
    <w:rsid w:val="25DD15C5"/>
    <w:rsid w:val="26676CA3"/>
    <w:rsid w:val="266F7FE0"/>
    <w:rsid w:val="269229A8"/>
    <w:rsid w:val="2765631A"/>
    <w:rsid w:val="27796F26"/>
    <w:rsid w:val="28B42FD1"/>
    <w:rsid w:val="29171045"/>
    <w:rsid w:val="2A0E53D4"/>
    <w:rsid w:val="2A222295"/>
    <w:rsid w:val="2D1A7254"/>
    <w:rsid w:val="2D4A5F45"/>
    <w:rsid w:val="2E1E53E3"/>
    <w:rsid w:val="2EA064A0"/>
    <w:rsid w:val="2FE7539E"/>
    <w:rsid w:val="307028E6"/>
    <w:rsid w:val="30B8300C"/>
    <w:rsid w:val="31183FE8"/>
    <w:rsid w:val="3188594B"/>
    <w:rsid w:val="3229553B"/>
    <w:rsid w:val="3380548F"/>
    <w:rsid w:val="33AA7583"/>
    <w:rsid w:val="33C63C91"/>
    <w:rsid w:val="354C1E81"/>
    <w:rsid w:val="35E12B4D"/>
    <w:rsid w:val="36C2145E"/>
    <w:rsid w:val="37B10062"/>
    <w:rsid w:val="38657F1D"/>
    <w:rsid w:val="388C54AA"/>
    <w:rsid w:val="38D42EAA"/>
    <w:rsid w:val="38E47597"/>
    <w:rsid w:val="39211013"/>
    <w:rsid w:val="3925145A"/>
    <w:rsid w:val="393A75ED"/>
    <w:rsid w:val="39404BDD"/>
    <w:rsid w:val="398A3CE5"/>
    <w:rsid w:val="3A604186"/>
    <w:rsid w:val="3B186377"/>
    <w:rsid w:val="3B2220F5"/>
    <w:rsid w:val="3B3B31B7"/>
    <w:rsid w:val="3B7346FF"/>
    <w:rsid w:val="3BEC625F"/>
    <w:rsid w:val="3D7F6A3A"/>
    <w:rsid w:val="3E081DAF"/>
    <w:rsid w:val="3E3658EB"/>
    <w:rsid w:val="3EB63280"/>
    <w:rsid w:val="3F5F315E"/>
    <w:rsid w:val="406C7CC6"/>
    <w:rsid w:val="41C71F06"/>
    <w:rsid w:val="43AA712C"/>
    <w:rsid w:val="447339C1"/>
    <w:rsid w:val="45BE5498"/>
    <w:rsid w:val="469E71A8"/>
    <w:rsid w:val="46DE0B39"/>
    <w:rsid w:val="47003C8C"/>
    <w:rsid w:val="470E1780"/>
    <w:rsid w:val="47482EE3"/>
    <w:rsid w:val="474F17A4"/>
    <w:rsid w:val="47AD71EA"/>
    <w:rsid w:val="47C62C3F"/>
    <w:rsid w:val="482707A3"/>
    <w:rsid w:val="490F7633"/>
    <w:rsid w:val="49547006"/>
    <w:rsid w:val="49555444"/>
    <w:rsid w:val="49CA4977"/>
    <w:rsid w:val="49FE6356"/>
    <w:rsid w:val="4A0C3094"/>
    <w:rsid w:val="4A3605A8"/>
    <w:rsid w:val="4A7B35D0"/>
    <w:rsid w:val="4AA368EC"/>
    <w:rsid w:val="4BDD5BE0"/>
    <w:rsid w:val="4C531609"/>
    <w:rsid w:val="4ECF5C98"/>
    <w:rsid w:val="4EE43655"/>
    <w:rsid w:val="4F0B013B"/>
    <w:rsid w:val="4FDB79C1"/>
    <w:rsid w:val="50D82199"/>
    <w:rsid w:val="51733EE7"/>
    <w:rsid w:val="53AE31BA"/>
    <w:rsid w:val="547F6D46"/>
    <w:rsid w:val="55467D0D"/>
    <w:rsid w:val="55924C55"/>
    <w:rsid w:val="55A439DB"/>
    <w:rsid w:val="55B160F8"/>
    <w:rsid w:val="561D378D"/>
    <w:rsid w:val="568B06F7"/>
    <w:rsid w:val="570A0F13"/>
    <w:rsid w:val="57CE2F91"/>
    <w:rsid w:val="58095CBB"/>
    <w:rsid w:val="581037D2"/>
    <w:rsid w:val="585A4825"/>
    <w:rsid w:val="5899321A"/>
    <w:rsid w:val="594D25DB"/>
    <w:rsid w:val="59886344"/>
    <w:rsid w:val="5A0215A1"/>
    <w:rsid w:val="5A6C18A8"/>
    <w:rsid w:val="5AF17033"/>
    <w:rsid w:val="5AFA409D"/>
    <w:rsid w:val="5B1C7423"/>
    <w:rsid w:val="5B531ADB"/>
    <w:rsid w:val="5BA65531"/>
    <w:rsid w:val="5BEA24B6"/>
    <w:rsid w:val="5C0105BA"/>
    <w:rsid w:val="5C514191"/>
    <w:rsid w:val="5D55249C"/>
    <w:rsid w:val="5D6D6A5B"/>
    <w:rsid w:val="5DAF73C1"/>
    <w:rsid w:val="5E260208"/>
    <w:rsid w:val="5ED05841"/>
    <w:rsid w:val="60B3748A"/>
    <w:rsid w:val="617B720F"/>
    <w:rsid w:val="61811074"/>
    <w:rsid w:val="61C6117D"/>
    <w:rsid w:val="61E41157"/>
    <w:rsid w:val="63796007"/>
    <w:rsid w:val="645227C1"/>
    <w:rsid w:val="66263ABB"/>
    <w:rsid w:val="679338AF"/>
    <w:rsid w:val="67F72090"/>
    <w:rsid w:val="68951A5F"/>
    <w:rsid w:val="68D26659"/>
    <w:rsid w:val="694C01BA"/>
    <w:rsid w:val="699C5B6F"/>
    <w:rsid w:val="6A3F2BCE"/>
    <w:rsid w:val="6AE079AE"/>
    <w:rsid w:val="6B2A452A"/>
    <w:rsid w:val="6C2D4049"/>
    <w:rsid w:val="6CAB51F7"/>
    <w:rsid w:val="6DB75915"/>
    <w:rsid w:val="6E657628"/>
    <w:rsid w:val="6F3922E7"/>
    <w:rsid w:val="6F8F4EC7"/>
    <w:rsid w:val="6FAB550E"/>
    <w:rsid w:val="71105062"/>
    <w:rsid w:val="71500A63"/>
    <w:rsid w:val="71FD5E92"/>
    <w:rsid w:val="72C2773E"/>
    <w:rsid w:val="72F74E03"/>
    <w:rsid w:val="73337351"/>
    <w:rsid w:val="734175FF"/>
    <w:rsid w:val="745F1E4B"/>
    <w:rsid w:val="751E4603"/>
    <w:rsid w:val="754461E9"/>
    <w:rsid w:val="758F7F6D"/>
    <w:rsid w:val="75CE77D5"/>
    <w:rsid w:val="765C119A"/>
    <w:rsid w:val="77493305"/>
    <w:rsid w:val="787D5D0E"/>
    <w:rsid w:val="78DB3B19"/>
    <w:rsid w:val="791D063B"/>
    <w:rsid w:val="79DF0BD6"/>
    <w:rsid w:val="7ABD2CC5"/>
    <w:rsid w:val="7B754E49"/>
    <w:rsid w:val="7CD117F8"/>
    <w:rsid w:val="7D8B2B7A"/>
    <w:rsid w:val="7EC42148"/>
    <w:rsid w:val="7EFC2BD2"/>
    <w:rsid w:val="7F0F7867"/>
    <w:rsid w:val="7F1E3D69"/>
    <w:rsid w:val="7F48099F"/>
    <w:rsid w:val="7F711595"/>
    <w:rsid w:val="DFEF8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宋体" w:cs="Times New Roman"/>
      <w:kern w:val="0"/>
      <w:sz w:val="28"/>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rPr>
      <w:rFonts w:ascii="Calibri" w:hAnsi="Calibri" w:eastAsia="宋体" w:cs="宋体"/>
      <w:kern w:val="2"/>
      <w:sz w:val="21"/>
      <w:szCs w:val="24"/>
    </w:rPr>
  </w:style>
  <w:style w:type="paragraph" w:styleId="3">
    <w:name w:val="annotation text"/>
    <w:basedOn w:val="1"/>
    <w:qFormat/>
    <w:uiPriority w:val="0"/>
    <w:pPr>
      <w:jc w:val="left"/>
    </w:p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toc 5"/>
    <w:basedOn w:val="1"/>
    <w:next w:val="1"/>
    <w:qFormat/>
    <w:uiPriority w:val="0"/>
    <w:pPr>
      <w:ind w:left="1680" w:leftChars="800"/>
    </w:pPr>
  </w:style>
  <w:style w:type="paragraph" w:styleId="6">
    <w:name w:val="footer"/>
    <w:qFormat/>
    <w:uiPriority w:val="0"/>
    <w:pPr>
      <w:widowControl w:val="0"/>
      <w:tabs>
        <w:tab w:val="center" w:pos="4153"/>
        <w:tab w:val="right" w:pos="8306"/>
      </w:tabs>
      <w:snapToGrid w:val="0"/>
      <w:jc w:val="left"/>
    </w:pPr>
    <w:rPr>
      <w:rFonts w:ascii="仿宋" w:hAnsi="仿宋" w:eastAsia="宋体" w:cs="Times New Roman"/>
      <w:kern w:val="0"/>
      <w:sz w:val="18"/>
      <w:szCs w:val="24"/>
      <w:lang w:val="en-US" w:eastAsia="zh-CN" w:bidi="ar-SA"/>
    </w:rPr>
  </w:style>
  <w:style w:type="paragraph" w:styleId="7">
    <w:name w:val="header"/>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仿宋" w:hAnsi="仿宋" w:eastAsia="宋体" w:cs="Times New Roman"/>
      <w:kern w:val="0"/>
      <w:sz w:val="18"/>
      <w:szCs w:val="24"/>
      <w:lang w:val="en-US" w:eastAsia="zh-CN" w:bidi="ar-SA"/>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customStyle="1" w:styleId="12">
    <w:name w:val="列出段落1"/>
    <w:basedOn w:val="1"/>
    <w:qFormat/>
    <w:uiPriority w:val="34"/>
    <w:pPr>
      <w:ind w:firstLine="420" w:firstLineChars="200"/>
    </w:pPr>
  </w:style>
  <w:style w:type="paragraph" w:styleId="13">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8982</Words>
  <Characters>9358</Characters>
  <Lines>0</Lines>
  <Paragraphs>0</Paragraphs>
  <TotalTime>31</TotalTime>
  <ScaleCrop>false</ScaleCrop>
  <LinksUpToDate>false</LinksUpToDate>
  <CharactersWithSpaces>9400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2024-03-18T08:36:00Z</dcterms:created>
  <dc:creator>Administrator</dc:creator>
  <cp:lastModifiedBy>哈喽，凯蒂。</cp:lastModifiedBy>
  <dcterms:modified xsi:type="dcterms:W3CDTF">2025-09-10T04:43:13Z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E610A45927D94A65BE9ABC4440376044_13</vt:lpwstr>
  </property>
  <property fmtid="{D5CDD505-2E9C-101B-9397-08002B2CF9AE}" pid="4" name="KSOTemplateDocerSaveRecord">
    <vt:lpwstr>eyJoZGlkIjoiNjgxZmIyZGM1NjlmYzFmNTczZGVkNWYyNWIwMGFjMmUiLCJ1c2VySWQiOiIyOTMyNjEyNDMifQ==</vt:lpwstr>
  </property>
</Properties>
</file>