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5"/>
        <w:jc w:val="center"/>
        <w:rPr>
          <w:sz w:val="56"/>
          <w:szCs w:val="56"/>
        </w:rPr>
      </w:pPr>
    </w:p>
    <w:p w14:paraId="3BDF5AB8">
      <w:pPr>
        <w:pStyle w:val="15"/>
        <w:jc w:val="center"/>
        <w:rPr>
          <w:sz w:val="56"/>
          <w:szCs w:val="56"/>
        </w:rPr>
      </w:pPr>
    </w:p>
    <w:p w14:paraId="60CA4575">
      <w:pPr>
        <w:pStyle w:val="15"/>
        <w:jc w:val="center"/>
        <w:rPr>
          <w:sz w:val="84"/>
          <w:szCs w:val="84"/>
        </w:rPr>
      </w:pPr>
    </w:p>
    <w:p w14:paraId="215EB31D">
      <w:pPr>
        <w:pStyle w:val="15"/>
        <w:jc w:val="center"/>
        <w:rPr>
          <w:sz w:val="84"/>
          <w:szCs w:val="84"/>
        </w:rPr>
      </w:pPr>
    </w:p>
    <w:p w14:paraId="376C8602">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6934EBE9">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岳阳市生态环境局平江分局</w:t>
      </w:r>
      <w:r>
        <w:rPr>
          <w:rFonts w:hint="eastAsia" w:ascii="方正小标宋_GBK" w:hAnsi="方正小标宋_GBK" w:eastAsia="方正小标宋_GBK" w:cs="方正小标宋_GBK"/>
          <w:sz w:val="84"/>
          <w:szCs w:val="84"/>
        </w:rPr>
        <w:t>部门（单位）部门决算</w:t>
      </w:r>
    </w:p>
    <w:p w14:paraId="25018D25">
      <w:pPr>
        <w:pStyle w:val="15"/>
        <w:jc w:val="center"/>
        <w:rPr>
          <w:sz w:val="56"/>
          <w:szCs w:val="56"/>
        </w:rPr>
      </w:pPr>
    </w:p>
    <w:p w14:paraId="5EE73A38">
      <w:pPr>
        <w:pStyle w:val="15"/>
        <w:jc w:val="center"/>
        <w:rPr>
          <w:sz w:val="56"/>
          <w:szCs w:val="56"/>
        </w:rPr>
      </w:pPr>
    </w:p>
    <w:p w14:paraId="297571C5">
      <w:pPr>
        <w:pStyle w:val="15"/>
        <w:jc w:val="center"/>
        <w:rPr>
          <w:sz w:val="32"/>
          <w:szCs w:val="32"/>
        </w:rPr>
      </w:pPr>
    </w:p>
    <w:p w14:paraId="08493D1E">
      <w:pPr>
        <w:pStyle w:val="15"/>
        <w:jc w:val="center"/>
        <w:rPr>
          <w:sz w:val="32"/>
          <w:szCs w:val="32"/>
        </w:rPr>
      </w:pPr>
    </w:p>
    <w:p w14:paraId="5BD6E8BD">
      <w:pPr>
        <w:pStyle w:val="15"/>
        <w:jc w:val="center"/>
        <w:rPr>
          <w:sz w:val="32"/>
          <w:szCs w:val="32"/>
        </w:rPr>
      </w:pPr>
    </w:p>
    <w:p w14:paraId="1062A3B4">
      <w:pPr>
        <w:pStyle w:val="15"/>
        <w:jc w:val="center"/>
        <w:rPr>
          <w:sz w:val="32"/>
          <w:szCs w:val="32"/>
        </w:rPr>
      </w:pPr>
    </w:p>
    <w:p w14:paraId="6311DFC7">
      <w:pPr>
        <w:pStyle w:val="15"/>
        <w:jc w:val="center"/>
        <w:rPr>
          <w:sz w:val="32"/>
          <w:szCs w:val="32"/>
        </w:rPr>
      </w:pPr>
    </w:p>
    <w:p w14:paraId="50228290">
      <w:pPr>
        <w:pStyle w:val="15"/>
        <w:spacing w:line="540" w:lineRule="exact"/>
        <w:jc w:val="center"/>
        <w:rPr>
          <w:sz w:val="56"/>
          <w:szCs w:val="56"/>
        </w:rPr>
      </w:pPr>
    </w:p>
    <w:p w14:paraId="459C483D">
      <w:pPr>
        <w:pStyle w:val="15"/>
        <w:spacing w:line="500" w:lineRule="exact"/>
        <w:jc w:val="both"/>
        <w:rPr>
          <w:b/>
          <w:sz w:val="36"/>
          <w:szCs w:val="28"/>
        </w:rPr>
      </w:pPr>
    </w:p>
    <w:p w14:paraId="24F3309B">
      <w:pPr>
        <w:pStyle w:val="15"/>
        <w:spacing w:line="500" w:lineRule="exact"/>
        <w:jc w:val="center"/>
        <w:rPr>
          <w:b/>
          <w:sz w:val="36"/>
          <w:szCs w:val="28"/>
        </w:rPr>
      </w:pPr>
      <w:r>
        <w:rPr>
          <w:rFonts w:hint="eastAsia"/>
          <w:b/>
          <w:sz w:val="36"/>
          <w:szCs w:val="28"/>
        </w:rPr>
        <w:t>目录</w:t>
      </w:r>
    </w:p>
    <w:p w14:paraId="6CBD0C22">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岳阳市生态环境局平江分局</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单位</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概况</w:t>
      </w:r>
    </w:p>
    <w:p w14:paraId="060CB1DC">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5"/>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5"/>
        <w:jc w:val="center"/>
        <w:rPr>
          <w:rFonts w:hint="eastAsia" w:ascii="方正小标宋_GBK" w:hAnsi="方正小标宋_GBK" w:eastAsia="方正小标宋_GBK" w:cs="方正小标宋_GBK"/>
          <w:sz w:val="84"/>
          <w:szCs w:val="84"/>
        </w:rPr>
      </w:pPr>
    </w:p>
    <w:p w14:paraId="1095DEAB">
      <w:pPr>
        <w:pStyle w:val="15"/>
        <w:jc w:val="center"/>
        <w:rPr>
          <w:rFonts w:hint="eastAsia" w:ascii="方正小标宋_GBK" w:hAnsi="方正小标宋_GBK" w:eastAsia="方正小标宋_GBK" w:cs="方正小标宋_GBK"/>
          <w:sz w:val="84"/>
          <w:szCs w:val="84"/>
        </w:rPr>
      </w:pPr>
    </w:p>
    <w:p w14:paraId="0DEEC249">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5"/>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岳阳市生态环境局平江分局部门（</w:t>
      </w:r>
      <w:r>
        <w:rPr>
          <w:rFonts w:hint="eastAsia" w:ascii="方正小标宋_GBK" w:hAnsi="方正小标宋_GBK" w:eastAsia="方正小标宋_GBK" w:cs="方正小标宋_GBK"/>
          <w:sz w:val="84"/>
          <w:szCs w:val="84"/>
        </w:rPr>
        <w:t>单位</w:t>
      </w:r>
      <w:r>
        <w:rPr>
          <w:rFonts w:hint="eastAsia" w:ascii="方正小标宋_GBK" w:hAnsi="方正小标宋_GBK" w:eastAsia="方正小标宋_GBK" w:cs="方正小标宋_GBK"/>
          <w:sz w:val="84"/>
          <w:szCs w:val="84"/>
          <w:lang w:eastAsia="zh-CN"/>
        </w:rPr>
        <w:t>）</w:t>
      </w:r>
      <w:r>
        <w:rPr>
          <w:rFonts w:hint="eastAsia" w:ascii="方正小标宋_GBK" w:hAnsi="方正小标宋_GBK" w:eastAsia="方正小标宋_GBK" w:cs="方正小标宋_GBK"/>
          <w:sz w:val="84"/>
          <w:szCs w:val="84"/>
        </w:rPr>
        <w:t>概况</w:t>
      </w:r>
    </w:p>
    <w:p w14:paraId="77A0C778">
      <w:pPr>
        <w:pStyle w:val="2"/>
        <w:rPr>
          <w:rFonts w:hint="eastAsia" w:ascii="方正小标宋_GBK" w:hAnsi="方正小标宋_GBK" w:eastAsia="方正小标宋_GBK" w:cs="方正小标宋_GBK"/>
          <w:sz w:val="84"/>
          <w:szCs w:val="84"/>
        </w:rPr>
      </w:pPr>
    </w:p>
    <w:p w14:paraId="397AC3FB">
      <w:pPr>
        <w:pStyle w:val="3"/>
        <w:rPr>
          <w:rFonts w:hint="eastAsia" w:ascii="方正小标宋_GBK" w:hAnsi="方正小标宋_GBK" w:eastAsia="方正小标宋_GBK" w:cs="方正小标宋_GBK"/>
          <w:sz w:val="84"/>
          <w:szCs w:val="84"/>
        </w:rPr>
      </w:pPr>
    </w:p>
    <w:p w14:paraId="128B0AE2">
      <w:pPr>
        <w:pStyle w:val="2"/>
        <w:rPr>
          <w:rFonts w:hint="eastAsia" w:ascii="方正小标宋_GBK" w:hAnsi="方正小标宋_GBK" w:eastAsia="方正小标宋_GBK" w:cs="方正小标宋_GBK"/>
          <w:sz w:val="84"/>
          <w:szCs w:val="84"/>
        </w:rPr>
      </w:pPr>
    </w:p>
    <w:p w14:paraId="1469560B">
      <w:pPr>
        <w:pStyle w:val="3"/>
        <w:rPr>
          <w:rFonts w:hint="eastAsia" w:ascii="方正小标宋_GBK" w:hAnsi="方正小标宋_GBK" w:eastAsia="方正小标宋_GBK" w:cs="方正小标宋_GBK"/>
          <w:sz w:val="84"/>
          <w:szCs w:val="84"/>
        </w:rPr>
      </w:pPr>
    </w:p>
    <w:p w14:paraId="55E857AF">
      <w:pPr>
        <w:pStyle w:val="16"/>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3928E693">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firstLine="640" w:firstLineChars="200"/>
        <w:jc w:val="both"/>
        <w:textAlignment w:val="auto"/>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（一）受市生态环境局委托，承担辖区内的生态环境相关工作；承担市生态环境局和县委、县政府交办的其他任务。</w:t>
      </w:r>
    </w:p>
    <w:p w14:paraId="305BC7ED">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firstLine="640" w:firstLineChars="200"/>
        <w:jc w:val="both"/>
        <w:textAlignment w:val="auto"/>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二）负责本辖区内重点污染源在线监控系统现场监督管理；负责受理和办理生态环境保护举报（信访），负责生态环境信访维稳事件的现场调查处置工作；负责环境县级执法事项违法案件调查处理；负责组织协调生态环境保护县级跨部门联合执法行动。</w:t>
      </w:r>
    </w:p>
    <w:p w14:paraId="2A13D606">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firstLine="640" w:firstLineChars="200"/>
        <w:jc w:val="both"/>
        <w:textAlignment w:val="auto"/>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（三）负责本辖区生态环境质量监测、执法监测、污染源监测和应急监测；负责辖区内生态文明示范县创建。</w:t>
      </w:r>
    </w:p>
    <w:p w14:paraId="200571FD">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firstLine="640" w:firstLineChars="200"/>
        <w:jc w:val="both"/>
        <w:textAlignment w:val="auto"/>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四）承担辖区内固体废物、化学品、持久性有机物、重金属、电磁辐射源等年度调查技术工作；承担企业固体废物、化学品等污染防治技术的指导与服务工作；参与危险(固体)废物、重金属、辐射事故应急与调查技术工作；承担废弃电器电子产品拆解技术审查和电子废物环境管理相关技术指导与服务工作。</w:t>
      </w:r>
    </w:p>
    <w:p w14:paraId="42AD77DE">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firstLine="640" w:firstLineChars="200"/>
        <w:jc w:val="both"/>
        <w:textAlignment w:val="auto"/>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（五）承担辖区内主要污染物排污权有偿使用和指标储备相关技术性、事务性工作。</w:t>
      </w:r>
    </w:p>
    <w:p w14:paraId="50CBAE4B">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firstLine="640" w:firstLineChars="200"/>
        <w:jc w:val="both"/>
        <w:textAlignment w:val="auto"/>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（六）承担辖区内生态环境数据资源建设、信息系统及基础设施的管理运维工作，提供网络安全与信息化技术支持和服务保障。</w:t>
      </w:r>
    </w:p>
    <w:p w14:paraId="7FF85EBF">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firstLine="640" w:firstLineChars="200"/>
        <w:jc w:val="both"/>
        <w:textAlignment w:val="auto"/>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（七）承担为机关行政审批、行政许可和综合执法等工作提供技术支撑和事务性工作。</w:t>
      </w:r>
    </w:p>
    <w:p w14:paraId="6B7928B6">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firstLine="640" w:firstLineChars="200"/>
        <w:jc w:val="both"/>
        <w:textAlignment w:val="auto"/>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（八）承办上级交办的其他事项。</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C7ADAAC">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岳阳市生态环境局平江分局</w:t>
      </w:r>
      <w:r>
        <w:rPr>
          <w:rFonts w:hint="eastAsia" w:ascii="Times New Roman" w:hAnsi="Times New Roman" w:eastAsia="仿宋_GB2312" w:cs="仿宋_GB2312"/>
          <w:bCs/>
          <w:kern w:val="0"/>
          <w:sz w:val="32"/>
          <w:szCs w:val="32"/>
        </w:rPr>
        <w:t>单位内设机构包括：</w:t>
      </w:r>
      <w:r>
        <w:rPr>
          <w:rFonts w:hint="eastAsia" w:ascii="Times New Roman" w:hAnsi="Times New Roman" w:eastAsia="仿宋_GB2312" w:cs="仿宋_GB2312"/>
          <w:bCs/>
          <w:kern w:val="0"/>
          <w:sz w:val="32"/>
          <w:szCs w:val="32"/>
          <w:lang w:val="en-US" w:eastAsia="zh-CN"/>
        </w:rPr>
        <w:t>岳阳</w:t>
      </w:r>
      <w:r>
        <w:rPr>
          <w:rFonts w:hint="eastAsia" w:ascii="Times New Roman" w:hAnsi="Times New Roman" w:eastAsia="仿宋_GB2312" w:cs="仿宋_GB2312"/>
          <w:bCs/>
          <w:kern w:val="0"/>
          <w:sz w:val="32"/>
          <w:szCs w:val="32"/>
        </w:rPr>
        <w:t>市生态环境局平江分局机关、岳阳市平江生态环境保护综合行政执法大队、岳阳市平江生态环境监测站、岳阳市平江生态环境事务中心</w:t>
      </w:r>
      <w:r>
        <w:rPr>
          <w:rFonts w:hint="eastAsia" w:ascii="Times New Roman" w:hAnsi="Times New Roman" w:eastAsia="仿宋_GB2312" w:cs="仿宋_GB2312"/>
          <w:bCs/>
          <w:kern w:val="0"/>
          <w:sz w:val="32"/>
          <w:szCs w:val="32"/>
          <w:lang w:eastAsia="zh-CN"/>
        </w:rPr>
        <w:t>。</w:t>
      </w:r>
    </w:p>
    <w:p w14:paraId="6B097566">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机关内设部门包含：局办公室、生态环境综合监督室、法制宣教与监测股、土壤生态环境股、水生态环境股、大气环境与应对气候变化股、科技与财务股、人事股、党建办公室、驻村工作队、重点项目办、党支部、工会、妇女、计生、青年等。</w:t>
      </w:r>
    </w:p>
    <w:p w14:paraId="52F91802">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岳阳市平江生态环境保护综合行政执法大队内设部门包含：监察执法大队、综合业务室、安全应急办公室、信访室、一中队、二中队、三中队、四中队、工业园中队。</w:t>
      </w:r>
    </w:p>
    <w:p w14:paraId="638E8A97">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岳阳市平江生态环境监测站内设部门是岳阳市平江生态环境监测站。</w:t>
      </w:r>
    </w:p>
    <w:p w14:paraId="02C9A1C8">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岳阳市平江生态环境事务中心内设部门包含：环评和污染排放综合股、自然生态保护办公室、平江县固废和辐射管理站、环境信息中心。</w:t>
      </w:r>
    </w:p>
    <w:p w14:paraId="38AE043A">
      <w:pPr>
        <w:widowControl/>
        <w:spacing w:line="600" w:lineRule="exact"/>
        <w:ind w:firstLine="640" w:firstLineChars="200"/>
        <w:rPr>
          <w:rFonts w:hint="eastAsia"/>
        </w:rPr>
      </w:pPr>
      <w:r>
        <w:rPr>
          <w:rFonts w:hint="eastAsia" w:ascii="Times New Roman" w:hAnsi="Times New Roman" w:eastAsia="仿宋_GB2312" w:cs="仿宋_GB2312"/>
          <w:bCs/>
          <w:kern w:val="0"/>
          <w:sz w:val="32"/>
          <w:szCs w:val="32"/>
        </w:rPr>
        <w:t>现有编制数72人，其中行政编制8人，参公编制27人、全额事业编制37人。现有在职职工75人，离退休人员39人。</w:t>
      </w:r>
    </w:p>
    <w:p w14:paraId="4B709876">
      <w:pPr>
        <w:widowControl/>
        <w:numPr>
          <w:ilvl w:val="0"/>
          <w:numId w:val="2"/>
        </w:numPr>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决算单位构成。</w:t>
      </w:r>
      <w:r>
        <w:rPr>
          <w:rFonts w:hint="eastAsia" w:ascii="Times New Roman" w:hAnsi="Times New Roman" w:eastAsia="仿宋_GB2312" w:cs="仿宋_GB2312"/>
          <w:bCs/>
          <w:kern w:val="0"/>
          <w:sz w:val="32"/>
          <w:szCs w:val="32"/>
          <w:lang w:eastAsia="zh-CN"/>
        </w:rPr>
        <w:t>岳阳市生态环境局平江分局</w:t>
      </w:r>
      <w:r>
        <w:rPr>
          <w:rFonts w:hint="eastAsia" w:ascii="Times New Roman" w:hAnsi="Times New Roman" w:eastAsia="仿宋_GB2312" w:cs="仿宋_GB2312"/>
          <w:bCs/>
          <w:kern w:val="0"/>
          <w:sz w:val="32"/>
          <w:szCs w:val="32"/>
        </w:rPr>
        <w:t>单位202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2024年度部门决算汇总公开单位仅包括</w:t>
      </w:r>
      <w:r>
        <w:rPr>
          <w:rFonts w:hint="eastAsia" w:ascii="Times New Roman" w:hAnsi="Times New Roman" w:eastAsia="仿宋_GB2312" w:cs="仿宋_GB2312"/>
          <w:bCs/>
          <w:kern w:val="0"/>
          <w:sz w:val="32"/>
          <w:szCs w:val="32"/>
          <w:lang w:eastAsia="zh-CN"/>
        </w:rPr>
        <w:t>岳阳市生态环境局平江分局</w:t>
      </w:r>
      <w:r>
        <w:rPr>
          <w:rFonts w:hint="eastAsia" w:ascii="Times New Roman" w:hAnsi="Times New Roman" w:eastAsia="仿宋_GB2312" w:cs="仿宋_GB2312"/>
          <w:bCs/>
          <w:kern w:val="0"/>
          <w:sz w:val="32"/>
          <w:szCs w:val="32"/>
          <w:lang w:val="en-US" w:eastAsia="zh-CN"/>
        </w:rPr>
        <w:t>单位本级</w:t>
      </w:r>
      <w:r>
        <w:rPr>
          <w:rFonts w:hint="eastAsia" w:ascii="Times New Roman" w:hAnsi="Times New Roman" w:eastAsia="仿宋_GB2312" w:cs="仿宋_GB2312"/>
          <w:bCs/>
          <w:kern w:val="0"/>
          <w:sz w:val="32"/>
          <w:szCs w:val="32"/>
        </w:rPr>
        <w:t>。</w:t>
      </w:r>
    </w:p>
    <w:p w14:paraId="7424C6ED">
      <w:pPr>
        <w:pStyle w:val="2"/>
        <w:rPr>
          <w:rFonts w:hint="eastAsia"/>
        </w:rPr>
      </w:pPr>
    </w:p>
    <w:p w14:paraId="0DD3E46C">
      <w:pPr>
        <w:jc w:val="left"/>
        <w:rPr>
          <w:rFonts w:hint="eastAsia" w:ascii="Times New Roman" w:hAnsi="Times New Roman" w:eastAsia="仿宋_GB2312" w:cs="仿宋_GB2312"/>
          <w:bCs/>
          <w:kern w:val="0"/>
          <w:sz w:val="32"/>
          <w:szCs w:val="32"/>
        </w:rPr>
      </w:pPr>
    </w:p>
    <w:p w14:paraId="02003D70">
      <w:pPr>
        <w:pStyle w:val="2"/>
        <w:rPr>
          <w:rFonts w:hint="eastAsia" w:ascii="Times New Roman" w:hAnsi="Times New Roman" w:eastAsia="仿宋_GB2312" w:cs="仿宋_GB2312"/>
          <w:bCs/>
          <w:kern w:val="0"/>
          <w:sz w:val="32"/>
          <w:szCs w:val="32"/>
        </w:rPr>
      </w:pPr>
    </w:p>
    <w:p w14:paraId="2633E0AC">
      <w:pPr>
        <w:pStyle w:val="3"/>
        <w:rPr>
          <w:rFonts w:hint="eastAsia"/>
        </w:rPr>
      </w:pPr>
    </w:p>
    <w:p w14:paraId="38152785"/>
    <w:p w14:paraId="26B0AA77">
      <w:pPr>
        <w:pStyle w:val="2"/>
      </w:pPr>
    </w:p>
    <w:p w14:paraId="7991FFBA">
      <w:pPr>
        <w:pStyle w:val="3"/>
      </w:pPr>
    </w:p>
    <w:p w14:paraId="7FFB1518"/>
    <w:p w14:paraId="5B1D6CBC"/>
    <w:p w14:paraId="01206267">
      <w:pPr>
        <w:pStyle w:val="2"/>
      </w:pPr>
    </w:p>
    <w:p w14:paraId="0464CF32">
      <w:pPr>
        <w:pStyle w:val="3"/>
      </w:pPr>
    </w:p>
    <w:p w14:paraId="78F2E1F2"/>
    <w:p w14:paraId="7A6722B9">
      <w:pPr>
        <w:pStyle w:val="2"/>
      </w:pPr>
    </w:p>
    <w:p w14:paraId="7D6C31E4">
      <w:pPr>
        <w:pStyle w:val="2"/>
      </w:pPr>
    </w:p>
    <w:p w14:paraId="056E4ECA">
      <w:pPr>
        <w:pStyle w:val="3"/>
      </w:pPr>
    </w:p>
    <w:p w14:paraId="3D056274">
      <w:pPr>
        <w:pStyle w:val="15"/>
        <w:jc w:val="center"/>
        <w:rPr>
          <w:rFonts w:hint="eastAsia" w:ascii="方正小标宋_GBK" w:hAnsi="方正小标宋_GBK" w:eastAsia="方正小标宋_GBK" w:cs="方正小标宋_GBK"/>
          <w:sz w:val="84"/>
          <w:szCs w:val="84"/>
        </w:rPr>
      </w:pPr>
    </w:p>
    <w:p w14:paraId="661BBFC8">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5"/>
        <w:jc w:val="center"/>
        <w:rPr>
          <w:rFonts w:hint="eastAsia" w:ascii="方正小标宋_GBK" w:hAnsi="方正小标宋_GBK" w:eastAsia="方正小标宋_GBK" w:cs="方正小标宋_GBK"/>
          <w:sz w:val="84"/>
          <w:szCs w:val="84"/>
        </w:rPr>
      </w:pPr>
    </w:p>
    <w:p w14:paraId="3860F185">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5"/>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5"/>
        <w:jc w:val="center"/>
        <w:rPr>
          <w:rFonts w:hint="eastAsia" w:ascii="仿宋_GB2312" w:hAnsi="仿宋_GB2312" w:eastAsia="仿宋_GB2312" w:cs="仿宋_GB2312"/>
          <w:b w:val="0"/>
          <w:bCs w:val="0"/>
          <w:sz w:val="72"/>
          <w:szCs w:val="72"/>
          <w:lang w:eastAsia="zh-CN"/>
        </w:rPr>
      </w:pPr>
    </w:p>
    <w:p w14:paraId="0568D1B8">
      <w:pPr>
        <w:pStyle w:val="15"/>
        <w:jc w:val="center"/>
        <w:rPr>
          <w:rFonts w:hint="eastAsia" w:ascii="仿宋_GB2312" w:hAnsi="仿宋_GB2312" w:eastAsia="仿宋_GB2312" w:cs="仿宋_GB2312"/>
          <w:b w:val="0"/>
          <w:bCs w:val="0"/>
          <w:sz w:val="72"/>
          <w:szCs w:val="72"/>
          <w:lang w:eastAsia="zh-CN"/>
        </w:rPr>
      </w:pPr>
    </w:p>
    <w:p w14:paraId="5C65B646">
      <w:pPr>
        <w:pStyle w:val="15"/>
        <w:jc w:val="center"/>
        <w:rPr>
          <w:rFonts w:hint="eastAsia" w:ascii="仿宋_GB2312" w:hAnsi="仿宋_GB2312" w:eastAsia="仿宋_GB2312" w:cs="仿宋_GB2312"/>
          <w:b w:val="0"/>
          <w:bCs w:val="0"/>
          <w:sz w:val="72"/>
          <w:szCs w:val="72"/>
          <w:lang w:eastAsia="zh-CN"/>
        </w:rPr>
      </w:pPr>
    </w:p>
    <w:p w14:paraId="62EA5E89">
      <w:pPr>
        <w:pStyle w:val="15"/>
        <w:jc w:val="center"/>
        <w:rPr>
          <w:rFonts w:hint="eastAsia" w:ascii="仿宋_GB2312" w:hAnsi="仿宋_GB2312" w:eastAsia="仿宋_GB2312" w:cs="仿宋_GB2312"/>
          <w:b w:val="0"/>
          <w:bCs w:val="0"/>
          <w:sz w:val="72"/>
          <w:szCs w:val="72"/>
          <w:lang w:eastAsia="zh-CN"/>
        </w:rPr>
      </w:pPr>
    </w:p>
    <w:p w14:paraId="63BFFD84">
      <w:pPr>
        <w:pStyle w:val="15"/>
        <w:jc w:val="center"/>
        <w:rPr>
          <w:rFonts w:hint="eastAsia" w:ascii="仿宋_GB2312" w:hAnsi="仿宋_GB2312" w:eastAsia="仿宋_GB2312" w:cs="仿宋_GB2312"/>
          <w:b w:val="0"/>
          <w:bCs w:val="0"/>
          <w:sz w:val="72"/>
          <w:szCs w:val="72"/>
          <w:lang w:eastAsia="zh-CN"/>
        </w:rPr>
      </w:pPr>
    </w:p>
    <w:p w14:paraId="4565BABE">
      <w:pPr>
        <w:pStyle w:val="15"/>
        <w:jc w:val="center"/>
        <w:rPr>
          <w:rFonts w:hint="eastAsia" w:ascii="仿宋_GB2312" w:hAnsi="仿宋_GB2312" w:eastAsia="仿宋_GB2312" w:cs="仿宋_GB2312"/>
          <w:b w:val="0"/>
          <w:bCs w:val="0"/>
          <w:sz w:val="72"/>
          <w:szCs w:val="72"/>
          <w:lang w:eastAsia="zh-CN"/>
        </w:rPr>
      </w:pPr>
    </w:p>
    <w:p w14:paraId="6EEAB3EF">
      <w:pPr>
        <w:pStyle w:val="15"/>
        <w:jc w:val="center"/>
        <w:rPr>
          <w:rFonts w:hint="eastAsia" w:ascii="仿宋_GB2312" w:hAnsi="仿宋_GB2312" w:eastAsia="仿宋_GB2312" w:cs="仿宋_GB2312"/>
          <w:b w:val="0"/>
          <w:bCs w:val="0"/>
          <w:sz w:val="72"/>
          <w:szCs w:val="72"/>
          <w:lang w:eastAsia="zh-CN"/>
        </w:rPr>
      </w:pPr>
    </w:p>
    <w:p w14:paraId="603C04A7">
      <w:pPr>
        <w:pStyle w:val="15"/>
        <w:jc w:val="center"/>
        <w:rPr>
          <w:rFonts w:hint="eastAsia" w:ascii="方正小标宋_GBK" w:hAnsi="方正小标宋_GBK" w:eastAsia="方正小标宋_GBK" w:cs="方正小标宋_GBK"/>
          <w:sz w:val="72"/>
          <w:szCs w:val="72"/>
        </w:rPr>
      </w:pPr>
    </w:p>
    <w:p w14:paraId="7A44A82E">
      <w:pPr>
        <w:pStyle w:val="15"/>
        <w:jc w:val="center"/>
        <w:rPr>
          <w:rFonts w:hint="eastAsia" w:ascii="方正小标宋_GBK" w:hAnsi="方正小标宋_GBK" w:eastAsia="方正小标宋_GBK" w:cs="方正小标宋_GBK"/>
          <w:sz w:val="72"/>
          <w:szCs w:val="72"/>
        </w:rPr>
      </w:pPr>
    </w:p>
    <w:p w14:paraId="06211665">
      <w:pPr>
        <w:pStyle w:val="15"/>
        <w:jc w:val="both"/>
        <w:rPr>
          <w:rFonts w:hint="eastAsia" w:ascii="方正小标宋_GBK" w:hAnsi="方正小标宋_GBK" w:eastAsia="方正小标宋_GBK" w:cs="方正小标宋_GBK"/>
          <w:sz w:val="72"/>
          <w:szCs w:val="72"/>
        </w:rPr>
      </w:pPr>
    </w:p>
    <w:p w14:paraId="7804FBAA">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5"/>
        <w:jc w:val="center"/>
        <w:rPr>
          <w:rFonts w:hint="eastAsia" w:ascii="方正小标宋_GBK" w:hAnsi="方正小标宋_GBK" w:eastAsia="方正小标宋_GBK" w:cs="方正小标宋_GBK"/>
          <w:sz w:val="70"/>
          <w:szCs w:val="70"/>
        </w:rPr>
      </w:pPr>
    </w:p>
    <w:p w14:paraId="4F77A5A6">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5"/>
        <w:jc w:val="center"/>
        <w:rPr>
          <w:rFonts w:hint="eastAsia" w:ascii="方正小标宋_GBK" w:hAnsi="方正小标宋_GBK" w:eastAsia="方正小标宋_GBK" w:cs="方正小标宋_GBK"/>
          <w:sz w:val="70"/>
          <w:szCs w:val="70"/>
        </w:rPr>
      </w:pPr>
    </w:p>
    <w:p w14:paraId="6EEC30AB">
      <w:pPr>
        <w:pStyle w:val="15"/>
        <w:jc w:val="center"/>
        <w:rPr>
          <w:rFonts w:hint="eastAsia" w:ascii="方正小标宋_GBK" w:hAnsi="方正小标宋_GBK" w:eastAsia="方正小标宋_GBK" w:cs="方正小标宋_GBK"/>
          <w:sz w:val="70"/>
          <w:szCs w:val="70"/>
        </w:rPr>
      </w:pPr>
    </w:p>
    <w:p w14:paraId="417367C1">
      <w:pPr>
        <w:pStyle w:val="15"/>
        <w:jc w:val="center"/>
        <w:rPr>
          <w:rFonts w:hint="eastAsia" w:ascii="方正小标宋_GBK" w:hAnsi="方正小标宋_GBK" w:eastAsia="方正小标宋_GBK" w:cs="方正小标宋_GBK"/>
          <w:sz w:val="70"/>
          <w:szCs w:val="70"/>
        </w:rPr>
      </w:pPr>
    </w:p>
    <w:p w14:paraId="5EF1049C">
      <w:pPr>
        <w:pStyle w:val="15"/>
        <w:jc w:val="center"/>
        <w:rPr>
          <w:rFonts w:hint="eastAsia" w:ascii="方正小标宋_GBK" w:hAnsi="方正小标宋_GBK" w:eastAsia="方正小标宋_GBK" w:cs="方正小标宋_GBK"/>
          <w:sz w:val="70"/>
          <w:szCs w:val="70"/>
        </w:rPr>
      </w:pPr>
    </w:p>
    <w:p w14:paraId="7E4B3CF9">
      <w:pPr>
        <w:pStyle w:val="15"/>
        <w:jc w:val="center"/>
        <w:rPr>
          <w:rFonts w:hint="eastAsia" w:ascii="方正小标宋_GBK" w:hAnsi="方正小标宋_GBK" w:eastAsia="方正小标宋_GBK" w:cs="方正小标宋_GBK"/>
          <w:sz w:val="70"/>
          <w:szCs w:val="70"/>
        </w:rPr>
      </w:pPr>
    </w:p>
    <w:p w14:paraId="514C0722">
      <w:pPr>
        <w:pStyle w:val="15"/>
        <w:jc w:val="center"/>
        <w:rPr>
          <w:rFonts w:hint="eastAsia" w:ascii="方正小标宋_GBK" w:hAnsi="方正小标宋_GBK" w:eastAsia="方正小标宋_GBK" w:cs="方正小标宋_GBK"/>
          <w:sz w:val="70"/>
          <w:szCs w:val="70"/>
        </w:rPr>
      </w:pPr>
    </w:p>
    <w:p w14:paraId="2411C081">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年度收、支总计2300.74万元。与上年相比，</w:t>
      </w:r>
      <w:r>
        <w:rPr>
          <w:rFonts w:hint="eastAsia" w:ascii="仿宋_GB2312" w:hAnsi="仿宋_GB2312" w:eastAsia="仿宋_GB2312" w:cs="仿宋_GB2312"/>
          <w:sz w:val="32"/>
          <w:szCs w:val="32"/>
          <w:lang w:val="en-US" w:eastAsia="zh-CN"/>
        </w:rPr>
        <w:t>减少601.7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w:t>
      </w:r>
      <w:r>
        <w:rPr>
          <w:rFonts w:hint="eastAsia" w:ascii="仿宋_GB2312" w:hAnsi="仿宋_GB2312" w:eastAsia="仿宋_GB2312" w:cs="仿宋_GB2312"/>
          <w:sz w:val="32"/>
          <w:szCs w:val="32"/>
        </w:rPr>
        <w:t>20.73%，主要是因为</w:t>
      </w:r>
      <w:r>
        <w:rPr>
          <w:rFonts w:hint="eastAsia" w:ascii="仿宋_GB2312" w:hAnsi="仿宋_GB2312" w:eastAsia="仿宋_GB2312" w:cs="仿宋_GB2312"/>
          <w:sz w:val="32"/>
          <w:szCs w:val="32"/>
          <w:lang w:val="en-US" w:eastAsia="zh-CN"/>
        </w:rPr>
        <w:t>人员减少、项目减少。</w:t>
      </w:r>
    </w:p>
    <w:p w14:paraId="07DA9E3F">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年度收入合计2300.74万元，其中：财政拨款收入1756.99万元，占</w:t>
      </w:r>
      <w:r>
        <w:rPr>
          <w:rFonts w:hint="eastAsia" w:ascii="仿宋_GB2312" w:hAnsi="仿宋_GB2312" w:eastAsia="仿宋_GB2312" w:cs="仿宋_GB2312"/>
          <w:sz w:val="32"/>
          <w:szCs w:val="32"/>
          <w:lang w:val="en-US" w:eastAsia="zh-CN"/>
        </w:rPr>
        <w:t>76.37</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%；其他收入543.75万元，占</w:t>
      </w:r>
      <w:r>
        <w:rPr>
          <w:rFonts w:hint="eastAsia" w:ascii="仿宋_GB2312" w:hAnsi="仿宋_GB2312" w:eastAsia="仿宋_GB2312" w:cs="仿宋_GB2312"/>
          <w:sz w:val="32"/>
          <w:szCs w:val="32"/>
          <w:lang w:val="en-US" w:eastAsia="zh-CN"/>
        </w:rPr>
        <w:t>23.63</w:t>
      </w:r>
      <w:r>
        <w:rPr>
          <w:rFonts w:hint="eastAsia" w:ascii="仿宋_GB2312" w:hAnsi="仿宋_GB2312" w:eastAsia="仿宋_GB2312" w:cs="仿宋_GB2312"/>
          <w:sz w:val="32"/>
          <w:szCs w:val="32"/>
        </w:rPr>
        <w:t>%。</w:t>
      </w:r>
    </w:p>
    <w:p w14:paraId="2D1A2B4D">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年度支出合计2300.74万元，其中：基本支出1409.4</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61.26</w:t>
      </w:r>
      <w:r>
        <w:rPr>
          <w:rFonts w:hint="eastAsia" w:ascii="仿宋_GB2312" w:hAnsi="仿宋_GB2312" w:eastAsia="仿宋_GB2312" w:cs="仿宋_GB2312"/>
          <w:sz w:val="32"/>
          <w:szCs w:val="32"/>
        </w:rPr>
        <w:t>%；项目支出891.34万元，占</w:t>
      </w:r>
      <w:r>
        <w:rPr>
          <w:rFonts w:hint="eastAsia" w:ascii="仿宋_GB2312" w:hAnsi="仿宋_GB2312" w:eastAsia="仿宋_GB2312" w:cs="仿宋_GB2312"/>
          <w:sz w:val="32"/>
          <w:szCs w:val="32"/>
          <w:lang w:val="en-US" w:eastAsia="zh-CN"/>
        </w:rPr>
        <w:t>38.74</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69857526">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5EEE207">
      <w:pPr>
        <w:widowControl w:val="0"/>
        <w:autoSpaceDE w:val="0"/>
        <w:autoSpaceDN w:val="0"/>
        <w:adjustRightInd w:val="0"/>
        <w:ind w:firstLine="640" w:firstLineChars="200"/>
        <w:rPr>
          <w:rFonts w:hint="eastAsia" w:ascii="楷体" w:hAnsi="楷体" w:eastAsia="楷体" w:cs="楷体"/>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年度财政拨款收、支总计1756.99万元，与上年相比，</w:t>
      </w:r>
      <w:r>
        <w:rPr>
          <w:rFonts w:hint="eastAsia" w:ascii="仿宋_GB2312" w:hAnsi="仿宋_GB2312" w:eastAsia="仿宋_GB2312" w:cs="仿宋_GB2312"/>
          <w:sz w:val="32"/>
          <w:szCs w:val="32"/>
          <w:lang w:val="en-US" w:eastAsia="zh-CN"/>
        </w:rPr>
        <w:t>减少</w:t>
      </w:r>
      <w:r>
        <w:rPr>
          <w:rFonts w:hint="eastAsia" w:ascii="仿宋_GB2312" w:hAnsi="仿宋_GB2312" w:eastAsia="仿宋_GB2312" w:cs="仿宋_GB2312"/>
          <w:sz w:val="32"/>
          <w:szCs w:val="32"/>
        </w:rPr>
        <w:t>0.99万元,</w:t>
      </w:r>
      <w:r>
        <w:rPr>
          <w:rFonts w:hint="eastAsia" w:ascii="仿宋_GB2312" w:hAnsi="仿宋_GB2312" w:eastAsia="仿宋_GB2312" w:cs="仿宋_GB2312"/>
          <w:sz w:val="32"/>
          <w:szCs w:val="32"/>
          <w:lang w:val="en-US" w:eastAsia="zh-CN"/>
        </w:rPr>
        <w:t>减少0.06</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人员</w:t>
      </w:r>
      <w:r>
        <w:rPr>
          <w:rFonts w:hint="eastAsia" w:ascii="仿宋_GB2312" w:hAnsi="仿宋_GB2312" w:eastAsia="仿宋_GB2312" w:cs="仿宋_GB2312"/>
          <w:sz w:val="32"/>
          <w:szCs w:val="32"/>
        </w:rPr>
        <w:t>减少。</w:t>
      </w:r>
    </w:p>
    <w:p w14:paraId="4BB30A6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6CAEDEF">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年度财政拨款支出1756.99万元，占本年支出合计的</w:t>
      </w:r>
      <w:r>
        <w:rPr>
          <w:rFonts w:hint="eastAsia" w:ascii="仿宋_GB2312" w:hAnsi="仿宋_GB2312" w:eastAsia="仿宋_GB2312" w:cs="仿宋_GB2312"/>
          <w:sz w:val="32"/>
          <w:szCs w:val="32"/>
          <w:lang w:val="en-US" w:eastAsia="zh-CN"/>
        </w:rPr>
        <w:t>76.37</w:t>
      </w:r>
      <w:r>
        <w:rPr>
          <w:rFonts w:hint="eastAsia" w:ascii="仿宋_GB2312" w:hAnsi="仿宋_GB2312" w:eastAsia="仿宋_GB2312" w:cs="仿宋_GB2312"/>
          <w:sz w:val="32"/>
          <w:szCs w:val="32"/>
        </w:rPr>
        <w:t>%，与上年相比，财政拨款支出</w:t>
      </w:r>
      <w:r>
        <w:rPr>
          <w:rFonts w:hint="eastAsia" w:ascii="仿宋_GB2312" w:hAnsi="仿宋_GB2312" w:eastAsia="仿宋_GB2312" w:cs="仿宋_GB2312"/>
          <w:sz w:val="32"/>
          <w:szCs w:val="32"/>
          <w:lang w:val="en-US" w:eastAsia="zh-CN"/>
        </w:rPr>
        <w:t>减少</w:t>
      </w:r>
      <w:r>
        <w:rPr>
          <w:rFonts w:hint="eastAsia" w:ascii="仿宋_GB2312" w:hAnsi="仿宋_GB2312" w:eastAsia="仿宋_GB2312" w:cs="仿宋_GB2312"/>
          <w:sz w:val="32"/>
          <w:szCs w:val="32"/>
        </w:rPr>
        <w:t>0.99万元，</w:t>
      </w:r>
      <w:r>
        <w:rPr>
          <w:rFonts w:hint="eastAsia" w:ascii="仿宋_GB2312" w:hAnsi="仿宋_GB2312" w:eastAsia="仿宋_GB2312" w:cs="仿宋_GB2312"/>
          <w:sz w:val="32"/>
          <w:szCs w:val="32"/>
          <w:lang w:val="en-US" w:eastAsia="zh-CN"/>
        </w:rPr>
        <w:t>减少0.06</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人员</w:t>
      </w:r>
      <w:r>
        <w:rPr>
          <w:rFonts w:hint="eastAsia" w:ascii="仿宋_GB2312" w:hAnsi="仿宋_GB2312" w:eastAsia="仿宋_GB2312" w:cs="仿宋_GB2312"/>
          <w:sz w:val="32"/>
          <w:szCs w:val="32"/>
        </w:rPr>
        <w:t>减少。</w:t>
      </w:r>
    </w:p>
    <w:p w14:paraId="66C54C85">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年度财政拨款支出1756.99万元，主要用于以下方面：一般公共服务（类）支出893.46万元，占</w:t>
      </w:r>
      <w:r>
        <w:rPr>
          <w:rFonts w:hint="eastAsia" w:ascii="仿宋_GB2312" w:hAnsi="仿宋_GB2312" w:eastAsia="仿宋_GB2312" w:cs="仿宋_GB2312"/>
          <w:sz w:val="32"/>
          <w:szCs w:val="32"/>
          <w:lang w:val="en-US" w:eastAsia="zh-CN"/>
        </w:rPr>
        <w:t>50.85</w:t>
      </w:r>
      <w:r>
        <w:rPr>
          <w:rFonts w:hint="eastAsia" w:ascii="仿宋_GB2312" w:hAnsi="仿宋_GB2312" w:eastAsia="仿宋_GB2312" w:cs="仿宋_GB2312"/>
          <w:sz w:val="32"/>
          <w:szCs w:val="32"/>
        </w:rPr>
        <w:t>%；社会保障和就业（类）支出115.71万元，占</w:t>
      </w:r>
      <w:r>
        <w:rPr>
          <w:rFonts w:hint="eastAsia" w:ascii="仿宋_GB2312" w:hAnsi="仿宋_GB2312" w:eastAsia="仿宋_GB2312" w:cs="仿宋_GB2312"/>
          <w:sz w:val="32"/>
          <w:szCs w:val="32"/>
          <w:lang w:val="en-US" w:eastAsia="zh-CN"/>
        </w:rPr>
        <w:t>6.59</w:t>
      </w:r>
      <w:r>
        <w:rPr>
          <w:rFonts w:hint="eastAsia" w:ascii="仿宋_GB2312" w:hAnsi="仿宋_GB2312" w:eastAsia="仿宋_GB2312" w:cs="仿宋_GB2312"/>
          <w:sz w:val="32"/>
          <w:szCs w:val="32"/>
        </w:rPr>
        <w:t>%；卫生健康（类）支出74.53万元，占4.24%；节能环保（类）支出589.83万元，占33.57%；住房保障（类）支出83.46万元，占</w:t>
      </w:r>
      <w:r>
        <w:rPr>
          <w:rFonts w:hint="eastAsia" w:ascii="仿宋_GB2312" w:hAnsi="仿宋_GB2312" w:eastAsia="仿宋_GB2312" w:cs="仿宋_GB2312"/>
          <w:sz w:val="32"/>
          <w:szCs w:val="32"/>
          <w:lang w:val="en-US" w:eastAsia="zh-CN"/>
        </w:rPr>
        <w:t>4.75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p>
    <w:p w14:paraId="5CDBADF9">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年度财政拨款支出年初预算数为1539.7</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万元，支出决算数为1756.99万元，完成年初预算的</w:t>
      </w:r>
      <w:r>
        <w:rPr>
          <w:rFonts w:hint="eastAsia" w:ascii="仿宋_GB2312" w:hAnsi="仿宋_GB2312" w:eastAsia="仿宋_GB2312" w:cs="仿宋_GB2312"/>
          <w:sz w:val="32"/>
          <w:szCs w:val="32"/>
          <w:lang w:val="en-US" w:eastAsia="zh-CN"/>
        </w:rPr>
        <w:t>114.11</w:t>
      </w:r>
      <w:r>
        <w:rPr>
          <w:rFonts w:hint="eastAsia" w:ascii="仿宋_GB2312" w:hAnsi="仿宋_GB2312" w:eastAsia="仿宋_GB2312" w:cs="仿宋_GB2312"/>
          <w:sz w:val="32"/>
          <w:szCs w:val="32"/>
        </w:rPr>
        <w:t>%，其中：</w:t>
      </w:r>
    </w:p>
    <w:p w14:paraId="76576F8C">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1、一般公共服务支出（类）人大事务（款）行政运行（项）。</w:t>
      </w:r>
    </w:p>
    <w:p w14:paraId="5B6DA21D">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年初预算为895.42万元，支出决算为883.26万元，完成年初预算的</w:t>
      </w:r>
      <w:r>
        <w:rPr>
          <w:rFonts w:hint="eastAsia" w:ascii="仿宋_GB2312" w:hAnsi="仿宋_GB2312" w:eastAsia="仿宋_GB2312" w:cs="仿宋_GB2312"/>
          <w:sz w:val="32"/>
          <w:szCs w:val="32"/>
          <w:lang w:val="en-US" w:eastAsia="zh-CN"/>
        </w:rPr>
        <w:t>98.64</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人员调出减少。</w:t>
      </w:r>
    </w:p>
    <w:p w14:paraId="214F5129">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、一般公共服务支出（类）社会工作事务（款）行政运行（项）。</w:t>
      </w:r>
    </w:p>
    <w:p w14:paraId="1A73F58F">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10.20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10.20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237A4D6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、社会保障和就业（类）行政事业单位养老支出（款）机关事业单位基本养老保险缴费支出（项）。</w:t>
      </w:r>
    </w:p>
    <w:p w14:paraId="75236081">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年初预算为115.71万元，支出决算为115.71万元，完成年初预算的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37A3CD3B">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、社会保障和就业（类）残疾人事业（款）其他残疾人事业支出（项）。</w:t>
      </w:r>
    </w:p>
    <w:p w14:paraId="7909D091">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8.93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决算数列支在</w:t>
      </w:r>
      <w:r>
        <w:rPr>
          <w:rFonts w:hint="eastAsia" w:ascii="仿宋_GB2312" w:hAnsi="仿宋_GB2312" w:eastAsia="仿宋_GB2312" w:cs="仿宋_GB2312"/>
          <w:sz w:val="32"/>
          <w:szCs w:val="32"/>
        </w:rPr>
        <w:t>其他环境保护管理事务支出</w:t>
      </w:r>
      <w:r>
        <w:rPr>
          <w:rFonts w:hint="eastAsia" w:ascii="仿宋_GB2312" w:hAnsi="仿宋_GB2312" w:eastAsia="仿宋_GB2312" w:cs="仿宋_GB2312"/>
          <w:sz w:val="32"/>
          <w:szCs w:val="32"/>
          <w:lang w:val="en-US" w:eastAsia="zh-CN"/>
        </w:rPr>
        <w:t>中。</w:t>
      </w:r>
    </w:p>
    <w:p w14:paraId="0A3E3D7B">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、卫生健康（类）行政事业单位医疗（款）行政单位医疗（项）。</w:t>
      </w:r>
    </w:p>
    <w:p w14:paraId="3F9D37A6">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74.53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74.53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5555E44E">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、卫生健康（类）行政事业单位医疗（款）公务员医疗补助（项）。</w:t>
      </w:r>
    </w:p>
    <w:p w14:paraId="7943542C">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10.19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本年无此项开支。</w:t>
      </w:r>
    </w:p>
    <w:p w14:paraId="2B0655CB">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、节能环保（类）环境保护管理事务（款）行政运行（项）。</w:t>
      </w:r>
    </w:p>
    <w:p w14:paraId="022206B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172.53</w:t>
      </w:r>
      <w:r>
        <w:rPr>
          <w:rFonts w:hint="eastAsia" w:ascii="仿宋_GB2312" w:hAnsi="仿宋_GB2312" w:eastAsia="仿宋_GB2312" w:cs="仿宋_GB2312"/>
          <w:sz w:val="32"/>
          <w:szCs w:val="32"/>
        </w:rPr>
        <w:t>万元，支出决算为169.12万元，完成年初预算的</w:t>
      </w:r>
      <w:r>
        <w:rPr>
          <w:rFonts w:hint="eastAsia" w:ascii="仿宋_GB2312" w:hAnsi="仿宋_GB2312" w:eastAsia="仿宋_GB2312" w:cs="仿宋_GB2312"/>
          <w:sz w:val="32"/>
          <w:szCs w:val="32"/>
          <w:lang w:val="en-US" w:eastAsia="zh-CN"/>
        </w:rPr>
        <w:t>98.02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val="en-US" w:eastAsia="zh-CN"/>
        </w:rPr>
        <w:t>人员调出减少。</w:t>
      </w:r>
    </w:p>
    <w:p w14:paraId="6DC688F4">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、节能环保（类）环境保护管理事务（款）其他环境保护管理事务支出（项）。</w:t>
      </w:r>
    </w:p>
    <w:p w14:paraId="5937D979">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万元，支出决算为99.14万元，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r>
        <w:rPr>
          <w:rFonts w:hint="eastAsia" w:ascii="仿宋_GB2312" w:hAnsi="仿宋_GB2312" w:eastAsia="仿宋_GB2312" w:cs="仿宋_GB2312"/>
          <w:sz w:val="32"/>
          <w:szCs w:val="32"/>
          <w:lang w:eastAsia="zh-CN"/>
        </w:rPr>
        <w:t>。</w:t>
      </w:r>
    </w:p>
    <w:p w14:paraId="1CE6ECDA">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、节能环保（类）环境监测与监察（款）其他环境监测与监察支出（项）。</w:t>
      </w:r>
    </w:p>
    <w:p w14:paraId="63D3FE2D">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12.00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val="en-US" w:eastAsia="zh-CN"/>
        </w:rPr>
        <w:t>决算数列支在</w:t>
      </w:r>
      <w:r>
        <w:rPr>
          <w:rFonts w:hint="eastAsia" w:ascii="仿宋_GB2312" w:hAnsi="仿宋_GB2312" w:eastAsia="仿宋_GB2312" w:cs="仿宋_GB2312"/>
          <w:sz w:val="32"/>
          <w:szCs w:val="32"/>
        </w:rPr>
        <w:t>生态环境执法监察</w:t>
      </w:r>
      <w:r>
        <w:rPr>
          <w:rFonts w:hint="eastAsia" w:ascii="仿宋_GB2312" w:hAnsi="仿宋_GB2312" w:eastAsia="仿宋_GB2312" w:cs="仿宋_GB2312"/>
          <w:sz w:val="32"/>
          <w:szCs w:val="32"/>
          <w:lang w:val="en-US" w:eastAsia="zh-CN"/>
        </w:rPr>
        <w:t>中。</w:t>
      </w:r>
    </w:p>
    <w:p w14:paraId="379613B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、节能环保（类）污染防治（款）其他污染防治支出（项）。</w:t>
      </w:r>
    </w:p>
    <w:p w14:paraId="19991E36">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万元，支出决算为43.13万元，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047188D3">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、节能环保（类）自然生态保护（款）农村环境保护（项）。</w:t>
      </w:r>
    </w:p>
    <w:p w14:paraId="11D0988F">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万元，支出决算为10</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2CAFFA86">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、节能环保（类）污染减排（款）生态环境执法监察（项）。</w:t>
      </w:r>
    </w:p>
    <w:p w14:paraId="20B52162">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156.73</w:t>
      </w:r>
      <w:r>
        <w:rPr>
          <w:rFonts w:hint="eastAsia" w:ascii="仿宋_GB2312" w:hAnsi="仿宋_GB2312" w:eastAsia="仿宋_GB2312" w:cs="仿宋_GB2312"/>
          <w:sz w:val="32"/>
          <w:szCs w:val="32"/>
        </w:rPr>
        <w:t>万元，支出决算为173.44万元，完成年初预算的</w:t>
      </w:r>
      <w:r>
        <w:rPr>
          <w:rFonts w:hint="eastAsia" w:ascii="仿宋_GB2312" w:hAnsi="仿宋_GB2312" w:eastAsia="仿宋_GB2312" w:cs="仿宋_GB2312"/>
          <w:sz w:val="32"/>
          <w:szCs w:val="32"/>
          <w:lang w:val="en-US" w:eastAsia="zh-CN"/>
        </w:rPr>
        <w:t>110.66</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年中追加资金。</w:t>
      </w:r>
    </w:p>
    <w:p w14:paraId="635557D8">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、节能环保（类）其他节能环保支出（款）其他节能环保支出（项）。</w:t>
      </w:r>
    </w:p>
    <w:p w14:paraId="3B6E297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万元，支出决算为95</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7178BF3F">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、住房保障（类）住房改革支出（款）住房公积金（项）。</w:t>
      </w:r>
    </w:p>
    <w:p w14:paraId="2F4442F5">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年初预算为83.46万元，支出决算为83.46万元，完成年初预算的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373E8BA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财政拨款基本支出1378.41万元，其中：</w:t>
      </w:r>
    </w:p>
    <w:p w14:paraId="763B7849">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1176.77万元，占基本支出的</w:t>
      </w:r>
      <w:r>
        <w:rPr>
          <w:rFonts w:hint="eastAsia" w:ascii="仿宋_GB2312" w:hAnsi="仿宋_GB2312" w:eastAsia="仿宋_GB2312" w:cs="仿宋_GB2312"/>
          <w:sz w:val="32"/>
          <w:szCs w:val="32"/>
          <w:lang w:val="en-US" w:eastAsia="zh-CN"/>
        </w:rPr>
        <w:t>85.37</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对个人和家庭的补助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8A9DF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201.64万元，占基本支出的</w:t>
      </w:r>
      <w:r>
        <w:rPr>
          <w:rFonts w:hint="eastAsia" w:ascii="仿宋_GB2312" w:hAnsi="仿宋_GB2312" w:eastAsia="仿宋_GB2312" w:cs="仿宋_GB2312"/>
          <w:sz w:val="32"/>
          <w:szCs w:val="32"/>
          <w:lang w:val="en-US" w:eastAsia="zh-CN"/>
        </w:rPr>
        <w:t>14.63</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238B276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B96C244">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color w:val="000000"/>
          <w:kern w:val="0"/>
          <w:sz w:val="32"/>
          <w:szCs w:val="32"/>
          <w:lang w:val="en-US" w:eastAsia="zh-CN" w:bidi="ar-SA"/>
        </w:rPr>
        <w:t>2024年度政府性基金预算财政拨款收入0万元；年初结转和结余0万元；支出0万元，其中基本支出0万元，项目支出0万元；年末结转和结余0万元。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2024年度国有资本经营预算财政拨款收入0万元；年初结转和结余0万；支出0万元，其中：基本支出0万元，项目支出0万元；年末结转和结余0万元。</w:t>
      </w:r>
    </w:p>
    <w:p w14:paraId="5876C25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1.48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1.48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100.00</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减少3.06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67.35</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cs="Times New Roman"/>
          <w:sz w:val="32"/>
          <w:szCs w:val="32"/>
        </w:rPr>
        <w:t>厉行节约，严格控制“三公”经费</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小</w:t>
      </w:r>
      <w:r>
        <w:rPr>
          <w:rFonts w:ascii="Times New Roman" w:hAnsi="Times New Roman" w:eastAsia="仿宋_GB2312" w:cs="Times New Roman"/>
          <w:sz w:val="32"/>
          <w:szCs w:val="32"/>
        </w:rPr>
        <w:t>于上年数的主要原因是</w:t>
      </w:r>
      <w:r>
        <w:rPr>
          <w:rFonts w:hint="eastAsia" w:ascii="Times New Roman" w:hAnsi="Times New Roman" w:eastAsia="仿宋_GB2312" w:cs="Times New Roman"/>
          <w:sz w:val="32"/>
          <w:szCs w:val="32"/>
        </w:rPr>
        <w:t>2024年</w:t>
      </w:r>
      <w:r>
        <w:rPr>
          <w:rFonts w:hint="eastAsia" w:ascii="Times New Roman" w:hAnsi="Times New Roman" w:eastAsia="仿宋_GB2312" w:cs="Times New Roman"/>
          <w:sz w:val="32"/>
          <w:szCs w:val="32"/>
          <w:lang w:val="en-US" w:eastAsia="zh-CN"/>
        </w:rPr>
        <w:t>接待活动减少</w:t>
      </w:r>
      <w:r>
        <w:rPr>
          <w:rFonts w:ascii="Times New Roman" w:hAnsi="Times New Roman" w:eastAsia="仿宋_GB2312" w:cs="Times New Roman"/>
          <w:sz w:val="32"/>
          <w:szCs w:val="32"/>
        </w:rPr>
        <w:t>。</w:t>
      </w:r>
    </w:p>
    <w:p w14:paraId="352D03A7">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1CF083E8">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决算数等于预算数</w:t>
      </w:r>
      <w:r>
        <w:rPr>
          <w:rFonts w:hint="eastAsia" w:ascii="Times New Roman" w:hAnsi="Times New Roman" w:eastAsia="仿宋_GB2312" w:cs="Times New Roman"/>
          <w:sz w:val="32"/>
          <w:szCs w:val="32"/>
          <w:lang w:val="en-US" w:eastAsia="zh-CN"/>
        </w:rPr>
        <w:t>，主要原因是我单位严格按预算执行决算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与上年一致，无增减变动，主要原因是未安排因公出国（境）活动。</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126DFFE3">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2.公务用车购置费及运行维护费支出预算为0万元，支出决算为0万元，决算数等于预算数；与上年一致，无增减变动。其中：</w:t>
      </w:r>
    </w:p>
    <w:p w14:paraId="707B63F8">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公务用车购置费支出预算为0万元，支出决算为0万元，决算数等于预算数，主要原因是我单位严格按预算执行决算；与上年一致，无增减变动，主要原因是两年均未购置公务用车。本单位更新公务用车0辆。</w:t>
      </w:r>
    </w:p>
    <w:p w14:paraId="6EB2C260">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公务用车运行维护费支出预算为0万元，支出决算为0万元，决算数等于预算数，主要原因是我单位严格按预算执行决算；与上年一致，无增减变动，主要原因是两年均无公务用车需要运行维护。截止到2024年12月31日，我单位开支财政拨款的公务用车保有量为0辆。</w:t>
      </w:r>
    </w:p>
    <w:p w14:paraId="4B35674B">
      <w:pPr>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1.48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1.48</w:t>
      </w:r>
      <w:r>
        <w:rPr>
          <w:rFonts w:ascii="Times New Roman" w:hAnsi="Times New Roman" w:eastAsia="仿宋_GB2312" w:cs="Times New Roman"/>
          <w:sz w:val="32"/>
          <w:szCs w:val="32"/>
        </w:rPr>
        <w:t>万元，完成预</w:t>
      </w:r>
      <w:r>
        <w:rPr>
          <w:rFonts w:ascii="Times New Roman" w:hAnsi="Times New Roman" w:eastAsia="仿宋_GB2312" w:cs="Times New Roman"/>
          <w:color w:val="000000"/>
          <w:kern w:val="0"/>
          <w:sz w:val="32"/>
          <w:szCs w:val="32"/>
          <w:lang w:val="en-US" w:eastAsia="zh-CN" w:bidi="ar-SA"/>
        </w:rPr>
        <w:t>算的</w:t>
      </w:r>
      <w:r>
        <w:rPr>
          <w:rFonts w:hint="eastAsia" w:ascii="Times New Roman" w:hAnsi="Times New Roman" w:eastAsia="仿宋_GB2312" w:cs="Times New Roman"/>
          <w:color w:val="000000"/>
          <w:kern w:val="0"/>
          <w:sz w:val="32"/>
          <w:szCs w:val="32"/>
          <w:lang w:val="en-US" w:eastAsia="zh-CN" w:bidi="ar-SA"/>
        </w:rPr>
        <w:t>100.00</w:t>
      </w:r>
      <w:r>
        <w:rPr>
          <w:rFonts w:ascii="Times New Roman" w:hAnsi="Times New Roman" w:eastAsia="仿宋_GB2312" w:cs="Times New Roman"/>
          <w:color w:val="000000"/>
          <w:kern w:val="0"/>
          <w:sz w:val="32"/>
          <w:szCs w:val="32"/>
          <w:lang w:val="en-US" w:eastAsia="zh-CN" w:bidi="ar-SA"/>
        </w:rPr>
        <w:t>%；</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减少3.06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67.35</w:t>
      </w:r>
      <w:r>
        <w:rPr>
          <w:rFonts w:ascii="Times New Roman" w:hAnsi="Times New Roman" w:eastAsia="仿宋_GB2312" w:cs="Times New Roman"/>
          <w:sz w:val="32"/>
          <w:szCs w:val="32"/>
        </w:rPr>
        <w:t>%</w:t>
      </w:r>
      <w:r>
        <w:rPr>
          <w:rFonts w:ascii="Times New Roman" w:hAnsi="Times New Roman" w:eastAsia="仿宋_GB2312" w:cs="Times New Roman"/>
          <w:color w:val="000000"/>
          <w:kern w:val="0"/>
          <w:sz w:val="32"/>
          <w:szCs w:val="32"/>
          <w:lang w:val="en-US" w:eastAsia="zh-CN" w:bidi="ar-SA"/>
        </w:rPr>
        <w:t>。决算数</w:t>
      </w:r>
      <w:r>
        <w:rPr>
          <w:rFonts w:hint="eastAsia" w:ascii="Times New Roman" w:hAnsi="Times New Roman" w:eastAsia="仿宋_GB2312" w:cs="Times New Roman"/>
          <w:color w:val="000000"/>
          <w:kern w:val="0"/>
          <w:sz w:val="32"/>
          <w:szCs w:val="32"/>
          <w:lang w:val="en-US" w:eastAsia="zh-CN" w:bidi="ar-SA"/>
        </w:rPr>
        <w:t>等于</w:t>
      </w:r>
      <w:r>
        <w:rPr>
          <w:rFonts w:ascii="Times New Roman" w:hAnsi="Times New Roman" w:eastAsia="仿宋_GB2312" w:cs="Times New Roman"/>
          <w:color w:val="000000"/>
          <w:kern w:val="0"/>
          <w:sz w:val="32"/>
          <w:szCs w:val="32"/>
          <w:lang w:val="en-US" w:eastAsia="zh-CN" w:bidi="ar-SA"/>
        </w:rPr>
        <w:t>预算数的主要原因是</w:t>
      </w:r>
      <w:r>
        <w:rPr>
          <w:rFonts w:hint="eastAsia" w:ascii="Times New Roman" w:hAnsi="Times New Roman" w:eastAsia="仿宋_GB2312" w:cs="Times New Roman"/>
          <w:color w:val="000000"/>
          <w:kern w:val="0"/>
          <w:sz w:val="32"/>
          <w:szCs w:val="32"/>
          <w:lang w:val="en-US" w:eastAsia="zh-CN" w:bidi="ar-SA"/>
        </w:rPr>
        <w:t>厉行节约，严控公务接待支出</w:t>
      </w:r>
      <w:r>
        <w:rPr>
          <w:rFonts w:ascii="Times New Roman" w:hAnsi="Times New Roman" w:eastAsia="仿宋_GB2312" w:cs="Times New Roman"/>
          <w:color w:val="000000"/>
          <w:kern w:val="0"/>
          <w:sz w:val="32"/>
          <w:szCs w:val="32"/>
          <w:lang w:val="en-US" w:eastAsia="zh-CN" w:bidi="ar-SA"/>
        </w:rPr>
        <w:t>。</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color w:val="000000"/>
          <w:kern w:val="0"/>
          <w:sz w:val="32"/>
          <w:szCs w:val="32"/>
          <w:lang w:val="en-US" w:eastAsia="zh-CN" w:bidi="ar-SA"/>
        </w:rPr>
        <w:t>按有关政策厉行节约，严控公务接待支出。</w:t>
      </w:r>
      <w:r>
        <w:rPr>
          <w:rFonts w:ascii="Times New Roman" w:hAnsi="Times New Roman" w:eastAsia="仿宋_GB2312" w:cs="Times New Roman"/>
          <w:color w:val="000000"/>
          <w:kern w:val="0"/>
          <w:sz w:val="32"/>
          <w:szCs w:val="32"/>
          <w:lang w:val="en-US" w:eastAsia="zh-CN" w:bidi="ar-SA"/>
        </w:rPr>
        <w:t>2024年度共接待来访团组</w:t>
      </w:r>
      <w:r>
        <w:rPr>
          <w:rFonts w:hint="eastAsia" w:ascii="Times New Roman" w:hAnsi="Times New Roman" w:eastAsia="仿宋_GB2312" w:cs="Times New Roman"/>
          <w:color w:val="000000"/>
          <w:kern w:val="0"/>
          <w:sz w:val="32"/>
          <w:szCs w:val="32"/>
          <w:lang w:val="en-US" w:eastAsia="zh-CN" w:bidi="ar-SA"/>
        </w:rPr>
        <w:t>18</w:t>
      </w:r>
      <w:r>
        <w:rPr>
          <w:rFonts w:ascii="Times New Roman" w:hAnsi="Times New Roman" w:eastAsia="仿宋_GB2312" w:cs="Times New Roman"/>
          <w:color w:val="000000"/>
          <w:kern w:val="0"/>
          <w:sz w:val="32"/>
          <w:szCs w:val="32"/>
          <w:lang w:val="en-US" w:eastAsia="zh-CN" w:bidi="ar-SA"/>
        </w:rPr>
        <w:t>个、来宾</w:t>
      </w:r>
      <w:r>
        <w:rPr>
          <w:rFonts w:hint="eastAsia" w:ascii="Times New Roman" w:hAnsi="Times New Roman" w:eastAsia="仿宋_GB2312" w:cs="Times New Roman"/>
          <w:color w:val="000000"/>
          <w:kern w:val="0"/>
          <w:sz w:val="32"/>
          <w:szCs w:val="32"/>
          <w:lang w:val="en-US" w:eastAsia="zh-CN" w:bidi="ar-SA"/>
        </w:rPr>
        <w:t>163</w:t>
      </w:r>
      <w:r>
        <w:rPr>
          <w:rFonts w:ascii="Times New Roman" w:hAnsi="Times New Roman" w:eastAsia="仿宋_GB2312" w:cs="Times New Roman"/>
          <w:color w:val="000000"/>
          <w:kern w:val="0"/>
          <w:sz w:val="32"/>
          <w:szCs w:val="32"/>
          <w:lang w:val="en-US" w:eastAsia="zh-CN" w:bidi="ar-SA"/>
        </w:rPr>
        <w:t>人次，主要是</w:t>
      </w:r>
      <w:r>
        <w:rPr>
          <w:rFonts w:hint="eastAsia" w:ascii="Times New Roman" w:hAnsi="Times New Roman" w:eastAsia="仿宋_GB2312" w:cs="Times New Roman"/>
          <w:color w:val="000000"/>
          <w:kern w:val="0"/>
          <w:sz w:val="32"/>
          <w:szCs w:val="32"/>
          <w:lang w:val="en-US" w:eastAsia="zh-CN" w:bidi="ar-SA"/>
        </w:rPr>
        <w:t>用于与有关单位工作交流及接受相关部门督察、检查及指导工作</w:t>
      </w:r>
      <w:r>
        <w:rPr>
          <w:rFonts w:ascii="Times New Roman" w:hAnsi="Times New Roman" w:eastAsia="仿宋_GB2312" w:cs="Times New Roman"/>
          <w:color w:val="000000"/>
          <w:kern w:val="0"/>
          <w:sz w:val="32"/>
          <w:szCs w:val="32"/>
          <w:lang w:val="en-US" w:eastAsia="zh-CN" w:bidi="ar-SA"/>
        </w:rPr>
        <w:t>发生的接待支出</w:t>
      </w:r>
      <w:r>
        <w:rPr>
          <w:rFonts w:ascii="Times New Roman" w:hAnsi="Times New Roman" w:eastAsia="仿宋_GB2312" w:cs="Times New Roman"/>
          <w:sz w:val="32"/>
          <w:szCs w:val="32"/>
        </w:rPr>
        <w:t>。</w:t>
      </w:r>
    </w:p>
    <w:p w14:paraId="3D06ACE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5"/>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年度机关运行经费支出201.64万元，</w:t>
      </w:r>
      <w:r>
        <w:rPr>
          <w:rFonts w:hint="eastAsia" w:ascii="仿宋_GB2312" w:hAnsi="仿宋_GB2312" w:eastAsia="仿宋_GB2312" w:cs="仿宋_GB2312"/>
          <w:sz w:val="32"/>
          <w:szCs w:val="32"/>
          <w:highlight w:val="none"/>
        </w:rPr>
        <w:t>比上年决算数</w:t>
      </w:r>
      <w:r>
        <w:rPr>
          <w:rFonts w:hint="eastAsia" w:ascii="仿宋_GB2312" w:hAnsi="仿宋_GB2312" w:eastAsia="仿宋_GB2312" w:cs="仿宋_GB2312"/>
          <w:sz w:val="32"/>
          <w:szCs w:val="32"/>
          <w:highlight w:val="none"/>
          <w:lang w:val="en-US" w:eastAsia="zh-CN"/>
        </w:rPr>
        <w:t>减少</w:t>
      </w:r>
      <w:r>
        <w:rPr>
          <w:rFonts w:hint="eastAsia" w:ascii="仿宋_GB2312" w:hAnsi="仿宋_GB2312" w:eastAsia="仿宋_GB2312" w:cs="仿宋_GB2312"/>
          <w:sz w:val="32"/>
          <w:szCs w:val="32"/>
          <w:highlight w:val="none"/>
        </w:rPr>
        <w:t>30.84万元，降低</w:t>
      </w:r>
      <w:r>
        <w:rPr>
          <w:rFonts w:hint="eastAsia" w:ascii="仿宋_GB2312" w:hAnsi="仿宋_GB2312" w:eastAsia="仿宋_GB2312" w:cs="仿宋_GB2312"/>
          <w:sz w:val="32"/>
          <w:szCs w:val="32"/>
          <w:highlight w:val="none"/>
          <w:lang w:val="en-US" w:eastAsia="zh-CN"/>
        </w:rPr>
        <w:t>13.27</w:t>
      </w:r>
      <w:r>
        <w:rPr>
          <w:rFonts w:hint="eastAsia" w:ascii="仿宋_GB2312" w:hAnsi="仿宋_GB2312" w:eastAsia="仿宋_GB2312" w:cs="仿宋_GB2312"/>
          <w:sz w:val="32"/>
          <w:szCs w:val="32"/>
          <w:highlight w:val="none"/>
        </w:rPr>
        <w:t>%。主要原因是：其他交通费用</w:t>
      </w:r>
      <w:r>
        <w:rPr>
          <w:rFonts w:hint="eastAsia" w:ascii="仿宋_GB2312" w:hAnsi="仿宋_GB2312" w:eastAsia="仿宋_GB2312" w:cs="仿宋_GB2312"/>
          <w:sz w:val="32"/>
          <w:szCs w:val="32"/>
          <w:highlight w:val="none"/>
          <w:lang w:val="en-US" w:eastAsia="zh-CN"/>
        </w:rPr>
        <w:t>的减少。</w:t>
      </w:r>
    </w:p>
    <w:p w14:paraId="39684EF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BC426E8">
      <w:pPr>
        <w:pStyle w:val="15"/>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年度，会议费年初预算1.00万元，支出决算为0.00万元，完成年初预算的0.00%。用于召开0次会议，人数0人，内容为无。</w:t>
      </w:r>
    </w:p>
    <w:p w14:paraId="6BF1932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培训费年初预算1.00万元，支出决算为1.00万元，完成年初预算的100.00%。用于开展5次培训，人数400人，内容为生态环境执法、水土气等业务学习培训。</w:t>
      </w:r>
    </w:p>
    <w:p w14:paraId="39C2EAB5">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highlight w:val="yellow"/>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w:t>
      </w:r>
      <w:r>
        <w:rPr>
          <w:rFonts w:hint="eastAsia" w:ascii="仿宋_GB2312" w:hAnsi="仿宋_GB2312" w:eastAsia="仿宋_GB2312" w:cs="仿宋_GB2312"/>
          <w:sz w:val="32"/>
          <w:szCs w:val="32"/>
        </w:rPr>
        <w:t>由于预算数为0，无法计算完成年初预算的百分比，本单位无举办节庆、晚会、论坛、赛事等活动的预算和支出决算数</w:t>
      </w:r>
      <w:r>
        <w:rPr>
          <w:rFonts w:hint="eastAsia" w:ascii="仿宋_GB2312" w:hAnsi="仿宋_GB2312" w:eastAsia="仿宋_GB2312" w:cs="仿宋_GB2312"/>
          <w:color w:val="000000"/>
          <w:kern w:val="0"/>
          <w:sz w:val="32"/>
          <w:szCs w:val="32"/>
          <w:lang w:val="en-US" w:eastAsia="zh-CN" w:bidi="ar-SA"/>
        </w:rPr>
        <w:t>。</w:t>
      </w:r>
    </w:p>
    <w:p w14:paraId="252D0BEE">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年度政府采购支出总额794.02万元，其中：政府采购货物支出100.6</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17.89</w:t>
      </w:r>
      <w:r>
        <w:rPr>
          <w:rFonts w:hint="eastAsia" w:ascii="仿宋_GB2312" w:hAnsi="仿宋_GB2312" w:eastAsia="仿宋_GB2312" w:cs="仿宋_GB2312"/>
          <w:sz w:val="32"/>
          <w:szCs w:val="32"/>
        </w:rPr>
        <w:t>万元、政府采购服务支出675.45万元。授予中小企业合同金额794.02万元，占政府采购支出总额的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%，其中：授予小微企业合同金额794.02万元，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246A0DF6">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7C9D953">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辆，其他用车主要是</w:t>
      </w:r>
      <w:r>
        <w:rPr>
          <w:rFonts w:hint="eastAsia" w:ascii="Times New Roman" w:hAnsi="Times New Roman" w:eastAsia="仿宋_GB2312"/>
          <w:sz w:val="32"/>
          <w:szCs w:val="32"/>
          <w:lang w:val="en-US" w:eastAsia="zh-CN"/>
        </w:rPr>
        <w:t>待处置监察用车</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台（套）。</w:t>
      </w:r>
    </w:p>
    <w:p w14:paraId="0A8224AC">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3E6B6DCD">
      <w:pPr>
        <w:overflowPunct w:val="0"/>
        <w:spacing w:line="600" w:lineRule="exact"/>
        <w:ind w:firstLine="640" w:firstLineChars="200"/>
        <w:rPr>
          <w:rFonts w:hint="eastAsia" w:ascii="Times New Roman" w:hAnsi="Times New Roman" w:eastAsia="仿宋_GB2312" w:cs="Times New Roman"/>
          <w:kern w:val="0"/>
          <w:sz w:val="32"/>
          <w:szCs w:val="32"/>
          <w:highlight w:val="none"/>
          <w:lang w:eastAsia="zh-CN"/>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w:t>
      </w:r>
      <w:r>
        <w:rPr>
          <w:rFonts w:ascii="Times New Roman" w:hAnsi="Times New Roman" w:eastAsia="仿宋_GB2312" w:cs="Times New Roman"/>
          <w:kern w:val="0"/>
          <w:sz w:val="32"/>
          <w:szCs w:val="32"/>
          <w:highlight w:val="none"/>
        </w:rPr>
        <w:t>评，涉及项目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个，共涉及资金</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万元。其中，一般公共预算项目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万元，</w:t>
      </w:r>
      <w:r>
        <w:rPr>
          <w:rFonts w:hint="eastAsia" w:ascii="Times New Roman" w:hAnsi="Times New Roman" w:eastAsia="仿宋_GB2312" w:cs="Times New Roman"/>
          <w:kern w:val="0"/>
          <w:sz w:val="32"/>
          <w:szCs w:val="32"/>
          <w:highlight w:val="none"/>
        </w:rPr>
        <w:t>由于</w:t>
      </w:r>
      <w:r>
        <w:rPr>
          <w:rFonts w:ascii="Times New Roman" w:hAnsi="Times New Roman" w:eastAsia="仿宋_GB2312" w:cs="Times New Roman"/>
          <w:kern w:val="0"/>
          <w:sz w:val="32"/>
          <w:szCs w:val="32"/>
          <w:highlight w:val="none"/>
        </w:rPr>
        <w:t>一般公共预算</w:t>
      </w:r>
      <w:r>
        <w:rPr>
          <w:rFonts w:hint="eastAsia" w:ascii="Times New Roman" w:hAnsi="Times New Roman" w:eastAsia="仿宋_GB2312" w:cs="Times New Roman"/>
          <w:kern w:val="0"/>
          <w:sz w:val="32"/>
          <w:szCs w:val="32"/>
          <w:highlight w:val="none"/>
        </w:rPr>
        <w:t>项目支出</w:t>
      </w:r>
      <w:r>
        <w:rPr>
          <w:rFonts w:hint="eastAsia" w:ascii="Times New Roman" w:hAnsi="Times New Roman" w:eastAsia="仿宋_GB2312" w:cs="Times New Roman"/>
          <w:kern w:val="0"/>
          <w:sz w:val="32"/>
          <w:szCs w:val="32"/>
        </w:rPr>
        <w:t>总额为0，故无</w:t>
      </w:r>
      <w:bookmarkStart w:id="0" w:name="_GoBack"/>
      <w:bookmarkEnd w:id="0"/>
      <w:r>
        <w:rPr>
          <w:rFonts w:hint="eastAsia" w:ascii="Times New Roman" w:hAnsi="Times New Roman" w:eastAsia="仿宋_GB2312" w:cs="Times New Roman"/>
          <w:kern w:val="0"/>
          <w:sz w:val="32"/>
          <w:szCs w:val="32"/>
        </w:rPr>
        <w:t>法计算占政府性基金预算项目支出总额的比重</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rPr>
        <w:t>由于政府性基金预算项目支出总额为0，故无法计算占政府性基金预算项目支出总额的比重</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w:t>
      </w:r>
      <w:r>
        <w:rPr>
          <w:rFonts w:hint="eastAsia" w:ascii="仿宋_GB2312" w:hAnsi="仿宋_GB2312" w:eastAsia="仿宋_GB2312" w:cs="仿宋_GB2312"/>
          <w:b w:val="0"/>
          <w:bCs w:val="0"/>
          <w:color w:val="000000"/>
          <w:kern w:val="0"/>
          <w:sz w:val="32"/>
          <w:szCs w:val="32"/>
          <w:lang w:val="en-US" w:eastAsia="zh-CN" w:bidi="ar-SA"/>
        </w:rPr>
        <w:t>由于国有资本经营预算项目支出总额为0，故无法计算占国有资本经营预算项目支出总额的比重</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万元，</w:t>
      </w:r>
      <w:r>
        <w:rPr>
          <w:rFonts w:hint="eastAsia" w:ascii="仿宋_GB2312" w:hAnsi="仿宋_GB2312" w:eastAsia="仿宋_GB2312" w:cs="仿宋_GB2312"/>
          <w:b w:val="0"/>
          <w:bCs w:val="0"/>
          <w:color w:val="000000"/>
          <w:kern w:val="0"/>
          <w:sz w:val="32"/>
          <w:szCs w:val="32"/>
          <w:lang w:val="en-US" w:eastAsia="zh-CN" w:bidi="ar-SA"/>
        </w:rPr>
        <w:t>由于</w:t>
      </w:r>
      <w:r>
        <w:rPr>
          <w:rFonts w:ascii="Times New Roman" w:hAnsi="Times New Roman" w:eastAsia="仿宋_GB2312" w:cs="Times New Roman"/>
          <w:kern w:val="0"/>
          <w:sz w:val="32"/>
          <w:szCs w:val="32"/>
          <w:highlight w:val="none"/>
        </w:rPr>
        <w:t>社会保险基金预算</w:t>
      </w:r>
      <w:r>
        <w:rPr>
          <w:rFonts w:hint="eastAsia" w:ascii="仿宋_GB2312" w:hAnsi="仿宋_GB2312" w:eastAsia="仿宋_GB2312" w:cs="仿宋_GB2312"/>
          <w:b w:val="0"/>
          <w:bCs w:val="0"/>
          <w:color w:val="000000"/>
          <w:kern w:val="0"/>
          <w:sz w:val="32"/>
          <w:szCs w:val="32"/>
          <w:lang w:val="en-US" w:eastAsia="zh-CN" w:bidi="ar-SA"/>
        </w:rPr>
        <w:t>项目支出总额为0，故无法计算占</w:t>
      </w:r>
      <w:r>
        <w:rPr>
          <w:rFonts w:ascii="Times New Roman" w:hAnsi="Times New Roman" w:eastAsia="仿宋_GB2312" w:cs="Times New Roman"/>
          <w:kern w:val="0"/>
          <w:sz w:val="32"/>
          <w:szCs w:val="32"/>
          <w:highlight w:val="none"/>
        </w:rPr>
        <w:t>社会保险基金</w:t>
      </w:r>
      <w:r>
        <w:rPr>
          <w:rFonts w:hint="eastAsia" w:ascii="仿宋_GB2312" w:hAnsi="仿宋_GB2312" w:eastAsia="仿宋_GB2312" w:cs="仿宋_GB2312"/>
          <w:b w:val="0"/>
          <w:bCs w:val="0"/>
          <w:color w:val="000000"/>
          <w:kern w:val="0"/>
          <w:sz w:val="32"/>
          <w:szCs w:val="32"/>
          <w:lang w:val="en-US" w:eastAsia="zh-CN" w:bidi="ar-SA"/>
        </w:rPr>
        <w:t>预算项目支出总额的比重</w:t>
      </w:r>
      <w:r>
        <w:rPr>
          <w:rFonts w:ascii="Times New Roman" w:hAnsi="Times New Roman" w:eastAsia="仿宋_GB2312" w:cs="Times New Roman"/>
          <w:kern w:val="0"/>
          <w:sz w:val="32"/>
          <w:szCs w:val="32"/>
          <w:highlight w:val="none"/>
        </w:rPr>
        <w:t>。</w:t>
      </w:r>
    </w:p>
    <w:p w14:paraId="7C65853C">
      <w:pPr>
        <w:overflowPunct w:val="0"/>
        <w:spacing w:line="600" w:lineRule="exact"/>
        <w:ind w:firstLine="640" w:firstLineChars="200"/>
        <w:rPr>
          <w:rFonts w:hint="eastAsia" w:ascii="Times New Roman" w:hAnsi="Times New Roman" w:eastAsia="仿宋_GB2312" w:cs="Times New Roman"/>
          <w:color w:val="FF0000"/>
          <w:kern w:val="0"/>
          <w:sz w:val="32"/>
          <w:szCs w:val="32"/>
          <w:lang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仿宋_GB2312" w:hAnsi="仿宋_GB2312" w:eastAsia="仿宋_GB2312" w:cs="仿宋_GB2312"/>
          <w:b w:val="0"/>
          <w:bCs w:val="0"/>
          <w:color w:val="000000"/>
          <w:kern w:val="0"/>
          <w:sz w:val="32"/>
          <w:szCs w:val="32"/>
          <w:lang w:val="en-US" w:eastAsia="zh-CN" w:bidi="ar-SA"/>
        </w:rPr>
        <w:t>本单位为二级预算单位，部门评价开展情况可详见上级部门决算公开说明。</w:t>
      </w:r>
    </w:p>
    <w:p w14:paraId="004D01B3">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仿宋_GB2312" w:hAnsi="仿宋_GB2312" w:eastAsia="仿宋_GB2312" w:cs="仿宋_GB2312"/>
          <w:b w:val="0"/>
          <w:bCs w:val="0"/>
          <w:color w:val="000000"/>
          <w:kern w:val="0"/>
          <w:sz w:val="32"/>
          <w:szCs w:val="32"/>
          <w:lang w:val="en-US" w:eastAsia="zh-CN" w:bidi="ar-SA"/>
        </w:rPr>
        <w:t>本单位为二级预算单位，事前绩效评估开展情况可详见上级部门决算公开说明。</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21F9413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2391.54</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2300.74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96.20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97.62</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sz w:val="32"/>
          <w:szCs w:val="32"/>
        </w:rPr>
        <w:t>环境状况改善</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绿色发展稳步推进</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三是严守污染防治攻坚；四是推进环保督察整改</w:t>
      </w:r>
      <w:r>
        <w:rPr>
          <w:rFonts w:ascii="Times New Roman" w:hAnsi="Times New Roman" w:eastAsia="仿宋_GB2312" w:cs="Times New Roman"/>
          <w:sz w:val="32"/>
          <w:szCs w:val="32"/>
        </w:rPr>
        <w:t>。</w:t>
      </w:r>
    </w:p>
    <w:p w14:paraId="128377A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发现的主要问题及原因：</w:t>
      </w:r>
      <w:r>
        <w:rPr>
          <w:rFonts w:hint="eastAsia" w:ascii="Times New Roman" w:hAnsi="Times New Roman" w:eastAsia="仿宋_GB2312" w:cs="Times New Roman"/>
          <w:sz w:val="32"/>
          <w:szCs w:val="32"/>
        </w:rPr>
        <w:t>个别项目资金使用方面预算与实际存在差异。产生的主要原因</w:t>
      </w:r>
      <w:r>
        <w:rPr>
          <w:rFonts w:hint="eastAsia" w:ascii="Times New Roman" w:hAnsi="Times New Roman" w:eastAsia="仿宋_GB2312" w:cs="Times New Roman"/>
          <w:sz w:val="32"/>
          <w:szCs w:val="32"/>
          <w:lang w:val="en-US" w:eastAsia="zh-CN"/>
        </w:rPr>
        <w:t>是因为</w:t>
      </w:r>
      <w:r>
        <w:rPr>
          <w:rFonts w:hint="eastAsia" w:ascii="Times New Roman" w:hAnsi="Times New Roman" w:eastAsia="仿宋_GB2312" w:cs="Times New Roman"/>
          <w:sz w:val="32"/>
          <w:szCs w:val="32"/>
        </w:rPr>
        <w:t>面对生态环境保护的新形势，上级的新要求，群众的新期望还有差距，管理机制还不够顺畅，大多数乡镇独立的环保站办未实质设立，绩效管理水平有待提高，特别是绩效指标设置的科学性、合理性有待进一步改善。</w:t>
      </w:r>
    </w:p>
    <w:p w14:paraId="3F32372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s="Times New Roman"/>
          <w:kern w:val="0"/>
          <w:sz w:val="32"/>
          <w:szCs w:val="32"/>
          <w:lang w:eastAsia="zh-CN"/>
        </w:rPr>
      </w:pPr>
      <w:r>
        <w:rPr>
          <w:rFonts w:ascii="Times New Roman" w:hAnsi="Times New Roman" w:eastAsia="仿宋_GB2312" w:cs="Times New Roman"/>
          <w:sz w:val="32"/>
          <w:szCs w:val="32"/>
        </w:rPr>
        <w:t>下一步改进措施：一是</w:t>
      </w:r>
      <w:r>
        <w:rPr>
          <w:rFonts w:hint="eastAsia" w:ascii="Times New Roman" w:hAnsi="Times New Roman" w:eastAsia="仿宋_GB2312" w:cs="Times New Roman"/>
          <w:sz w:val="32"/>
          <w:szCs w:val="32"/>
        </w:rPr>
        <w:t>加强财务管理，严格财务审批。在费用报账支付时，按照预 算规定的费用项目和用途进行资金使用、审核，列报支付，财务 核算杜绝超支现象的发生</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加强培训。建议多开展部门整体绩效评价工作的业务工作培 训，组织开展部门之间、单位之间的经验交流，特别是要组织非 财务部门的人员参与评价工作，切实推进绩效评价工作的开展</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三是建议市财政进一步加大环境保护资金力度，保障水、气、土 攻坚“三大战役 ”持续推进，促进本辖区环境总体质量稳步提升</w:t>
      </w:r>
      <w:r>
        <w:rPr>
          <w:rFonts w:ascii="Times New Roman" w:hAnsi="Times New Roman" w:eastAsia="仿宋_GB2312" w:cs="Times New Roman"/>
          <w:sz w:val="32"/>
          <w:szCs w:val="32"/>
        </w:rPr>
        <w:t>。</w:t>
      </w:r>
    </w:p>
    <w:p w14:paraId="1F555EDA">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kern w:val="0"/>
          <w:sz w:val="32"/>
          <w:szCs w:val="32"/>
          <w:highlight w:val="none"/>
          <w:lang w:val="en-US" w:eastAsia="zh-CN" w:bidi="ar-SA"/>
        </w:rPr>
        <w:t>本单位为二级预算单位，部门评价结果可详见上级部门决算公开说明</w:t>
      </w:r>
      <w:r>
        <w:rPr>
          <w:rFonts w:ascii="Times New Roman" w:hAnsi="Times New Roman" w:eastAsia="仿宋_GB2312" w:cs="Times New Roman"/>
          <w:sz w:val="32"/>
          <w:szCs w:val="32"/>
        </w:rPr>
        <w:t>。</w:t>
      </w:r>
    </w:p>
    <w:p w14:paraId="5DC4775D">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kern w:val="0"/>
          <w:sz w:val="32"/>
          <w:szCs w:val="32"/>
          <w:highlight w:val="none"/>
          <w:lang w:val="en-US" w:eastAsia="zh-CN" w:bidi="ar-SA"/>
        </w:rPr>
        <w:t>本单位为二级预算单位，事前绩效评估结果可详见上级部门决算公开说明。</w:t>
      </w:r>
    </w:p>
    <w:p w14:paraId="2C89E516">
      <w:pPr>
        <w:numPr>
          <w:ilvl w:val="0"/>
          <w:numId w:val="3"/>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5E8AD5A5">
      <w:pPr>
        <w:autoSpaceDE w:val="0"/>
        <w:autoSpaceDN w:val="0"/>
        <w:adjustRightInd w:val="0"/>
        <w:ind w:firstLine="620" w:firstLineChars="200"/>
        <w:jc w:val="left"/>
        <w:rPr>
          <w:rFonts w:hint="eastAsia" w:ascii="仿宋_GB2312" w:hAnsi="仿宋_GB2312" w:eastAsia="仿宋_GB2312" w:cs="仿宋_GB2312"/>
          <w:b w:val="0"/>
          <w:bCs w:val="0"/>
          <w:sz w:val="32"/>
          <w:szCs w:val="32"/>
          <w:lang w:val="en-US" w:eastAsia="zh-CN"/>
        </w:rPr>
      </w:pPr>
      <w:r>
        <w:rPr>
          <w:rFonts w:hint="default" w:ascii="仿宋" w:hAnsi="仿宋" w:eastAsia="仿宋" w:cs="仿宋"/>
          <w:kern w:val="0"/>
          <w:sz w:val="31"/>
          <w:szCs w:val="31"/>
          <w:lang w:eastAsia="en-US"/>
        </w:rPr>
        <w:t>本单位绩效自评结果为</w:t>
      </w:r>
      <w:r>
        <w:rPr>
          <w:rFonts w:hint="eastAsia" w:ascii="仿宋" w:hAnsi="仿宋" w:eastAsia="仿宋" w:cs="仿宋"/>
          <w:kern w:val="0"/>
          <w:sz w:val="31"/>
          <w:szCs w:val="31"/>
          <w:lang w:eastAsia="zh-CN"/>
        </w:rPr>
        <w:t>优秀</w:t>
      </w:r>
      <w:r>
        <w:rPr>
          <w:rFonts w:hint="default" w:ascii="仿宋" w:hAnsi="仿宋" w:eastAsia="仿宋" w:cs="仿宋"/>
          <w:kern w:val="0"/>
          <w:sz w:val="31"/>
          <w:szCs w:val="31"/>
          <w:lang w:eastAsia="en-US"/>
        </w:rPr>
        <w:t>等级。下一步将根据财政检查绩效自评发现的问题等进行改善，并按政务公开的相关规定，</w:t>
      </w:r>
      <w:r>
        <w:rPr>
          <w:rFonts w:hint="eastAsia" w:ascii="仿宋_GB2312" w:hAnsi="仿宋_GB2312" w:eastAsia="仿宋_GB2312" w:cs="仿宋_GB2312"/>
          <w:b w:val="0"/>
          <w:bCs w:val="0"/>
          <w:sz w:val="32"/>
          <w:szCs w:val="32"/>
          <w:lang w:val="en-US" w:eastAsia="zh-CN"/>
        </w:rPr>
        <w:t>已在市政府部门财政预决算公开平台上向社会公开，详见附件。</w:t>
      </w:r>
    </w:p>
    <w:p w14:paraId="62BEA247">
      <w:pPr>
        <w:pStyle w:val="2"/>
        <w:rPr>
          <w:rFonts w:hint="eastAsia"/>
          <w:lang w:val="en-US" w:eastAsia="zh-CN"/>
        </w:rPr>
      </w:pPr>
    </w:p>
    <w:p w14:paraId="3971199E">
      <w:pPr>
        <w:numPr>
          <w:ilvl w:val="0"/>
          <w:numId w:val="0"/>
        </w:numPr>
        <w:autoSpaceDE w:val="0"/>
        <w:autoSpaceDN w:val="0"/>
        <w:adjustRightInd w:val="0"/>
        <w:jc w:val="left"/>
        <w:rPr>
          <w:sz w:val="72"/>
          <w:szCs w:val="72"/>
        </w:rPr>
      </w:pPr>
    </w:p>
    <w:p w14:paraId="147E06D0">
      <w:pPr>
        <w:pStyle w:val="15"/>
        <w:jc w:val="both"/>
        <w:rPr>
          <w:rFonts w:hint="eastAsia" w:ascii="方正小标宋_GBK" w:hAnsi="方正小标宋_GBK" w:eastAsia="方正小标宋_GBK" w:cs="方正小标宋_GBK"/>
          <w:sz w:val="24"/>
          <w:szCs w:val="24"/>
        </w:rPr>
      </w:pPr>
    </w:p>
    <w:p w14:paraId="5515AA26">
      <w:pPr>
        <w:pStyle w:val="15"/>
        <w:jc w:val="both"/>
        <w:rPr>
          <w:rFonts w:hint="eastAsia" w:ascii="方正小标宋_GBK" w:hAnsi="方正小标宋_GBK" w:eastAsia="方正小标宋_GBK" w:cs="方正小标宋_GBK"/>
          <w:sz w:val="24"/>
          <w:szCs w:val="24"/>
        </w:rPr>
      </w:pPr>
    </w:p>
    <w:p w14:paraId="2D4A1991">
      <w:pPr>
        <w:pStyle w:val="15"/>
        <w:jc w:val="both"/>
        <w:rPr>
          <w:rFonts w:hint="eastAsia" w:ascii="方正小标宋_GBK" w:hAnsi="方正小标宋_GBK" w:eastAsia="方正小标宋_GBK" w:cs="方正小标宋_GBK"/>
          <w:sz w:val="24"/>
          <w:szCs w:val="24"/>
        </w:rPr>
      </w:pPr>
    </w:p>
    <w:p w14:paraId="61121CB9">
      <w:pPr>
        <w:pStyle w:val="15"/>
        <w:jc w:val="both"/>
        <w:rPr>
          <w:rFonts w:hint="eastAsia" w:ascii="方正小标宋_GBK" w:hAnsi="方正小标宋_GBK" w:eastAsia="方正小标宋_GBK" w:cs="方正小标宋_GBK"/>
          <w:sz w:val="24"/>
          <w:szCs w:val="24"/>
        </w:rPr>
      </w:pPr>
    </w:p>
    <w:p w14:paraId="42B655A1">
      <w:pPr>
        <w:pStyle w:val="15"/>
        <w:jc w:val="both"/>
        <w:rPr>
          <w:rFonts w:hint="eastAsia" w:ascii="方正小标宋_GBK" w:hAnsi="方正小标宋_GBK" w:eastAsia="方正小标宋_GBK" w:cs="方正小标宋_GBK"/>
          <w:sz w:val="24"/>
          <w:szCs w:val="24"/>
        </w:rPr>
      </w:pPr>
    </w:p>
    <w:p w14:paraId="5C7B53F4">
      <w:pPr>
        <w:pStyle w:val="15"/>
        <w:jc w:val="both"/>
        <w:rPr>
          <w:rFonts w:hint="eastAsia" w:ascii="方正小标宋_GBK" w:hAnsi="方正小标宋_GBK" w:eastAsia="方正小标宋_GBK" w:cs="方正小标宋_GBK"/>
          <w:sz w:val="24"/>
          <w:szCs w:val="24"/>
        </w:rPr>
      </w:pPr>
    </w:p>
    <w:p w14:paraId="155F0A2A">
      <w:pPr>
        <w:pStyle w:val="15"/>
        <w:jc w:val="both"/>
        <w:rPr>
          <w:rFonts w:hint="eastAsia" w:ascii="方正小标宋_GBK" w:hAnsi="方正小标宋_GBK" w:eastAsia="方正小标宋_GBK" w:cs="方正小标宋_GBK"/>
          <w:sz w:val="24"/>
          <w:szCs w:val="24"/>
        </w:rPr>
      </w:pPr>
    </w:p>
    <w:p w14:paraId="7E5E1E77">
      <w:pPr>
        <w:pStyle w:val="15"/>
        <w:jc w:val="both"/>
        <w:rPr>
          <w:rFonts w:hint="eastAsia" w:ascii="方正小标宋_GBK" w:hAnsi="方正小标宋_GBK" w:eastAsia="方正小标宋_GBK" w:cs="方正小标宋_GBK"/>
          <w:sz w:val="24"/>
          <w:szCs w:val="24"/>
        </w:rPr>
      </w:pPr>
    </w:p>
    <w:p w14:paraId="0EAD01F6">
      <w:pPr>
        <w:pStyle w:val="15"/>
        <w:jc w:val="both"/>
        <w:rPr>
          <w:rFonts w:hint="eastAsia" w:ascii="方正小标宋_GBK" w:hAnsi="方正小标宋_GBK" w:eastAsia="方正小标宋_GBK" w:cs="方正小标宋_GBK"/>
          <w:sz w:val="24"/>
          <w:szCs w:val="24"/>
        </w:rPr>
      </w:pPr>
    </w:p>
    <w:p w14:paraId="62AB7D4C">
      <w:pPr>
        <w:pStyle w:val="15"/>
        <w:jc w:val="both"/>
        <w:rPr>
          <w:rFonts w:hint="eastAsia" w:ascii="方正小标宋_GBK" w:hAnsi="方正小标宋_GBK" w:eastAsia="方正小标宋_GBK" w:cs="方正小标宋_GBK"/>
          <w:sz w:val="24"/>
          <w:szCs w:val="24"/>
        </w:rPr>
      </w:pPr>
    </w:p>
    <w:p w14:paraId="34B3CC53">
      <w:pPr>
        <w:pStyle w:val="15"/>
        <w:jc w:val="both"/>
        <w:rPr>
          <w:rFonts w:hint="eastAsia" w:ascii="方正小标宋_GBK" w:hAnsi="方正小标宋_GBK" w:eastAsia="方正小标宋_GBK" w:cs="方正小标宋_GBK"/>
          <w:sz w:val="24"/>
          <w:szCs w:val="24"/>
        </w:rPr>
      </w:pPr>
    </w:p>
    <w:p w14:paraId="257638A7">
      <w:pPr>
        <w:pStyle w:val="15"/>
        <w:jc w:val="both"/>
        <w:rPr>
          <w:rFonts w:hint="eastAsia" w:ascii="方正小标宋_GBK" w:hAnsi="方正小标宋_GBK" w:eastAsia="方正小标宋_GBK" w:cs="方正小标宋_GBK"/>
          <w:sz w:val="24"/>
          <w:szCs w:val="24"/>
        </w:rPr>
      </w:pPr>
    </w:p>
    <w:p w14:paraId="3D83FDA1">
      <w:pPr>
        <w:pStyle w:val="15"/>
        <w:jc w:val="center"/>
        <w:rPr>
          <w:rFonts w:hint="eastAsia" w:ascii="方正小标宋_GBK" w:hAnsi="方正小标宋_GBK" w:eastAsia="方正小标宋_GBK" w:cs="方正小标宋_GBK"/>
          <w:sz w:val="72"/>
          <w:szCs w:val="72"/>
        </w:rPr>
      </w:pPr>
    </w:p>
    <w:p w14:paraId="6FB6F211">
      <w:pPr>
        <w:pStyle w:val="15"/>
        <w:jc w:val="center"/>
        <w:rPr>
          <w:rFonts w:hint="eastAsia" w:ascii="方正小标宋_GBK" w:hAnsi="方正小标宋_GBK" w:eastAsia="方正小标宋_GBK" w:cs="方正小标宋_GBK"/>
          <w:sz w:val="72"/>
          <w:szCs w:val="72"/>
        </w:rPr>
      </w:pPr>
    </w:p>
    <w:p w14:paraId="3A01B6B0">
      <w:pPr>
        <w:pStyle w:val="15"/>
        <w:jc w:val="center"/>
        <w:rPr>
          <w:rFonts w:hint="eastAsia" w:ascii="方正小标宋_GBK" w:hAnsi="方正小标宋_GBK" w:eastAsia="方正小标宋_GBK" w:cs="方正小标宋_GBK"/>
          <w:sz w:val="72"/>
          <w:szCs w:val="72"/>
        </w:rPr>
      </w:pPr>
    </w:p>
    <w:p w14:paraId="475C1000">
      <w:pPr>
        <w:pStyle w:val="15"/>
        <w:jc w:val="center"/>
        <w:rPr>
          <w:rFonts w:hint="eastAsia" w:ascii="方正小标宋_GBK" w:hAnsi="方正小标宋_GBK" w:eastAsia="方正小标宋_GBK" w:cs="方正小标宋_GBK"/>
          <w:sz w:val="72"/>
          <w:szCs w:val="72"/>
        </w:rPr>
      </w:pPr>
    </w:p>
    <w:p w14:paraId="6A5A782C">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2"/>
      </w:pPr>
    </w:p>
    <w:p w14:paraId="5331F884">
      <w:pPr>
        <w:pStyle w:val="3"/>
      </w:pPr>
    </w:p>
    <w:p w14:paraId="2CCAD852"/>
    <w:p w14:paraId="440E89DF">
      <w:pPr>
        <w:pStyle w:val="2"/>
      </w:pPr>
    </w:p>
    <w:p w14:paraId="645B9B76">
      <w:pPr>
        <w:pStyle w:val="3"/>
      </w:pPr>
    </w:p>
    <w:p w14:paraId="539F25AC"/>
    <w:p w14:paraId="47AFAB8F">
      <w:pPr>
        <w:pStyle w:val="2"/>
      </w:pPr>
    </w:p>
    <w:p w14:paraId="479D6353">
      <w:pPr>
        <w:pStyle w:val="3"/>
      </w:pPr>
    </w:p>
    <w:p w14:paraId="648103ED"/>
    <w:p w14:paraId="08A5EA8F">
      <w:pPr>
        <w:pStyle w:val="2"/>
      </w:pPr>
    </w:p>
    <w:p w14:paraId="3FD0BAB6">
      <w:pPr>
        <w:pStyle w:val="3"/>
      </w:pPr>
    </w:p>
    <w:p w14:paraId="1CAE18D7"/>
    <w:p w14:paraId="5994BDDC">
      <w:pPr>
        <w:pStyle w:val="2"/>
      </w:pPr>
    </w:p>
    <w:p w14:paraId="51F60F8D">
      <w:pPr>
        <w:pStyle w:val="3"/>
      </w:pPr>
    </w:p>
    <w:p w14:paraId="715B8195"/>
    <w:p w14:paraId="3F608935">
      <w:pPr>
        <w:pStyle w:val="2"/>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2"/>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185EC3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7D4850A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8EAE63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2AE81CE8">
      <w:pPr>
        <w:pStyle w:val="15"/>
        <w:jc w:val="center"/>
        <w:rPr>
          <w:rFonts w:hint="eastAsia" w:ascii="仿宋_GB2312" w:hAnsi="仿宋_GB2312" w:eastAsia="仿宋_GB2312" w:cs="仿宋_GB2312"/>
          <w:sz w:val="32"/>
          <w:szCs w:val="32"/>
        </w:rPr>
      </w:pPr>
    </w:p>
    <w:p w14:paraId="1D47518A">
      <w:pPr>
        <w:pStyle w:val="3"/>
      </w:pPr>
    </w:p>
    <w:p w14:paraId="580CF8E4"/>
    <w:p w14:paraId="0C17744C">
      <w:pPr>
        <w:pStyle w:val="2"/>
      </w:pPr>
    </w:p>
    <w:p w14:paraId="7B8BABF4">
      <w:pPr>
        <w:pStyle w:val="3"/>
      </w:pPr>
    </w:p>
    <w:p w14:paraId="1942C0DC"/>
    <w:p w14:paraId="6E2D1EEF">
      <w:pPr>
        <w:pStyle w:val="2"/>
      </w:pPr>
    </w:p>
    <w:p w14:paraId="5F6ABC3B">
      <w:pPr>
        <w:pStyle w:val="3"/>
      </w:pPr>
    </w:p>
    <w:p w14:paraId="51BE6437"/>
    <w:p w14:paraId="05344CBA">
      <w:pPr>
        <w:pStyle w:val="2"/>
      </w:pPr>
    </w:p>
    <w:p w14:paraId="5C9170AD">
      <w:pPr>
        <w:pStyle w:val="3"/>
      </w:pPr>
    </w:p>
    <w:p w14:paraId="29D3A91E"/>
    <w:p w14:paraId="0D2A994E">
      <w:pPr>
        <w:pStyle w:val="2"/>
      </w:pPr>
    </w:p>
    <w:p w14:paraId="59CBCCA7">
      <w:pPr>
        <w:pStyle w:val="3"/>
      </w:pPr>
    </w:p>
    <w:p w14:paraId="67806EBD"/>
    <w:p w14:paraId="7C18BB03">
      <w:pPr>
        <w:pStyle w:val="2"/>
      </w:pPr>
    </w:p>
    <w:p w14:paraId="29230CAD">
      <w:pPr>
        <w:pStyle w:val="3"/>
      </w:pPr>
    </w:p>
    <w:p w14:paraId="724E0A54"/>
    <w:p w14:paraId="496F732E">
      <w:pPr>
        <w:pStyle w:val="2"/>
      </w:pPr>
    </w:p>
    <w:p w14:paraId="354ECFD8">
      <w:pPr>
        <w:pStyle w:val="3"/>
      </w:pPr>
    </w:p>
    <w:p w14:paraId="51C67B38"/>
    <w:p w14:paraId="4D131F3E"/>
    <w:p w14:paraId="7CFBCE3C">
      <w:pPr>
        <w:pStyle w:val="2"/>
      </w:pPr>
    </w:p>
    <w:p w14:paraId="5C3DE094">
      <w:pPr>
        <w:pStyle w:val="15"/>
        <w:jc w:val="both"/>
        <w:rPr>
          <w:rFonts w:hint="eastAsia" w:ascii="方正小标宋_GBK" w:hAnsi="方正小标宋_GBK" w:eastAsia="方正小标宋_GBK" w:cs="方正小标宋_GBK"/>
          <w:sz w:val="72"/>
          <w:szCs w:val="72"/>
        </w:rPr>
      </w:pPr>
    </w:p>
    <w:p w14:paraId="0C1858E3">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5"/>
        <w:jc w:val="both"/>
        <w:rPr>
          <w:rFonts w:hint="eastAsia" w:ascii="方正小标宋_GBK" w:hAnsi="方正小标宋_GBK" w:eastAsia="方正小标宋_GBK" w:cs="方正小标宋_GBK"/>
          <w:sz w:val="70"/>
          <w:szCs w:val="70"/>
          <w:lang w:eastAsia="zh-CN"/>
        </w:rPr>
      </w:pPr>
    </w:p>
    <w:p w14:paraId="490142D3">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10CE025C">
      <w:pPr>
        <w:ind w:firstLine="640" w:firstLineChars="200"/>
        <w:jc w:val="left"/>
        <w:rPr>
          <w:rFonts w:hint="eastAsia" w:ascii="宋体" w:hAnsi="宋体" w:eastAsia="宋体" w:cs="黑体"/>
          <w:b/>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2B08EF73">
      <w:pPr>
        <w:ind w:firstLine="640" w:firstLineChars="200"/>
        <w:jc w:val="left"/>
        <w:rPr>
          <w:rFonts w:hint="default"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3、2024年度部门整体支出绩效评价基础数据表</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4、2024年度部门整体支出绩效自评表</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A7A42287"/>
    <w:multiLevelType w:val="singleLevel"/>
    <w:tmpl w:val="A7A42287"/>
    <w:lvl w:ilvl="0" w:tentative="0">
      <w:start w:val="2"/>
      <w:numFmt w:val="chineseCounting"/>
      <w:suff w:val="nothing"/>
      <w:lvlText w:val="（%1）"/>
      <w:lvlJc w:val="left"/>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F86D25"/>
    <w:rsid w:val="040556DD"/>
    <w:rsid w:val="04581CB1"/>
    <w:rsid w:val="059958AD"/>
    <w:rsid w:val="062C7F08"/>
    <w:rsid w:val="06C857E7"/>
    <w:rsid w:val="08C24A73"/>
    <w:rsid w:val="091A5787"/>
    <w:rsid w:val="114809B7"/>
    <w:rsid w:val="11916802"/>
    <w:rsid w:val="11944E2C"/>
    <w:rsid w:val="12583BA5"/>
    <w:rsid w:val="130A686C"/>
    <w:rsid w:val="13BA5B9C"/>
    <w:rsid w:val="17822D92"/>
    <w:rsid w:val="178D2CFF"/>
    <w:rsid w:val="1D97DEFF"/>
    <w:rsid w:val="1DFF72E5"/>
    <w:rsid w:val="1EFC6F07"/>
    <w:rsid w:val="1F0527A6"/>
    <w:rsid w:val="1F3F789D"/>
    <w:rsid w:val="20735A50"/>
    <w:rsid w:val="22AC03C2"/>
    <w:rsid w:val="22DF75A1"/>
    <w:rsid w:val="23DF164F"/>
    <w:rsid w:val="283B15FE"/>
    <w:rsid w:val="2FDF85B8"/>
    <w:rsid w:val="2FFFEE04"/>
    <w:rsid w:val="313905F0"/>
    <w:rsid w:val="31C95635"/>
    <w:rsid w:val="322F37A1"/>
    <w:rsid w:val="34A264AC"/>
    <w:rsid w:val="34DF85B0"/>
    <w:rsid w:val="363E0457"/>
    <w:rsid w:val="38B844F1"/>
    <w:rsid w:val="3959069F"/>
    <w:rsid w:val="3B8F36BC"/>
    <w:rsid w:val="43EB5BA5"/>
    <w:rsid w:val="46350031"/>
    <w:rsid w:val="46780E1B"/>
    <w:rsid w:val="477F61D9"/>
    <w:rsid w:val="491FF225"/>
    <w:rsid w:val="4AE23F26"/>
    <w:rsid w:val="4EC310A1"/>
    <w:rsid w:val="4FFD214C"/>
    <w:rsid w:val="50AF18DD"/>
    <w:rsid w:val="5352765A"/>
    <w:rsid w:val="55956812"/>
    <w:rsid w:val="55A848AF"/>
    <w:rsid w:val="5777D4F5"/>
    <w:rsid w:val="57F22B6F"/>
    <w:rsid w:val="59DD8326"/>
    <w:rsid w:val="5AC73C28"/>
    <w:rsid w:val="5D0D28E7"/>
    <w:rsid w:val="5DEF592A"/>
    <w:rsid w:val="5E847AE3"/>
    <w:rsid w:val="5E8B1BDC"/>
    <w:rsid w:val="5FC6BB1E"/>
    <w:rsid w:val="5FF720F1"/>
    <w:rsid w:val="608C2479"/>
    <w:rsid w:val="622964C1"/>
    <w:rsid w:val="637779CB"/>
    <w:rsid w:val="660A5ADC"/>
    <w:rsid w:val="66674C72"/>
    <w:rsid w:val="67FF5C0B"/>
    <w:rsid w:val="69935DE8"/>
    <w:rsid w:val="6A18009C"/>
    <w:rsid w:val="6B9272ED"/>
    <w:rsid w:val="6BAA4A2F"/>
    <w:rsid w:val="6BB11DBB"/>
    <w:rsid w:val="6DDEC5C0"/>
    <w:rsid w:val="6EFC0924"/>
    <w:rsid w:val="6FB74722"/>
    <w:rsid w:val="6FEF8B7E"/>
    <w:rsid w:val="717FE77F"/>
    <w:rsid w:val="71A6591B"/>
    <w:rsid w:val="737D59BA"/>
    <w:rsid w:val="737F32B1"/>
    <w:rsid w:val="73BD3FCA"/>
    <w:rsid w:val="755A1EB0"/>
    <w:rsid w:val="75A5137D"/>
    <w:rsid w:val="776BDA01"/>
    <w:rsid w:val="777C68CC"/>
    <w:rsid w:val="77C37683"/>
    <w:rsid w:val="79D55FA9"/>
    <w:rsid w:val="79FF515B"/>
    <w:rsid w:val="7DFBFF20"/>
    <w:rsid w:val="7E9E1962"/>
    <w:rsid w:val="7E9F11B4"/>
    <w:rsid w:val="7F37EC1E"/>
    <w:rsid w:val="7F7C0DDA"/>
    <w:rsid w:val="7F7DCD9D"/>
    <w:rsid w:val="7F840255"/>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semiHidden/>
    <w:qFormat/>
    <w:uiPriority w:val="0"/>
    <w:pPr>
      <w:widowControl w:val="0"/>
      <w:jc w:val="both"/>
    </w:pPr>
    <w:rPr>
      <w:rFonts w:ascii="仿宋" w:hAnsi="仿宋" w:eastAsia="仿宋" w:cs="仿宋"/>
      <w:kern w:val="2"/>
      <w:sz w:val="31"/>
      <w:szCs w:val="31"/>
      <w:lang w:val="en-US" w:eastAsia="en-US" w:bidi="ar-SA"/>
    </w:rPr>
  </w:style>
  <w:style w:type="paragraph" w:styleId="6">
    <w:name w:val="toc 5"/>
    <w:next w:val="1"/>
    <w:unhideWhenUsed/>
    <w:qFormat/>
    <w:uiPriority w:val="0"/>
    <w:pPr>
      <w:widowControl w:val="0"/>
      <w:ind w:left="1680" w:leftChars="800"/>
      <w:jc w:val="both"/>
    </w:pPr>
    <w:rPr>
      <w:rFonts w:hint="eastAsia" w:ascii="Calibri" w:hAnsi="Calibri" w:eastAsia="宋体" w:cs="Times New Roman"/>
      <w:kern w:val="2"/>
      <w:sz w:val="21"/>
      <w:szCs w:val="24"/>
      <w:lang w:val="en-US" w:eastAsia="zh-CN" w:bidi="ar-SA"/>
    </w:rPr>
  </w:style>
  <w:style w:type="paragraph" w:styleId="7">
    <w:name w:val="Balloon Text"/>
    <w:basedOn w:val="1"/>
    <w:link w:val="17"/>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qFormat/>
    <w:uiPriority w:val="0"/>
    <w:pPr>
      <w:widowControl w:val="0"/>
      <w:spacing w:before="100" w:beforeAutospacing="1" w:after="100" w:afterAutospacing="1"/>
      <w:ind w:left="0" w:right="0"/>
      <w:jc w:val="left"/>
    </w:pPr>
    <w:rPr>
      <w:rFonts w:asciiTheme="minorHAnsi" w:hAnsiTheme="minorHAnsi" w:eastAsiaTheme="minorEastAsia" w:cstheme="minorBidi"/>
      <w:kern w:val="0"/>
      <w:sz w:val="24"/>
      <w:szCs w:val="22"/>
      <w:lang w:val="en-US" w:eastAsia="zh-CN" w:bidi="ar"/>
    </w:rPr>
  </w:style>
  <w:style w:type="character" w:customStyle="1" w:styleId="13">
    <w:name w:val="页眉 Char"/>
    <w:basedOn w:val="12"/>
    <w:link w:val="9"/>
    <w:qFormat/>
    <w:uiPriority w:val="99"/>
    <w:rPr>
      <w:sz w:val="18"/>
      <w:szCs w:val="18"/>
    </w:rPr>
  </w:style>
  <w:style w:type="character" w:customStyle="1" w:styleId="14">
    <w:name w:val="页脚 Char"/>
    <w:basedOn w:val="12"/>
    <w:link w:val="8"/>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7"/>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9329</Words>
  <Characters>10051</Characters>
  <Lines>63</Lines>
  <Paragraphs>18</Paragraphs>
  <TotalTime>2</TotalTime>
  <ScaleCrop>false</ScaleCrop>
  <LinksUpToDate>false</LinksUpToDate>
  <CharactersWithSpaces>10068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Y</cp:lastModifiedBy>
  <cp:lastPrinted>2024-08-11T02:20:00Z</cp:lastPrinted>
  <dcterms:modified xsi:type="dcterms:W3CDTF">2025-09-24T09:36:20Z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3F6ADE6BFBC74D73AB6152AE0F8C7A9A_13</vt:lpwstr>
  </property>
  <property fmtid="{D5CDD505-2E9C-101B-9397-08002B2CF9AE}" pid="4" name="KSOTemplateDocerSaveRecord">
    <vt:lpwstr>eyJoZGlkIjoiYTI1ZWRhODIzZjNkMzE5ODI3Y2UwZTM2NjQ3YjE4YjIiLCJ1c2VySWQiOiI1Mzg0MzA5MzAifQ==</vt:lpwstr>
  </property>
</Properties>
</file>