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47E6">
      <w:pPr>
        <w:spacing w:line="1200" w:lineRule="exact"/>
        <w:ind w:left="0" w:leftChars="0" w:firstLine="0" w:firstLineChars="0"/>
        <w:jc w:val="center"/>
        <w:rPr>
          <w:rFonts w:hint="default" w:ascii="楷体_GB2312" w:hAnsi="宋体" w:eastAsia="楷体_GB2312"/>
          <w:b/>
          <w:sz w:val="32"/>
          <w:szCs w:val="32"/>
          <w:lang w:val="en-US" w:eastAsia="zh-CN"/>
        </w:rPr>
      </w:pPr>
      <w:r>
        <w:rPr>
          <w:rFonts w:hint="eastAsia" w:ascii="楷体_GB2312" w:hAnsi="宋体" w:eastAsia="楷体_GB2312"/>
          <w:b/>
          <w:sz w:val="32"/>
          <w:szCs w:val="32"/>
          <w:lang w:eastAsia="zh-CN"/>
        </w:rPr>
        <w:t>岳阳市</w:t>
      </w:r>
      <w:r>
        <w:rPr>
          <w:rFonts w:hint="eastAsia" w:ascii="楷体_GB2312" w:hAnsi="宋体" w:eastAsia="楷体_GB2312"/>
          <w:b/>
          <w:sz w:val="32"/>
          <w:szCs w:val="32"/>
          <w:lang w:val="en-US" w:eastAsia="zh-CN"/>
        </w:rPr>
        <w:t>自然资源和规划局</w:t>
      </w:r>
      <w:r>
        <w:rPr>
          <w:rFonts w:hint="eastAsia" w:ascii="楷体_GB2312" w:hAnsi="宋体" w:eastAsia="楷体_GB2312"/>
          <w:b/>
          <w:sz w:val="32"/>
          <w:szCs w:val="32"/>
          <w:lang w:eastAsia="zh-CN"/>
        </w:rPr>
        <w:t>整体支出</w:t>
      </w:r>
    </w:p>
    <w:p w14:paraId="5200DF81">
      <w:pPr>
        <w:spacing w:line="1200" w:lineRule="exact"/>
        <w:jc w:val="center"/>
        <w:rPr>
          <w:rFonts w:hint="eastAsia" w:ascii="楷体_GB2312" w:hAnsi="宋体" w:eastAsia="楷体_GB2312"/>
          <w:b/>
          <w:bCs/>
          <w:spacing w:val="152"/>
          <w:sz w:val="84"/>
          <w:szCs w:val="84"/>
        </w:rPr>
      </w:pPr>
      <w:r>
        <w:rPr>
          <w:rFonts w:hint="eastAsia" w:ascii="楷体_GB2312" w:hAnsi="宋体" w:eastAsia="楷体_GB2312"/>
          <w:b/>
          <w:bCs/>
          <w:spacing w:val="152"/>
          <w:sz w:val="72"/>
          <w:szCs w:val="72"/>
        </w:rPr>
        <w:t>绩效</w:t>
      </w:r>
      <w:r>
        <w:rPr>
          <w:rFonts w:hint="eastAsia" w:ascii="楷体_GB2312" w:hAnsi="宋体" w:eastAsia="楷体_GB2312"/>
          <w:b/>
          <w:bCs/>
          <w:spacing w:val="152"/>
          <w:sz w:val="72"/>
          <w:szCs w:val="72"/>
          <w:lang w:val="en-US" w:eastAsia="zh-CN"/>
        </w:rPr>
        <w:t>自</w:t>
      </w:r>
      <w:r>
        <w:rPr>
          <w:rFonts w:hint="eastAsia" w:ascii="楷体_GB2312" w:hAnsi="宋体" w:eastAsia="楷体_GB2312"/>
          <w:b/>
          <w:bCs/>
          <w:spacing w:val="152"/>
          <w:sz w:val="72"/>
          <w:szCs w:val="72"/>
        </w:rPr>
        <w:t>评报告书</w:t>
      </w:r>
    </w:p>
    <w:p w14:paraId="76D01131">
      <w:pPr>
        <w:spacing w:line="760" w:lineRule="exact"/>
        <w:jc w:val="center"/>
        <w:outlineLvl w:val="0"/>
        <w:rPr>
          <w:rFonts w:hint="eastAsia" w:ascii="楷体_GB2312" w:hAnsi="宋体" w:eastAsia="楷体_GB2312"/>
          <w:b/>
          <w:bCs/>
          <w:color w:val="FF0000"/>
          <w:sz w:val="32"/>
          <w:szCs w:val="32"/>
        </w:rPr>
      </w:pPr>
      <w:r>
        <w:rPr>
          <w:rFonts w:hint="eastAsia" w:ascii="楷体_GB2312" w:hAnsi="宋体" w:eastAsia="楷体_GB2312"/>
          <w:b/>
          <w:bCs/>
          <w:sz w:val="32"/>
          <w:szCs w:val="32"/>
        </w:rPr>
        <w:t>湘恒兴专审字（</w:t>
      </w:r>
      <w:r>
        <w:rPr>
          <w:rFonts w:hint="eastAsia" w:ascii="楷体_GB2312" w:hAnsi="宋体" w:eastAsia="楷体_GB2312"/>
          <w:b/>
          <w:bCs/>
          <w:sz w:val="32"/>
          <w:szCs w:val="32"/>
          <w:lang w:val="en-US" w:eastAsia="zh-CN"/>
        </w:rPr>
        <w:t>2022</w:t>
      </w:r>
      <w:r>
        <w:rPr>
          <w:rFonts w:hint="eastAsia" w:ascii="楷体_GB2312" w:hAnsi="宋体" w:eastAsia="楷体_GB2312"/>
          <w:b/>
          <w:bCs/>
          <w:sz w:val="32"/>
          <w:szCs w:val="32"/>
        </w:rPr>
        <w:t>）</w:t>
      </w:r>
      <w:r>
        <w:rPr>
          <w:rFonts w:hint="eastAsia" w:ascii="楷体_GB2312" w:hAnsi="宋体" w:eastAsia="楷体_GB2312"/>
          <w:b/>
          <w:bCs/>
          <w:color w:val="auto"/>
          <w:sz w:val="32"/>
          <w:szCs w:val="32"/>
        </w:rPr>
        <w:t>第</w:t>
      </w:r>
      <w:r>
        <w:rPr>
          <w:rFonts w:hint="eastAsia" w:ascii="楷体_GB2312" w:hAnsi="宋体" w:eastAsia="楷体_GB2312"/>
          <w:b/>
          <w:bCs/>
          <w:color w:val="auto"/>
          <w:sz w:val="32"/>
          <w:szCs w:val="32"/>
          <w:lang w:val="en-US" w:eastAsia="zh-CN"/>
        </w:rPr>
        <w:t>00</w:t>
      </w:r>
      <w:r>
        <w:rPr>
          <w:rFonts w:hint="eastAsia" w:ascii="楷体_GB2312" w:hAnsi="宋体" w:eastAsia="楷体_GB2312"/>
          <w:b/>
          <w:bCs/>
          <w:color w:val="auto"/>
          <w:sz w:val="32"/>
          <w:szCs w:val="32"/>
        </w:rPr>
        <w:t>号</w:t>
      </w:r>
    </w:p>
    <w:p w14:paraId="601CA105">
      <w:pPr>
        <w:spacing w:line="760" w:lineRule="exact"/>
        <w:jc w:val="center"/>
        <w:rPr>
          <w:rFonts w:hint="eastAsia" w:ascii="楷体_GB2312" w:hAnsi="宋体" w:eastAsia="楷体_GB2312"/>
          <w:b/>
          <w:bCs/>
        </w:rPr>
      </w:pPr>
    </w:p>
    <w:p w14:paraId="1D658BD6">
      <w:pPr>
        <w:spacing w:line="760" w:lineRule="exact"/>
        <w:jc w:val="center"/>
        <w:rPr>
          <w:rFonts w:hint="eastAsia" w:ascii="楷体_GB2312" w:hAnsi="宋体" w:eastAsia="楷体_GB2312"/>
          <w:b/>
          <w:bCs/>
        </w:rPr>
      </w:pPr>
    </w:p>
    <w:p w14:paraId="3937619A">
      <w:pPr>
        <w:spacing w:line="760" w:lineRule="exact"/>
        <w:jc w:val="center"/>
        <w:rPr>
          <w:rFonts w:hint="eastAsia" w:ascii="楷体_GB2312" w:hAnsi="宋体" w:eastAsia="楷体_GB2312"/>
          <w:b/>
          <w:bCs/>
        </w:rPr>
      </w:pPr>
    </w:p>
    <w:p w14:paraId="47D41620">
      <w:pPr>
        <w:spacing w:line="760" w:lineRule="exact"/>
        <w:jc w:val="center"/>
        <w:rPr>
          <w:rFonts w:hint="eastAsia" w:ascii="楷体_GB2312" w:hAnsi="宋体" w:eastAsia="楷体_GB2312"/>
          <w:b/>
          <w:bCs/>
        </w:rPr>
      </w:pPr>
    </w:p>
    <w:p w14:paraId="64B755C9">
      <w:pPr>
        <w:spacing w:line="760" w:lineRule="exact"/>
        <w:rPr>
          <w:rFonts w:hint="eastAsia" w:ascii="楷体_GB2312" w:hAnsi="宋体" w:eastAsia="楷体_GB2312"/>
          <w:b/>
          <w:bCs/>
        </w:rPr>
      </w:pPr>
    </w:p>
    <w:p w14:paraId="7061A4C1">
      <w:pPr>
        <w:spacing w:line="760" w:lineRule="exact"/>
        <w:rPr>
          <w:rFonts w:hint="eastAsia" w:ascii="楷体_GB2312" w:hAnsi="宋体" w:eastAsia="楷体_GB2312"/>
          <w:b/>
          <w:bCs/>
        </w:rPr>
      </w:pPr>
    </w:p>
    <w:p w14:paraId="70BC6195">
      <w:pPr>
        <w:spacing w:line="760" w:lineRule="exact"/>
        <w:rPr>
          <w:rFonts w:hint="eastAsia" w:ascii="楷体_GB2312" w:hAnsi="宋体" w:eastAsia="楷体_GB2312"/>
          <w:b/>
          <w:bCs/>
        </w:rPr>
      </w:pPr>
    </w:p>
    <w:p w14:paraId="289C8F90">
      <w:pPr>
        <w:spacing w:line="760" w:lineRule="exact"/>
        <w:rPr>
          <w:rFonts w:hint="eastAsia" w:ascii="楷体_GB2312" w:hAnsi="宋体" w:eastAsia="楷体_GB2312"/>
          <w:b/>
          <w:bCs/>
        </w:rPr>
      </w:pPr>
    </w:p>
    <w:p w14:paraId="2DB016A7">
      <w:pPr>
        <w:spacing w:line="760" w:lineRule="exact"/>
        <w:rPr>
          <w:rFonts w:hint="eastAsia" w:ascii="楷体_GB2312" w:hAnsi="宋体" w:eastAsia="楷体_GB2312"/>
          <w:b/>
          <w:bCs/>
        </w:rPr>
      </w:pPr>
    </w:p>
    <w:p w14:paraId="64F5927E">
      <w:pPr>
        <w:spacing w:line="760" w:lineRule="exact"/>
        <w:rPr>
          <w:rFonts w:hint="eastAsia" w:ascii="楷体_GB2312" w:hAnsi="宋体" w:eastAsia="楷体_GB2312"/>
          <w:b/>
          <w:bCs/>
        </w:rPr>
      </w:pPr>
    </w:p>
    <w:p w14:paraId="110E7A1A">
      <w:pPr>
        <w:keepNext w:val="0"/>
        <w:keepLines w:val="0"/>
        <w:pageBreakBefore w:val="0"/>
        <w:widowControl w:val="0"/>
        <w:kinsoku/>
        <w:wordWrap/>
        <w:overflowPunct/>
        <w:topLinePunct w:val="0"/>
        <w:autoSpaceDE/>
        <w:autoSpaceDN/>
        <w:bidi w:val="0"/>
        <w:adjustRightInd/>
        <w:snapToGrid/>
        <w:spacing w:line="400" w:lineRule="exact"/>
        <w:ind w:firstLine="1805" w:firstLineChars="500"/>
        <w:jc w:val="both"/>
        <w:textAlignment w:val="auto"/>
        <w:outlineLvl w:val="0"/>
        <w:rPr>
          <w:rFonts w:hint="eastAsia" w:ascii="楷体_GB2312" w:hAnsi="宋体" w:eastAsia="楷体_GB2312"/>
          <w:b/>
          <w:bCs/>
          <w:spacing w:val="40"/>
          <w:sz w:val="28"/>
          <w:szCs w:val="28"/>
        </w:rPr>
      </w:pPr>
    </w:p>
    <w:p w14:paraId="065FA250">
      <w:pPr>
        <w:keepNext w:val="0"/>
        <w:keepLines w:val="0"/>
        <w:pageBreakBefore w:val="0"/>
        <w:widowControl w:val="0"/>
        <w:kinsoku/>
        <w:wordWrap/>
        <w:overflowPunct/>
        <w:topLinePunct w:val="0"/>
        <w:autoSpaceDE/>
        <w:autoSpaceDN/>
        <w:bidi w:val="0"/>
        <w:adjustRightInd/>
        <w:snapToGrid/>
        <w:spacing w:line="400" w:lineRule="exact"/>
        <w:ind w:firstLine="1805" w:firstLineChars="500"/>
        <w:jc w:val="both"/>
        <w:textAlignment w:val="auto"/>
        <w:outlineLvl w:val="0"/>
        <w:rPr>
          <w:rFonts w:hint="eastAsia" w:ascii="楷体_GB2312" w:hAnsi="宋体" w:eastAsia="楷体_GB2312"/>
          <w:b/>
          <w:bCs/>
          <w:spacing w:val="40"/>
          <w:sz w:val="28"/>
          <w:szCs w:val="28"/>
        </w:rPr>
      </w:pPr>
    </w:p>
    <w:p w14:paraId="7AD3C995">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楷体_GB2312" w:hAnsi="宋体" w:eastAsia="楷体_GB2312"/>
          <w:b/>
          <w:bCs/>
          <w:spacing w:val="40"/>
          <w:sz w:val="30"/>
          <w:szCs w:val="30"/>
        </w:rPr>
      </w:pPr>
    </w:p>
    <w:p w14:paraId="6169946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楷体_GB2312" w:hAnsi="宋体" w:eastAsia="楷体_GB2312"/>
          <w:b/>
          <w:bCs/>
          <w:spacing w:val="40"/>
          <w:sz w:val="30"/>
          <w:szCs w:val="30"/>
        </w:rPr>
      </w:pPr>
    </w:p>
    <w:p w14:paraId="1588F26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楷体_GB2312" w:hAnsi="宋体" w:eastAsia="楷体_GB2312"/>
          <w:b/>
          <w:bCs/>
          <w:spacing w:val="40"/>
          <w:sz w:val="30"/>
          <w:szCs w:val="30"/>
          <w:lang w:val="en-US" w:eastAsia="zh-CN"/>
        </w:rPr>
      </w:pPr>
      <w:r>
        <w:rPr>
          <w:rFonts w:hint="eastAsia" w:ascii="楷体_GB2312" w:hAnsi="宋体" w:eastAsia="楷体_GB2312"/>
          <w:b/>
          <w:bCs/>
          <w:spacing w:val="40"/>
          <w:sz w:val="30"/>
          <w:szCs w:val="30"/>
        </w:rPr>
        <w:t>湖南恒兴联合会计师事务所</w:t>
      </w:r>
    </w:p>
    <w:p w14:paraId="4D05A81E">
      <w:pPr>
        <w:spacing w:line="760" w:lineRule="exact"/>
        <w:jc w:val="center"/>
        <w:rPr>
          <w:rFonts w:hint="eastAsia" w:ascii="楷体_GB2312" w:hAnsi="宋体" w:eastAsia="楷体_GB2312"/>
          <w:b/>
          <w:bCs/>
          <w:sz w:val="30"/>
          <w:szCs w:val="30"/>
        </w:rPr>
      </w:pPr>
      <w:r>
        <w:rPr>
          <w:rFonts w:hint="eastAsia" w:ascii="楷体_GB2312" w:hAnsi="宋体" w:eastAsia="楷体_GB2312"/>
          <w:b/>
          <w:bCs/>
          <w:sz w:val="30"/>
          <w:szCs w:val="30"/>
        </w:rPr>
        <w:t>二</w:t>
      </w:r>
      <w:r>
        <w:rPr>
          <w:rFonts w:hint="eastAsia" w:ascii="楷体_GB2312" w:hAnsi="宋体" w:eastAsia="楷体_GB2312"/>
          <w:b/>
          <w:bCs/>
          <w:sz w:val="30"/>
          <w:szCs w:val="30"/>
          <w:lang w:eastAsia="zh-CN"/>
        </w:rPr>
        <w:t>〇</w:t>
      </w:r>
      <w:r>
        <w:rPr>
          <w:rFonts w:hint="eastAsia" w:ascii="楷体_GB2312" w:hAnsi="宋体" w:eastAsia="楷体_GB2312"/>
          <w:b/>
          <w:bCs/>
          <w:sz w:val="30"/>
          <w:szCs w:val="30"/>
        </w:rPr>
        <w:t>二</w:t>
      </w:r>
      <w:r>
        <w:rPr>
          <w:rFonts w:hint="eastAsia" w:ascii="楷体_GB2312" w:hAnsi="宋体" w:eastAsia="楷体_GB2312"/>
          <w:b/>
          <w:bCs/>
          <w:sz w:val="30"/>
          <w:szCs w:val="30"/>
          <w:lang w:val="en-US" w:eastAsia="zh-CN"/>
        </w:rPr>
        <w:t>二</w:t>
      </w:r>
      <w:r>
        <w:rPr>
          <w:rFonts w:hint="eastAsia" w:ascii="楷体_GB2312" w:hAnsi="宋体" w:eastAsia="楷体_GB2312"/>
          <w:b/>
          <w:bCs/>
          <w:sz w:val="30"/>
          <w:szCs w:val="30"/>
        </w:rPr>
        <w:t>年</w:t>
      </w:r>
      <w:r>
        <w:rPr>
          <w:rFonts w:hint="eastAsia" w:ascii="楷体_GB2312" w:hAnsi="宋体" w:eastAsia="楷体_GB2312"/>
          <w:b/>
          <w:bCs/>
          <w:sz w:val="30"/>
          <w:szCs w:val="30"/>
          <w:lang w:val="en-US" w:eastAsia="zh-CN"/>
        </w:rPr>
        <w:t>九</w:t>
      </w:r>
      <w:r>
        <w:rPr>
          <w:rFonts w:hint="eastAsia" w:ascii="楷体_GB2312" w:hAnsi="宋体" w:eastAsia="楷体_GB2312"/>
          <w:b/>
          <w:bCs/>
          <w:sz w:val="30"/>
          <w:szCs w:val="30"/>
        </w:rPr>
        <w:t>月</w:t>
      </w:r>
    </w:p>
    <w:p w14:paraId="33A2D95E">
      <w:pPr>
        <w:spacing w:line="348" w:lineRule="auto"/>
        <w:jc w:val="center"/>
        <w:rPr>
          <w:rFonts w:hint="eastAsia" w:eastAsia="方正小标宋简体"/>
          <w:bCs/>
          <w:sz w:val="42"/>
          <w:szCs w:val="42"/>
        </w:rPr>
      </w:pPr>
    </w:p>
    <w:p w14:paraId="089013BC">
      <w:pPr>
        <w:spacing w:line="348" w:lineRule="auto"/>
        <w:jc w:val="both"/>
        <w:rPr>
          <w:rFonts w:hint="eastAsia" w:eastAsia="方正小标宋简体"/>
          <w:bCs/>
          <w:sz w:val="42"/>
          <w:szCs w:val="42"/>
        </w:rPr>
      </w:pPr>
    </w:p>
    <w:p w14:paraId="61C9B7B7">
      <w:pPr>
        <w:spacing w:line="348" w:lineRule="auto"/>
        <w:jc w:val="both"/>
        <w:rPr>
          <w:rFonts w:hint="eastAsia" w:eastAsia="方正小标宋简体"/>
          <w:bCs/>
          <w:sz w:val="42"/>
          <w:szCs w:val="42"/>
        </w:rPr>
      </w:pPr>
    </w:p>
    <w:p w14:paraId="7BF71734">
      <w:pPr>
        <w:spacing w:line="800" w:lineRule="exact"/>
        <w:jc w:val="center"/>
        <w:rPr>
          <w:rFonts w:hint="eastAsia" w:eastAsia="方正小标宋简体"/>
          <w:bCs/>
          <w:sz w:val="46"/>
          <w:szCs w:val="46"/>
          <w:highlight w:val="none"/>
          <w:lang w:val="en-US" w:eastAsia="zh-CN"/>
        </w:rPr>
      </w:pPr>
      <w:r>
        <w:rPr>
          <w:rFonts w:hint="eastAsia" w:eastAsia="方正小标宋简体"/>
          <w:bCs/>
          <w:sz w:val="46"/>
          <w:szCs w:val="46"/>
        </w:rPr>
        <w:t>岳阳市</w:t>
      </w:r>
      <w:r>
        <w:rPr>
          <w:rFonts w:hint="eastAsia" w:eastAsia="方正小标宋简体"/>
          <w:bCs/>
          <w:sz w:val="46"/>
          <w:szCs w:val="46"/>
          <w:highlight w:val="none"/>
          <w:u w:val="none"/>
          <w:lang w:val="en-US" w:eastAsia="zh-CN"/>
        </w:rPr>
        <w:t>2021</w:t>
      </w:r>
      <w:r>
        <w:rPr>
          <w:rFonts w:hint="eastAsia" w:eastAsia="方正小标宋简体"/>
          <w:bCs/>
          <w:sz w:val="46"/>
          <w:szCs w:val="46"/>
          <w:highlight w:val="none"/>
        </w:rPr>
        <w:t>年度</w:t>
      </w:r>
      <w:r>
        <w:rPr>
          <w:rFonts w:hint="eastAsia" w:eastAsia="方正小标宋简体"/>
          <w:bCs/>
          <w:sz w:val="46"/>
          <w:szCs w:val="46"/>
          <w:highlight w:val="none"/>
          <w:lang w:val="en-US" w:eastAsia="zh-CN"/>
        </w:rPr>
        <w:t>自然资源和规划局</w:t>
      </w:r>
    </w:p>
    <w:p w14:paraId="02A448D7">
      <w:pPr>
        <w:spacing w:line="800" w:lineRule="exact"/>
        <w:jc w:val="center"/>
        <w:rPr>
          <w:rFonts w:hint="eastAsia" w:eastAsia="方正小标宋简体"/>
          <w:bCs/>
          <w:sz w:val="46"/>
          <w:szCs w:val="46"/>
        </w:rPr>
      </w:pPr>
      <w:r>
        <w:rPr>
          <w:rFonts w:hint="eastAsia" w:eastAsia="方正小标宋简体"/>
          <w:bCs/>
          <w:sz w:val="46"/>
          <w:szCs w:val="46"/>
        </w:rPr>
        <w:t>整体支出绩效评价自评报告</w:t>
      </w:r>
    </w:p>
    <w:p w14:paraId="1DDECCE0">
      <w:pPr>
        <w:rPr>
          <w:rFonts w:hint="default" w:eastAsia="仿宋_GB2312"/>
          <w:b/>
          <w:sz w:val="32"/>
          <w:lang w:val="en-US" w:eastAsia="zh-CN"/>
        </w:rPr>
      </w:pPr>
      <w:r>
        <w:rPr>
          <w:rFonts w:hint="eastAsia" w:eastAsia="仿宋_GB2312"/>
          <w:b/>
          <w:sz w:val="32"/>
          <w:lang w:val="en-US" w:eastAsia="zh-CN"/>
        </w:rPr>
        <w:t xml:space="preserve">                       </w:t>
      </w:r>
    </w:p>
    <w:p w14:paraId="3231E0E2">
      <w:pPr>
        <w:rPr>
          <w:rFonts w:hint="eastAsia" w:eastAsia="仿宋_GB2312"/>
          <w:b/>
          <w:sz w:val="32"/>
        </w:rPr>
      </w:pPr>
    </w:p>
    <w:p w14:paraId="34AA1951">
      <w:pPr>
        <w:rPr>
          <w:rFonts w:hint="eastAsia" w:eastAsia="仿宋_GB2312"/>
          <w:b/>
          <w:sz w:val="32"/>
        </w:rPr>
      </w:pPr>
    </w:p>
    <w:p w14:paraId="0315BA35">
      <w:pPr>
        <w:spacing w:before="301" w:beforeLines="50" w:line="348" w:lineRule="auto"/>
        <w:ind w:firstLine="1120" w:firstLineChars="3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non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岳阳市</w:t>
      </w:r>
      <w:r>
        <w:rPr>
          <w:rFonts w:hint="eastAsia" w:eastAsia="仿宋_GB2312"/>
          <w:sz w:val="32"/>
          <w:szCs w:val="32"/>
          <w:u w:val="single"/>
          <w:lang w:val="en-US" w:eastAsia="zh-CN"/>
        </w:rPr>
        <w:t xml:space="preserve">自然资源和规划局  </w:t>
      </w:r>
      <w:r>
        <w:rPr>
          <w:rFonts w:hint="eastAsia" w:eastAsia="仿宋_GB2312"/>
          <w:sz w:val="32"/>
          <w:szCs w:val="32"/>
          <w:u w:val="none"/>
        </w:rPr>
        <w:t xml:space="preserve"> </w:t>
      </w:r>
    </w:p>
    <w:p w14:paraId="435716C2">
      <w:pPr>
        <w:spacing w:before="301" w:beforeLines="50" w:line="348" w:lineRule="auto"/>
        <w:ind w:firstLine="1120" w:firstLineChars="350"/>
        <w:rPr>
          <w:rFonts w:hint="eastAsia" w:eastAsia="仿宋_GB2312"/>
          <w:spacing w:val="20"/>
          <w:sz w:val="32"/>
          <w:szCs w:val="32"/>
        </w:rPr>
      </w:pPr>
      <w:r>
        <w:rPr>
          <w:rFonts w:hint="eastAsia" w:eastAsia="仿宋_GB2312"/>
          <w:sz w:val="32"/>
          <w:szCs w:val="32"/>
        </w:rPr>
        <w:t>预算编码：</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402001</w:t>
      </w:r>
      <w:r>
        <w:rPr>
          <w:rFonts w:hint="eastAsia" w:eastAsia="仿宋_GB2312"/>
          <w:spacing w:val="20"/>
          <w:sz w:val="32"/>
          <w:szCs w:val="32"/>
          <w:u w:val="single"/>
        </w:rPr>
        <w:t xml:space="preserve">         </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p>
    <w:p w14:paraId="6438C6B2">
      <w:pPr>
        <w:spacing w:before="301" w:beforeLines="50" w:line="348" w:lineRule="auto"/>
        <w:ind w:firstLine="1120" w:firstLineChars="350"/>
        <w:rPr>
          <w:rFonts w:hint="eastAsia" w:eastAsia="仿宋_GB2312"/>
          <w:sz w:val="32"/>
          <w:szCs w:val="32"/>
          <w:lang w:eastAsia="zh-CN"/>
        </w:rPr>
      </w:pPr>
      <w:r>
        <w:rPr>
          <w:rFonts w:hint="eastAsia" w:eastAsia="仿宋_GB2312"/>
          <w:sz w:val="32"/>
          <w:szCs w:val="32"/>
        </w:rPr>
        <w:t>评价方式</w:t>
      </w:r>
      <w:r>
        <w:rPr>
          <w:rFonts w:hint="eastAsia" w:eastAsia="仿宋_GB2312"/>
          <w:sz w:val="32"/>
          <w:szCs w:val="32"/>
          <w:lang w:eastAsia="zh-CN"/>
        </w:rPr>
        <w:t>：</w:t>
      </w:r>
      <w:r>
        <w:rPr>
          <w:rFonts w:hint="eastAsia" w:eastAsia="仿宋_GB2312"/>
          <w:sz w:val="32"/>
          <w:szCs w:val="32"/>
          <w:lang w:val="en-US" w:eastAsia="zh-CN"/>
        </w:rPr>
        <w:t>岳阳市自然资源和规划局</w:t>
      </w:r>
      <w:r>
        <w:rPr>
          <w:rFonts w:hint="eastAsia" w:eastAsia="仿宋_GB2312"/>
          <w:sz w:val="32"/>
          <w:szCs w:val="32"/>
        </w:rPr>
        <w:t>绩效自评</w:t>
      </w:r>
    </w:p>
    <w:p w14:paraId="3C9B9F8C">
      <w:pPr>
        <w:spacing w:before="301" w:beforeLines="50" w:line="348" w:lineRule="auto"/>
        <w:ind w:firstLine="1120" w:firstLineChars="350"/>
        <w:rPr>
          <w:rFonts w:hint="eastAsia" w:eastAsia="仿宋_GB2312"/>
          <w:sz w:val="32"/>
          <w:szCs w:val="32"/>
        </w:rPr>
      </w:pPr>
      <w:r>
        <w:rPr>
          <w:rFonts w:hint="eastAsia" w:eastAsia="仿宋_GB2312"/>
          <w:sz w:val="32"/>
          <w:szCs w:val="32"/>
        </w:rPr>
        <w:t>评价机构：</w:t>
      </w:r>
      <w:r>
        <w:rPr>
          <w:rFonts w:hint="eastAsia" w:eastAsia="仿宋_GB2312"/>
          <w:sz w:val="32"/>
          <w:szCs w:val="32"/>
          <w:lang w:val="en-US" w:eastAsia="zh-CN"/>
        </w:rPr>
        <w:t>湖南恒兴联合会计师事务所</w:t>
      </w:r>
      <w:r>
        <w:rPr>
          <w:rFonts w:hint="eastAsia" w:eastAsia="仿宋_GB2312"/>
          <w:sz w:val="32"/>
          <w:szCs w:val="32"/>
        </w:rPr>
        <w:t xml:space="preserve">   </w:t>
      </w:r>
    </w:p>
    <w:p w14:paraId="47E283D5">
      <w:pPr>
        <w:spacing w:line="348" w:lineRule="auto"/>
        <w:ind w:firstLine="2208" w:firstLineChars="690"/>
        <w:rPr>
          <w:rFonts w:hint="eastAsia" w:eastAsia="仿宋_GB2312"/>
          <w:sz w:val="32"/>
        </w:rPr>
      </w:pPr>
    </w:p>
    <w:p w14:paraId="1A8D3892">
      <w:pPr>
        <w:spacing w:line="348" w:lineRule="auto"/>
        <w:ind w:firstLine="2208" w:firstLineChars="690"/>
        <w:rPr>
          <w:rFonts w:hint="eastAsia" w:eastAsia="仿宋_GB2312"/>
          <w:sz w:val="32"/>
        </w:rPr>
      </w:pPr>
    </w:p>
    <w:p w14:paraId="3C7D6F39">
      <w:pPr>
        <w:spacing w:line="348" w:lineRule="auto"/>
        <w:jc w:val="center"/>
        <w:rPr>
          <w:rFonts w:hint="eastAsia" w:eastAsia="仿宋_GB2312"/>
          <w:sz w:val="32"/>
        </w:rPr>
      </w:pPr>
    </w:p>
    <w:p w14:paraId="08C03AE1">
      <w:pPr>
        <w:spacing w:line="348" w:lineRule="auto"/>
        <w:jc w:val="center"/>
        <w:rPr>
          <w:rFonts w:hint="eastAsia" w:eastAsia="仿宋_GB2312"/>
          <w:sz w:val="32"/>
        </w:rPr>
      </w:pPr>
    </w:p>
    <w:p w14:paraId="695E8E1E">
      <w:pPr>
        <w:spacing w:line="348" w:lineRule="auto"/>
        <w:jc w:val="center"/>
        <w:rPr>
          <w:rFonts w:hint="eastAsia" w:eastAsia="仿宋_GB2312"/>
          <w:sz w:val="32"/>
        </w:rPr>
      </w:pPr>
    </w:p>
    <w:p w14:paraId="7DD0A9A7">
      <w:pPr>
        <w:spacing w:line="348" w:lineRule="auto"/>
        <w:jc w:val="center"/>
        <w:rPr>
          <w:rFonts w:hint="eastAsia" w:eastAsia="仿宋_GB2312"/>
          <w:sz w:val="32"/>
        </w:rPr>
      </w:pPr>
    </w:p>
    <w:p w14:paraId="76C6254A">
      <w:pPr>
        <w:spacing w:line="348" w:lineRule="auto"/>
        <w:jc w:val="center"/>
        <w:rPr>
          <w:rFonts w:hint="eastAsia" w:eastAsia="仿宋_GB2312"/>
          <w:sz w:val="32"/>
          <w:highlight w:val="none"/>
        </w:rPr>
      </w:pPr>
      <w:r>
        <w:rPr>
          <w:rFonts w:hint="eastAsia" w:eastAsia="仿宋_GB2312"/>
          <w:sz w:val="32"/>
        </w:rPr>
        <w:t>报告日期：20</w:t>
      </w:r>
      <w:r>
        <w:rPr>
          <w:rFonts w:hint="eastAsia" w:eastAsia="仿宋_GB2312"/>
          <w:sz w:val="32"/>
          <w:lang w:val="en-US" w:eastAsia="zh-CN"/>
        </w:rPr>
        <w:t>22</w:t>
      </w:r>
      <w:r>
        <w:rPr>
          <w:rFonts w:hint="eastAsia" w:eastAsia="仿宋_GB2312"/>
          <w:sz w:val="32"/>
        </w:rPr>
        <w:t>年</w:t>
      </w:r>
      <w:r>
        <w:rPr>
          <w:rFonts w:hint="eastAsia" w:eastAsia="仿宋_GB2312"/>
          <w:sz w:val="32"/>
          <w:highlight w:val="none"/>
          <w:lang w:val="en-US" w:eastAsia="zh-CN"/>
        </w:rPr>
        <w:t>9</w:t>
      </w:r>
      <w:r>
        <w:rPr>
          <w:rFonts w:hint="eastAsia" w:eastAsia="仿宋_GB2312"/>
          <w:sz w:val="32"/>
          <w:highlight w:val="none"/>
        </w:rPr>
        <w:t>月</w:t>
      </w:r>
      <w:r>
        <w:rPr>
          <w:rFonts w:hint="eastAsia" w:eastAsia="仿宋_GB2312"/>
          <w:sz w:val="32"/>
          <w:highlight w:val="none"/>
          <w:lang w:val="en-US" w:eastAsia="zh-CN"/>
        </w:rPr>
        <w:t xml:space="preserve">22 </w:t>
      </w:r>
      <w:r>
        <w:rPr>
          <w:rFonts w:hint="eastAsia" w:eastAsia="仿宋_GB2312"/>
          <w:sz w:val="32"/>
          <w:highlight w:val="none"/>
        </w:rPr>
        <w:t>日</w:t>
      </w:r>
    </w:p>
    <w:p w14:paraId="62DF9B86">
      <w:pPr>
        <w:pStyle w:val="2"/>
        <w:rPr>
          <w:rFonts w:hint="eastAsia" w:eastAsia="仿宋_GB2312"/>
          <w:sz w:val="32"/>
          <w:highlight w:val="none"/>
        </w:rPr>
      </w:pPr>
    </w:p>
    <w:tbl>
      <w:tblPr>
        <w:tblStyle w:val="7"/>
        <w:tblW w:w="9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541"/>
        <w:gridCol w:w="317"/>
        <w:gridCol w:w="97"/>
        <w:gridCol w:w="386"/>
        <w:gridCol w:w="83"/>
        <w:gridCol w:w="280"/>
        <w:gridCol w:w="207"/>
        <w:gridCol w:w="886"/>
        <w:gridCol w:w="52"/>
        <w:gridCol w:w="84"/>
        <w:gridCol w:w="1048"/>
        <w:gridCol w:w="293"/>
        <w:gridCol w:w="659"/>
        <w:gridCol w:w="31"/>
        <w:gridCol w:w="188"/>
        <w:gridCol w:w="13"/>
        <w:gridCol w:w="534"/>
        <w:gridCol w:w="650"/>
        <w:gridCol w:w="775"/>
        <w:gridCol w:w="409"/>
        <w:gridCol w:w="198"/>
        <w:gridCol w:w="40"/>
        <w:gridCol w:w="778"/>
        <w:gridCol w:w="180"/>
        <w:gridCol w:w="1068"/>
        <w:gridCol w:w="177"/>
      </w:tblGrid>
      <w:tr w14:paraId="1660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4" w:hRule="atLeast"/>
          <w:jc w:val="center"/>
        </w:trPr>
        <w:tc>
          <w:tcPr>
            <w:tcW w:w="9974" w:type="dxa"/>
            <w:gridSpan w:val="26"/>
            <w:noWrap w:val="0"/>
            <w:vAlign w:val="center"/>
          </w:tcPr>
          <w:p w14:paraId="71A0047B">
            <w:pPr>
              <w:pStyle w:val="3"/>
              <w:rPr>
                <w:rFonts w:hint="eastAsia" w:ascii="仿宋_GB2312" w:hAnsi="仿宋_GB2312" w:eastAsia="仿宋_GB2312" w:cs="仿宋_GB2312"/>
                <w:color w:val="000000"/>
                <w:sz w:val="24"/>
              </w:rPr>
            </w:pPr>
            <w:r>
              <w:rPr>
                <w:rFonts w:hint="eastAsia" w:eastAsia="仿宋_GB2312"/>
                <w:sz w:val="32"/>
                <w:highlight w:val="none"/>
                <w:lang w:val="en-US" w:eastAsia="zh-CN"/>
              </w:rPr>
              <w:t xml:space="preserve">          </w:t>
            </w:r>
            <w:r>
              <w:rPr>
                <w:rFonts w:hint="eastAsia" w:eastAsia="仿宋_GB2312"/>
                <w:sz w:val="28"/>
                <w:szCs w:val="22"/>
                <w:highlight w:val="none"/>
                <w:lang w:val="en-US" w:eastAsia="zh-CN"/>
              </w:rPr>
              <w:t xml:space="preserve"> </w:t>
            </w:r>
            <w:r>
              <w:rPr>
                <w:rFonts w:hint="eastAsia" w:ascii="黑体" w:hAnsi="黑体" w:eastAsia="黑体" w:cs="黑体"/>
                <w:color w:val="000000"/>
                <w:sz w:val="24"/>
                <w:szCs w:val="24"/>
              </w:rPr>
              <w:t>一、部门（单位）基本概况</w:t>
            </w:r>
          </w:p>
        </w:tc>
      </w:tr>
      <w:tr w14:paraId="558B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541" w:type="dxa"/>
            <w:noWrap w:val="0"/>
            <w:vAlign w:val="center"/>
          </w:tcPr>
          <w:p w14:paraId="25DBDF94">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18"/>
                <w:szCs w:val="18"/>
              </w:rPr>
              <w:t>联系人</w:t>
            </w:r>
          </w:p>
        </w:tc>
        <w:tc>
          <w:tcPr>
            <w:tcW w:w="4423" w:type="dxa"/>
            <w:gridSpan w:val="13"/>
            <w:noWrap w:val="0"/>
            <w:vAlign w:val="center"/>
          </w:tcPr>
          <w:p w14:paraId="3C70ECDB">
            <w:pPr>
              <w:autoSpaceDN w:val="0"/>
              <w:spacing w:line="320" w:lineRule="exact"/>
              <w:jc w:val="center"/>
              <w:textAlignment w:val="center"/>
              <w:rPr>
                <w:rFonts w:hint="eastAsia" w:ascii="仿宋_GB2312" w:hAnsi="仿宋_GB2312" w:eastAsia="仿宋_GB2312" w:cs="仿宋_GB2312"/>
                <w:color w:val="000000"/>
                <w:sz w:val="24"/>
              </w:rPr>
            </w:pPr>
            <w:r>
              <w:rPr>
                <w:rFonts w:hint="eastAsia" w:eastAsia="仿宋_GB2312" w:cs="仿宋_GB2312"/>
                <w:bCs/>
                <w:sz w:val="24"/>
                <w:szCs w:val="24"/>
                <w:lang w:val="en-US" w:eastAsia="zh-CN"/>
              </w:rPr>
              <w:t>周红霞</w:t>
            </w:r>
            <w:r>
              <w:rPr>
                <w:rFonts w:hint="eastAsia" w:eastAsia="仿宋_GB2312" w:cs="仿宋_GB2312"/>
                <w:bCs/>
                <w:sz w:val="24"/>
                <w:szCs w:val="24"/>
              </w:rPr>
              <w:t xml:space="preserve">   </w:t>
            </w:r>
            <w:r>
              <w:rPr>
                <w:rFonts w:hint="eastAsia" w:eastAsia="仿宋_GB2312" w:cs="仿宋_GB2312"/>
                <w:bCs/>
                <w:sz w:val="28"/>
                <w:szCs w:val="28"/>
              </w:rPr>
              <w:t xml:space="preserve">             </w:t>
            </w:r>
          </w:p>
        </w:tc>
        <w:tc>
          <w:tcPr>
            <w:tcW w:w="2807" w:type="dxa"/>
            <w:gridSpan w:val="8"/>
            <w:noWrap w:val="0"/>
            <w:vAlign w:val="center"/>
          </w:tcPr>
          <w:p w14:paraId="5F2B3D5B">
            <w:pPr>
              <w:autoSpaceDN w:val="0"/>
              <w:spacing w:line="32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联络电话</w:t>
            </w:r>
          </w:p>
        </w:tc>
        <w:tc>
          <w:tcPr>
            <w:tcW w:w="2203" w:type="dxa"/>
            <w:gridSpan w:val="4"/>
            <w:noWrap w:val="0"/>
            <w:vAlign w:val="center"/>
          </w:tcPr>
          <w:p w14:paraId="5C17145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2"/>
                <w:szCs w:val="22"/>
              </w:rPr>
              <w:t>0730-8691983</w:t>
            </w:r>
          </w:p>
        </w:tc>
      </w:tr>
      <w:tr w14:paraId="4045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7" w:hRule="atLeast"/>
          <w:jc w:val="center"/>
        </w:trPr>
        <w:tc>
          <w:tcPr>
            <w:tcW w:w="541" w:type="dxa"/>
            <w:noWrap w:val="0"/>
            <w:vAlign w:val="center"/>
          </w:tcPr>
          <w:p w14:paraId="6E946329">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0"/>
                <w:szCs w:val="20"/>
              </w:rPr>
              <w:t>人员编制</w:t>
            </w:r>
          </w:p>
        </w:tc>
        <w:tc>
          <w:tcPr>
            <w:tcW w:w="4423" w:type="dxa"/>
            <w:gridSpan w:val="13"/>
            <w:noWrap w:val="0"/>
            <w:vAlign w:val="center"/>
          </w:tcPr>
          <w:p w14:paraId="1E4066CB">
            <w:pPr>
              <w:keepNext w:val="0"/>
              <w:keepLines w:val="0"/>
              <w:pageBreakBefore w:val="0"/>
              <w:widowControl w:val="0"/>
              <w:kinsoku/>
              <w:wordWrap/>
              <w:overflowPunct/>
              <w:topLinePunct w:val="0"/>
              <w:autoSpaceDE/>
              <w:autoSpaceDN w:val="0"/>
              <w:bidi w:val="0"/>
              <w:adjustRightInd/>
              <w:snapToGrid/>
              <w:spacing w:line="26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2"/>
                <w:szCs w:val="22"/>
                <w:highlight w:val="none"/>
                <w:lang w:val="en-US" w:eastAsia="zh-CN"/>
              </w:rPr>
              <w:t>99</w:t>
            </w:r>
          </w:p>
        </w:tc>
        <w:tc>
          <w:tcPr>
            <w:tcW w:w="2807" w:type="dxa"/>
            <w:gridSpan w:val="8"/>
            <w:noWrap w:val="0"/>
            <w:vAlign w:val="center"/>
          </w:tcPr>
          <w:p w14:paraId="4E31198B">
            <w:pPr>
              <w:autoSpaceDN w:val="0"/>
              <w:spacing w:line="32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实有人数</w:t>
            </w:r>
          </w:p>
        </w:tc>
        <w:tc>
          <w:tcPr>
            <w:tcW w:w="2203" w:type="dxa"/>
            <w:gridSpan w:val="4"/>
            <w:noWrap w:val="0"/>
            <w:vAlign w:val="center"/>
          </w:tcPr>
          <w:p w14:paraId="612568E7">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2"/>
                <w:szCs w:val="22"/>
                <w:highlight w:val="none"/>
                <w:lang w:val="en-US" w:eastAsia="zh-CN"/>
              </w:rPr>
              <w:t>133</w:t>
            </w:r>
          </w:p>
        </w:tc>
      </w:tr>
      <w:tr w14:paraId="418F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00" w:hRule="atLeast"/>
          <w:jc w:val="center"/>
        </w:trPr>
        <w:tc>
          <w:tcPr>
            <w:tcW w:w="541" w:type="dxa"/>
            <w:noWrap w:val="0"/>
            <w:vAlign w:val="center"/>
          </w:tcPr>
          <w:p w14:paraId="0044042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主要</w:t>
            </w:r>
            <w:r>
              <w:rPr>
                <w:rFonts w:hint="eastAsia" w:ascii="仿宋_GB2312" w:hAnsi="仿宋_GB2312" w:eastAsia="仿宋_GB2312" w:cs="仿宋_GB2312"/>
                <w:color w:val="000000"/>
                <w:sz w:val="24"/>
              </w:rPr>
              <w:t>职能</w:t>
            </w:r>
          </w:p>
          <w:p w14:paraId="54187FD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职责</w:t>
            </w:r>
          </w:p>
          <w:p w14:paraId="2102B0B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概述</w:t>
            </w:r>
          </w:p>
        </w:tc>
        <w:tc>
          <w:tcPr>
            <w:tcW w:w="9433" w:type="dxa"/>
            <w:gridSpan w:val="25"/>
            <w:noWrap w:val="0"/>
            <w:vAlign w:val="center"/>
          </w:tcPr>
          <w:p w14:paraId="6819AE61">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 依法履行全民所有土地、矿产、森林、草原、湿地、水等自然资源资产所有者职责和国土空间用途管制职责。</w:t>
            </w:r>
          </w:p>
          <w:p w14:paraId="0876F6CD">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2、 负责自然资源调查监测评价。</w:t>
            </w:r>
          </w:p>
          <w:p w14:paraId="44CA5810">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3、 负责自然资源统一确权登记工作。</w:t>
            </w:r>
          </w:p>
          <w:p w14:paraId="6166BA2A">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4、 负责自然资源资产有偿使用工作。</w:t>
            </w:r>
          </w:p>
          <w:p w14:paraId="1A5AD63F">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5、 负责自然资源的合理开发利用。</w:t>
            </w:r>
          </w:p>
          <w:p w14:paraId="6949E7C2">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6、 负责建立国土空间规划体系并监督实施。</w:t>
            </w:r>
          </w:p>
          <w:p w14:paraId="4CEE8C74">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7、 负责制定国土空间规划编制计划和近期建设规划，制定土地利用及储备供应、矿产资源保护利用、基础测绘、新增建设用地等年度计划，并组织实施；参与城市发展年度建设计划及实施工作。</w:t>
            </w:r>
          </w:p>
          <w:p w14:paraId="70EB1019">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8、 负责统筹国土空间生态修复。牵头组织编制国土空间生态修复规划并实施有关生态修复重大工程。牵头建立和实施生态保护补偿制度，并提出市级重大备选项目。</w:t>
            </w:r>
          </w:p>
          <w:p w14:paraId="78D96404">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9、 负责组织实施最严格的耕地保护制度。牵头实施耕地保护政策，负责耕地数量和生态保护，做好耕地质量保护有关工作。</w:t>
            </w:r>
          </w:p>
          <w:p w14:paraId="17BBE483">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10、负责管理地质勘查行业和全市地质工作。</w:t>
            </w:r>
          </w:p>
          <w:p w14:paraId="12CC89CA">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11、负责地质灾害预防和治理。</w:t>
            </w:r>
          </w:p>
          <w:p w14:paraId="79EDBA11">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12、负责矿产资源管理工作。</w:t>
            </w:r>
          </w:p>
          <w:p w14:paraId="3C55CAE7">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13、推动自然资源领域科技发展。</w:t>
            </w:r>
          </w:p>
          <w:p w14:paraId="19A27CE0">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14、负责测绘地理信息管理工作。</w:t>
            </w:r>
          </w:p>
          <w:p w14:paraId="46DBCD76">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15、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14:paraId="72FA1BEE">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16、统一领导和管理市林业局。</w:t>
            </w:r>
          </w:p>
          <w:p w14:paraId="674F859A">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17、完成市委、市政府交办的其他事项。</w:t>
            </w:r>
          </w:p>
          <w:p w14:paraId="043DA22B">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18、职能转变。</w:t>
            </w:r>
          </w:p>
        </w:tc>
      </w:tr>
      <w:tr w14:paraId="0949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3" w:hRule="atLeast"/>
          <w:jc w:val="center"/>
        </w:trPr>
        <w:tc>
          <w:tcPr>
            <w:tcW w:w="541" w:type="dxa"/>
            <w:noWrap w:val="0"/>
            <w:vAlign w:val="center"/>
          </w:tcPr>
          <w:p w14:paraId="0A73B2C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w:t>
            </w:r>
          </w:p>
          <w:p w14:paraId="0F07E38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主</w:t>
            </w:r>
            <w:r>
              <w:rPr>
                <w:rFonts w:hint="eastAsia" w:ascii="仿宋_GB2312" w:hAnsi="仿宋_GB2312" w:eastAsia="仿宋_GB2312" w:cs="仿宋_GB2312"/>
                <w:color w:val="000000"/>
                <w:sz w:val="24"/>
              </w:rPr>
              <w:t>要</w:t>
            </w:r>
          </w:p>
          <w:p w14:paraId="555847E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w:t>
            </w:r>
          </w:p>
          <w:p w14:paraId="2211A9E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内容</w:t>
            </w:r>
          </w:p>
        </w:tc>
        <w:tc>
          <w:tcPr>
            <w:tcW w:w="9433" w:type="dxa"/>
            <w:gridSpan w:val="25"/>
            <w:noWrap w:val="0"/>
            <w:vAlign w:val="center"/>
          </w:tcPr>
          <w:p w14:paraId="1739AC57">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1.</w:t>
            </w:r>
            <w:r>
              <w:rPr>
                <w:rFonts w:hint="eastAsia" w:ascii="仿宋_GB2312" w:hAnsi="仿宋_GB2312" w:eastAsia="仿宋_GB2312" w:cs="仿宋_GB2312"/>
                <w:color w:val="000000"/>
                <w:spacing w:val="-6"/>
                <w:sz w:val="24"/>
                <w:szCs w:val="24"/>
                <w:lang w:val="en-US" w:eastAsia="zh-CN"/>
              </w:rPr>
              <w:t>全力编制好规划</w:t>
            </w:r>
            <w:r>
              <w:rPr>
                <w:rFonts w:hint="eastAsia" w:ascii="仿宋_GB2312" w:hAnsi="仿宋_GB2312" w:eastAsia="仿宋_GB2312" w:cs="仿宋_GB2312"/>
                <w:color w:val="000000"/>
                <w:spacing w:val="-6"/>
                <w:sz w:val="24"/>
                <w:szCs w:val="24"/>
              </w:rPr>
              <w:t>，</w:t>
            </w:r>
            <w:r>
              <w:rPr>
                <w:rFonts w:hint="eastAsia" w:ascii="仿宋_GB2312" w:hAnsi="仿宋_GB2312" w:eastAsia="仿宋_GB2312" w:cs="仿宋_GB2312"/>
                <w:color w:val="000000"/>
                <w:spacing w:val="-6"/>
                <w:sz w:val="24"/>
                <w:szCs w:val="24"/>
                <w:lang w:val="en-US" w:eastAsia="zh-CN"/>
              </w:rPr>
              <w:t>推进</w:t>
            </w:r>
            <w:r>
              <w:rPr>
                <w:rFonts w:hint="eastAsia" w:ascii="仿宋_GB2312" w:hAnsi="仿宋_GB2312" w:eastAsia="仿宋_GB2312" w:cs="仿宋_GB2312"/>
                <w:color w:val="000000"/>
                <w:spacing w:val="-6"/>
                <w:sz w:val="24"/>
                <w:szCs w:val="24"/>
              </w:rPr>
              <w:t>城市</w:t>
            </w:r>
            <w:r>
              <w:rPr>
                <w:rFonts w:hint="eastAsia" w:ascii="仿宋_GB2312" w:hAnsi="仿宋_GB2312" w:eastAsia="仿宋_GB2312" w:cs="仿宋_GB2312"/>
                <w:color w:val="000000"/>
                <w:spacing w:val="-6"/>
                <w:sz w:val="24"/>
                <w:szCs w:val="24"/>
                <w:lang w:val="en-US" w:eastAsia="zh-CN"/>
              </w:rPr>
              <w:t>建设与</w:t>
            </w:r>
            <w:r>
              <w:rPr>
                <w:rFonts w:hint="eastAsia" w:ascii="仿宋_GB2312" w:hAnsi="仿宋_GB2312" w:eastAsia="仿宋_GB2312" w:cs="仿宋_GB2312"/>
                <w:color w:val="000000"/>
                <w:spacing w:val="-6"/>
                <w:sz w:val="24"/>
                <w:szCs w:val="24"/>
              </w:rPr>
              <w:t>品质提升</w:t>
            </w:r>
            <w:r>
              <w:rPr>
                <w:rFonts w:hint="eastAsia" w:ascii="仿宋_GB2312" w:hAnsi="仿宋_GB2312" w:eastAsia="仿宋_GB2312" w:cs="仿宋_GB2312"/>
                <w:color w:val="000000"/>
                <w:spacing w:val="-6"/>
                <w:sz w:val="24"/>
                <w:szCs w:val="24"/>
                <w:lang w:eastAsia="zh-CN"/>
              </w:rPr>
              <w:t>。</w:t>
            </w:r>
            <w:r>
              <w:rPr>
                <w:rFonts w:hint="eastAsia" w:ascii="仿宋_GB2312" w:hAnsi="仿宋_GB2312" w:eastAsia="仿宋_GB2312" w:cs="仿宋_GB2312"/>
                <w:color w:val="000000"/>
                <w:spacing w:val="-6"/>
                <w:sz w:val="24"/>
                <w:szCs w:val="24"/>
                <w:lang w:val="en-US" w:eastAsia="zh-CN"/>
              </w:rPr>
              <w:t>一是全面推进国土空间规划编制；二是大力推进村庄规划编制工作；三是建立完善规划管控体系。</w:t>
            </w:r>
          </w:p>
          <w:p w14:paraId="74E726DF">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2、竭力做好要素保障，服务项目落地与产业发展。一是持续优化用地审批服务；二是加快完善土地供应机制；三是加强节约集约用地；四是深化“最多跑一次”改革、优化营商环境。</w:t>
            </w:r>
          </w:p>
          <w:p w14:paraId="67285F19">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3、努力加强资源管控，严守绿色发展底线。一是强化耕地保护；二是加强自然资源执法保障体系建设；三是强化“三调”成果运用；四是稳妥推进农村乱占耕地建房问题整治。</w:t>
            </w:r>
          </w:p>
          <w:p w14:paraId="0CD72FEE">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rPr>
              <w:t>4.</w:t>
            </w:r>
            <w:r>
              <w:rPr>
                <w:rFonts w:hint="eastAsia" w:ascii="仿宋_GB2312" w:hAnsi="仿宋_GB2312" w:eastAsia="仿宋_GB2312" w:cs="仿宋_GB2312"/>
                <w:color w:val="000000"/>
                <w:spacing w:val="-6"/>
                <w:sz w:val="24"/>
                <w:szCs w:val="24"/>
                <w:lang w:val="en-US" w:eastAsia="zh-CN"/>
              </w:rPr>
              <w:t>尽力强化民生保障，增进惠民利民益民。一是强化地质灾害防治；二是推进矿业转型发展；三是加强生态保护修复；四是巩固脱贫攻坚成果，助推乡村振兴；五是抓好中心城区违法建设集中整治行动。</w:t>
            </w:r>
          </w:p>
          <w:p w14:paraId="01B7C620">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rPr>
              <w:t>5.</w:t>
            </w:r>
            <w:r>
              <w:rPr>
                <w:rFonts w:hint="eastAsia" w:ascii="仿宋_GB2312" w:hAnsi="仿宋_GB2312" w:eastAsia="仿宋_GB2312" w:cs="仿宋_GB2312"/>
                <w:color w:val="000000"/>
                <w:spacing w:val="-6"/>
                <w:sz w:val="24"/>
                <w:szCs w:val="24"/>
                <w:lang w:val="en-US" w:eastAsia="zh-CN"/>
              </w:rPr>
              <w:t>着力提升基础效能，筑牢事业发展根基。一是切实加强信息化建设；二是切实加强法治建设；三是切实加强信访工作；四是切实加强基础工作。</w:t>
            </w:r>
          </w:p>
          <w:p w14:paraId="2770E9C1">
            <w:pPr>
              <w:autoSpaceDN w:val="0"/>
              <w:spacing w:line="320" w:lineRule="exact"/>
              <w:ind w:firstLine="342" w:firstLineChars="150"/>
              <w:textAlignment w:val="center"/>
              <w:rPr>
                <w:rFonts w:hint="eastAsia" w:ascii="仿宋_GB2312" w:hAnsi="仿宋_GB2312" w:eastAsia="仿宋_GB2312" w:cs="仿宋_GB2312"/>
                <w:b w:val="0"/>
                <w:bCs w:val="0"/>
                <w:color w:val="auto"/>
                <w:spacing w:val="-6"/>
                <w:sz w:val="24"/>
                <w:szCs w:val="24"/>
                <w:lang w:eastAsia="zh-CN"/>
              </w:rPr>
            </w:pPr>
            <w:r>
              <w:rPr>
                <w:rFonts w:hint="eastAsia" w:ascii="仿宋_GB2312" w:hAnsi="仿宋_GB2312" w:eastAsia="仿宋_GB2312" w:cs="仿宋_GB2312"/>
                <w:color w:val="000000"/>
                <w:spacing w:val="-6"/>
                <w:sz w:val="24"/>
                <w:szCs w:val="24"/>
                <w:lang w:val="en-US" w:eastAsia="zh-CN"/>
              </w:rPr>
              <w:t>6.致力突出政治引领，提升党建工作实效。一是坚定正确政治方向；二是持续深化作风建设；三是抓牢抓实廉政建设。</w:t>
            </w:r>
          </w:p>
        </w:tc>
      </w:tr>
      <w:tr w14:paraId="52958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48" w:hRule="atLeast"/>
          <w:jc w:val="center"/>
        </w:trPr>
        <w:tc>
          <w:tcPr>
            <w:tcW w:w="541" w:type="dxa"/>
            <w:noWrap w:val="0"/>
            <w:vAlign w:val="center"/>
          </w:tcPr>
          <w:p w14:paraId="14E82AEC">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w:t>
            </w:r>
          </w:p>
          <w:p w14:paraId="54D6F1E9">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部门</w:t>
            </w:r>
          </w:p>
          <w:p w14:paraId="0828E455">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（单位）总体</w:t>
            </w:r>
          </w:p>
          <w:p w14:paraId="19BBBB7A">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运行</w:t>
            </w:r>
          </w:p>
          <w:p w14:paraId="0DC65287">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情况</w:t>
            </w:r>
          </w:p>
          <w:p w14:paraId="055D6399">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及取</w:t>
            </w:r>
          </w:p>
          <w:p w14:paraId="709C3634">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得的</w:t>
            </w:r>
          </w:p>
          <w:p w14:paraId="1F1F98F1">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成绩</w:t>
            </w:r>
          </w:p>
          <w:p w14:paraId="3DB1EE9B">
            <w:pPr>
              <w:autoSpaceDN w:val="0"/>
              <w:spacing w:line="320" w:lineRule="exact"/>
              <w:jc w:val="center"/>
              <w:textAlignment w:val="center"/>
              <w:rPr>
                <w:rFonts w:hint="eastAsia" w:ascii="仿宋_GB2312" w:hAnsi="仿宋_GB2312" w:eastAsia="仿宋_GB2312" w:cs="仿宋_GB2312"/>
                <w:color w:val="000000"/>
                <w:spacing w:val="-6"/>
                <w:sz w:val="24"/>
              </w:rPr>
            </w:pPr>
          </w:p>
        </w:tc>
        <w:tc>
          <w:tcPr>
            <w:tcW w:w="9433" w:type="dxa"/>
            <w:gridSpan w:val="25"/>
            <w:noWrap w:val="0"/>
            <w:vAlign w:val="center"/>
          </w:tcPr>
          <w:p w14:paraId="5D20A294">
            <w:pPr>
              <w:keepNext w:val="0"/>
              <w:keepLines w:val="0"/>
              <w:pageBreakBefore w:val="0"/>
              <w:widowControl w:val="0"/>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rPr>
            </w:pPr>
          </w:p>
          <w:p w14:paraId="6FCE1E97">
            <w:pPr>
              <w:keepNext w:val="0"/>
              <w:keepLines w:val="0"/>
              <w:pageBreakBefore w:val="0"/>
              <w:widowControl w:val="0"/>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rPr>
              <w:t>在市委市政府和省厅的坚强领导下，全系统领导干部深入学习贯彻习近平新时代中国特色社会主义思想，始终坚持党建引领，紧紧围绕中心重点，充分发挥职责职能，全面推进自然资源各项工作高质量发展。先后收获了一大批荣誉表彰，各项工作取得丰硕成果。</w:t>
            </w:r>
          </w:p>
          <w:p w14:paraId="1B3077D8">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eastAsia="zh-CN"/>
              </w:rPr>
            </w:pPr>
            <w:r>
              <w:rPr>
                <w:rFonts w:hint="eastAsia" w:ascii="仿宋_GB2312" w:hAnsi="仿宋_GB2312" w:eastAsia="仿宋_GB2312" w:cs="仿宋_GB2312"/>
                <w:b/>
                <w:bCs/>
                <w:color w:val="auto"/>
                <w:spacing w:val="-6"/>
                <w:sz w:val="24"/>
                <w:lang w:eastAsia="zh-CN"/>
              </w:rPr>
              <w:t>（一）</w:t>
            </w:r>
            <w:r>
              <w:rPr>
                <w:rFonts w:hint="eastAsia" w:ascii="仿宋_GB2312" w:hAnsi="仿宋_GB2312" w:eastAsia="仿宋_GB2312" w:cs="仿宋_GB2312"/>
                <w:b/>
                <w:bCs/>
                <w:color w:val="auto"/>
                <w:spacing w:val="-6"/>
                <w:sz w:val="24"/>
                <w:lang w:val="en-US" w:eastAsia="zh-CN"/>
              </w:rPr>
              <w:t>突出规划引领，守护一江碧水</w:t>
            </w:r>
          </w:p>
          <w:p w14:paraId="37BCFCB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eastAsia="zh-CN"/>
              </w:rPr>
              <w:t>1、</w:t>
            </w:r>
            <w:r>
              <w:rPr>
                <w:rFonts w:hint="eastAsia" w:ascii="仿宋_GB2312" w:hAnsi="仿宋_GB2312" w:eastAsia="仿宋_GB2312" w:cs="仿宋_GB2312"/>
                <w:b w:val="0"/>
                <w:bCs w:val="0"/>
                <w:color w:val="auto"/>
                <w:spacing w:val="-6"/>
                <w:sz w:val="24"/>
                <w:lang w:val="en-US" w:eastAsia="zh-CN"/>
              </w:rPr>
              <w:t>精心编制空间规划。统筹划定“三条控制线”，初步划定永久基本农田2956.1平方公里，生态保护红线3380.6平方公里，</w:t>
            </w:r>
            <w:r>
              <w:rPr>
                <w:rFonts w:hint="eastAsia" w:ascii="仿宋_GB2312" w:hAnsi="仿宋_GB2312" w:eastAsia="仿宋_GB2312" w:cs="仿宋_GB2312"/>
                <w:b w:val="0"/>
                <w:bCs w:val="0"/>
                <w:color w:val="auto"/>
                <w:spacing w:val="-6"/>
                <w:sz w:val="24"/>
              </w:rPr>
              <w:t>城镇开发边界664.5平方公里</w:t>
            </w:r>
            <w:r>
              <w:rPr>
                <w:rFonts w:hint="eastAsia" w:ascii="仿宋_GB2312" w:hAnsi="仿宋_GB2312" w:eastAsia="仿宋_GB2312" w:cs="仿宋_GB2312"/>
                <w:b w:val="0"/>
                <w:bCs w:val="0"/>
                <w:color w:val="auto"/>
                <w:spacing w:val="-6"/>
                <w:sz w:val="24"/>
                <w:lang w:eastAsia="zh-CN"/>
              </w:rPr>
              <w:t>；</w:t>
            </w:r>
            <w:r>
              <w:rPr>
                <w:rFonts w:hint="eastAsia" w:ascii="仿宋_GB2312" w:hAnsi="仿宋_GB2312" w:eastAsia="仿宋_GB2312" w:cs="仿宋_GB2312"/>
                <w:b w:val="0"/>
                <w:bCs w:val="0"/>
                <w:color w:val="auto"/>
                <w:spacing w:val="-6"/>
                <w:sz w:val="24"/>
                <w:lang w:val="en-US" w:eastAsia="zh-CN"/>
              </w:rPr>
              <w:t>开展了多类型、多专业的十大专题报告研究，启动了新一轮控规修编，建设了“多规合一”“一</w:t>
            </w:r>
            <w:r>
              <w:rPr>
                <w:rFonts w:hint="eastAsia" w:ascii="仿宋_GB2312" w:hAnsi="仿宋_GB2312" w:eastAsia="仿宋_GB2312" w:cs="仿宋_GB2312"/>
                <w:b w:val="0"/>
                <w:bCs w:val="0"/>
                <w:color w:val="auto"/>
                <w:spacing w:val="-6"/>
                <w:sz w:val="24"/>
                <w:lang w:eastAsia="zh-CN"/>
              </w:rPr>
              <w:t>张图”平台；编制</w:t>
            </w:r>
            <w:r>
              <w:rPr>
                <w:rFonts w:hint="eastAsia" w:ascii="仿宋_GB2312" w:hAnsi="仿宋_GB2312" w:eastAsia="仿宋_GB2312" w:cs="仿宋_GB2312"/>
                <w:b w:val="0"/>
                <w:bCs w:val="0"/>
                <w:color w:val="auto"/>
                <w:spacing w:val="-6"/>
                <w:sz w:val="24"/>
                <w:lang w:val="en-US" w:eastAsia="zh-CN"/>
              </w:rPr>
              <w:t>了</w:t>
            </w:r>
            <w:r>
              <w:rPr>
                <w:rFonts w:hint="eastAsia" w:ascii="仿宋_GB2312" w:hAnsi="仿宋_GB2312" w:eastAsia="仿宋_GB2312" w:cs="仿宋_GB2312"/>
                <w:b w:val="0"/>
                <w:bCs w:val="0"/>
                <w:color w:val="auto"/>
                <w:spacing w:val="-6"/>
                <w:sz w:val="24"/>
                <w:lang w:eastAsia="zh-CN"/>
              </w:rPr>
              <w:t>《“一湖两岸”城市设计》，并作为湖南省唯一“城市设计”案例入选自然资源部建党100周年优秀案例评选；</w:t>
            </w:r>
            <w:r>
              <w:rPr>
                <w:rFonts w:hint="eastAsia" w:ascii="仿宋_GB2312" w:hAnsi="仿宋_GB2312" w:eastAsia="仿宋_GB2312" w:cs="仿宋_GB2312"/>
                <w:b w:val="0"/>
                <w:bCs w:val="0"/>
                <w:color w:val="auto"/>
                <w:spacing w:val="-6"/>
                <w:sz w:val="24"/>
                <w:lang w:val="en-US" w:eastAsia="zh-CN"/>
              </w:rPr>
              <w:t>完成了</w:t>
            </w:r>
            <w:r>
              <w:rPr>
                <w:rFonts w:hint="eastAsia" w:ascii="仿宋_GB2312" w:hAnsi="仿宋_GB2312" w:eastAsia="仿宋_GB2312" w:cs="仿宋_GB2312"/>
                <w:b w:val="0"/>
                <w:bCs w:val="0"/>
                <w:color w:val="auto"/>
                <w:spacing w:val="-6"/>
                <w:sz w:val="24"/>
              </w:rPr>
              <w:t>461个村庄</w:t>
            </w:r>
            <w:r>
              <w:rPr>
                <w:rFonts w:hint="eastAsia" w:ascii="仿宋_GB2312" w:hAnsi="仿宋_GB2312" w:eastAsia="仿宋_GB2312" w:cs="仿宋_GB2312"/>
                <w:b w:val="0"/>
                <w:bCs w:val="0"/>
                <w:color w:val="auto"/>
                <w:spacing w:val="-6"/>
                <w:sz w:val="24"/>
                <w:lang w:val="en-US" w:eastAsia="zh-CN"/>
              </w:rPr>
              <w:t>的</w:t>
            </w:r>
            <w:r>
              <w:rPr>
                <w:rFonts w:hint="eastAsia" w:ascii="仿宋_GB2312" w:hAnsi="仿宋_GB2312" w:eastAsia="仿宋_GB2312" w:cs="仿宋_GB2312"/>
                <w:b w:val="0"/>
                <w:bCs w:val="0"/>
                <w:color w:val="auto"/>
                <w:spacing w:val="-6"/>
                <w:sz w:val="24"/>
              </w:rPr>
              <w:t>基础调查</w:t>
            </w:r>
            <w:r>
              <w:rPr>
                <w:rFonts w:hint="eastAsia" w:ascii="仿宋_GB2312" w:hAnsi="仿宋_GB2312" w:eastAsia="仿宋_GB2312" w:cs="仿宋_GB2312"/>
                <w:b w:val="0"/>
                <w:bCs w:val="0"/>
                <w:color w:val="auto"/>
                <w:spacing w:val="-6"/>
                <w:sz w:val="24"/>
                <w:lang w:eastAsia="zh-CN"/>
              </w:rPr>
              <w:t>、</w:t>
            </w:r>
            <w:r>
              <w:rPr>
                <w:rFonts w:hint="eastAsia" w:ascii="仿宋_GB2312" w:hAnsi="仿宋_GB2312" w:eastAsia="仿宋_GB2312" w:cs="仿宋_GB2312"/>
                <w:b w:val="0"/>
                <w:bCs w:val="0"/>
                <w:color w:val="auto"/>
                <w:spacing w:val="-6"/>
                <w:sz w:val="24"/>
              </w:rPr>
              <w:t>村域国土空间保护开发现状分析评价</w:t>
            </w:r>
            <w:r>
              <w:rPr>
                <w:rFonts w:hint="eastAsia" w:ascii="仿宋_GB2312" w:hAnsi="仿宋_GB2312" w:eastAsia="仿宋_GB2312" w:cs="仿宋_GB2312"/>
                <w:b w:val="0"/>
                <w:bCs w:val="0"/>
                <w:color w:val="auto"/>
                <w:spacing w:val="-6"/>
                <w:sz w:val="24"/>
                <w:lang w:eastAsia="zh-CN"/>
              </w:rPr>
              <w:t>、初步方案咨询论证、</w:t>
            </w:r>
            <w:r>
              <w:rPr>
                <w:rFonts w:hint="eastAsia" w:ascii="仿宋_GB2312" w:hAnsi="仿宋_GB2312" w:eastAsia="仿宋_GB2312" w:cs="仿宋_GB2312"/>
                <w:b w:val="0"/>
                <w:bCs w:val="0"/>
                <w:color w:val="auto"/>
                <w:spacing w:val="-6"/>
                <w:sz w:val="24"/>
                <w:lang w:val="en-US" w:eastAsia="zh-CN"/>
              </w:rPr>
              <w:t>规划</w:t>
            </w:r>
            <w:r>
              <w:rPr>
                <w:rFonts w:hint="eastAsia" w:ascii="仿宋_GB2312" w:hAnsi="仿宋_GB2312" w:eastAsia="仿宋_GB2312" w:cs="仿宋_GB2312"/>
                <w:b w:val="0"/>
                <w:bCs w:val="0"/>
                <w:color w:val="auto"/>
                <w:spacing w:val="-6"/>
                <w:sz w:val="24"/>
              </w:rPr>
              <w:t>方案</w:t>
            </w:r>
            <w:r>
              <w:rPr>
                <w:rFonts w:hint="eastAsia" w:ascii="仿宋_GB2312" w:hAnsi="仿宋_GB2312" w:eastAsia="仿宋_GB2312" w:cs="仿宋_GB2312"/>
                <w:b w:val="0"/>
                <w:bCs w:val="0"/>
                <w:color w:val="auto"/>
                <w:spacing w:val="-6"/>
                <w:sz w:val="24"/>
                <w:lang w:eastAsia="zh-CN"/>
              </w:rPr>
              <w:t>村内公示</w:t>
            </w:r>
            <w:r>
              <w:rPr>
                <w:rFonts w:hint="eastAsia" w:ascii="仿宋_GB2312" w:hAnsi="仿宋_GB2312" w:eastAsia="仿宋_GB2312" w:cs="仿宋_GB2312"/>
                <w:b w:val="0"/>
                <w:bCs w:val="0"/>
                <w:color w:val="auto"/>
                <w:spacing w:val="-6"/>
                <w:sz w:val="24"/>
                <w:lang w:val="en-US" w:eastAsia="zh-CN"/>
              </w:rPr>
              <w:t>等工作，</w:t>
            </w:r>
            <w:r>
              <w:rPr>
                <w:rFonts w:hint="eastAsia" w:ascii="仿宋_GB2312" w:hAnsi="仿宋_GB2312" w:eastAsia="仿宋_GB2312" w:cs="仿宋_GB2312"/>
                <w:b w:val="0"/>
                <w:bCs w:val="0"/>
                <w:color w:val="auto"/>
                <w:spacing w:val="-6"/>
                <w:sz w:val="24"/>
                <w:lang w:val="en-US"/>
              </w:rPr>
              <w:t>全省国土空间优秀案例</w:t>
            </w:r>
            <w:r>
              <w:rPr>
                <w:rFonts w:hint="eastAsia" w:ascii="仿宋_GB2312" w:hAnsi="仿宋_GB2312" w:eastAsia="仿宋_GB2312" w:cs="仿宋_GB2312"/>
                <w:b w:val="0"/>
                <w:bCs w:val="0"/>
                <w:color w:val="auto"/>
                <w:spacing w:val="-6"/>
                <w:sz w:val="24"/>
                <w:lang w:val="en-US" w:eastAsia="zh-CN"/>
              </w:rPr>
              <w:t>岳阳</w:t>
            </w:r>
            <w:r>
              <w:rPr>
                <w:rFonts w:hint="eastAsia" w:ascii="仿宋_GB2312" w:hAnsi="仿宋_GB2312" w:eastAsia="仿宋_GB2312" w:cs="仿宋_GB2312"/>
                <w:b w:val="0"/>
                <w:bCs w:val="0"/>
                <w:color w:val="auto"/>
                <w:spacing w:val="-6"/>
                <w:sz w:val="24"/>
                <w:lang w:val="en-US"/>
              </w:rPr>
              <w:t>市获</w:t>
            </w:r>
            <w:r>
              <w:rPr>
                <w:rFonts w:hint="eastAsia" w:ascii="仿宋_GB2312" w:hAnsi="仿宋_GB2312" w:eastAsia="仿宋_GB2312" w:cs="仿宋_GB2312"/>
                <w:b w:val="0"/>
                <w:bCs w:val="0"/>
                <w:color w:val="auto"/>
                <w:spacing w:val="-6"/>
                <w:sz w:val="24"/>
                <w:lang w:val="en-US" w:eastAsia="zh-CN"/>
              </w:rPr>
              <w:t>得5个奖项</w:t>
            </w:r>
            <w:r>
              <w:rPr>
                <w:rFonts w:hint="eastAsia" w:ascii="仿宋_GB2312" w:hAnsi="仿宋_GB2312" w:eastAsia="仿宋_GB2312" w:cs="仿宋_GB2312"/>
                <w:b w:val="0"/>
                <w:bCs w:val="0"/>
                <w:color w:val="auto"/>
                <w:spacing w:val="-6"/>
                <w:sz w:val="24"/>
                <w:lang w:val="en-US"/>
              </w:rPr>
              <w:t>，</w:t>
            </w:r>
            <w:r>
              <w:rPr>
                <w:rFonts w:hint="eastAsia" w:ascii="仿宋_GB2312" w:hAnsi="仿宋_GB2312" w:eastAsia="仿宋_GB2312" w:cs="仿宋_GB2312"/>
                <w:b w:val="0"/>
                <w:bCs w:val="0"/>
                <w:color w:val="auto"/>
                <w:spacing w:val="-6"/>
                <w:sz w:val="24"/>
                <w:lang w:val="en-US" w:eastAsia="zh-CN"/>
              </w:rPr>
              <w:t>本局</w:t>
            </w:r>
            <w:r>
              <w:rPr>
                <w:rFonts w:hint="eastAsia" w:ascii="仿宋_GB2312" w:hAnsi="仿宋_GB2312" w:eastAsia="仿宋_GB2312" w:cs="仿宋_GB2312"/>
                <w:b w:val="0"/>
                <w:bCs w:val="0"/>
                <w:color w:val="auto"/>
                <w:spacing w:val="-6"/>
                <w:sz w:val="24"/>
                <w:lang w:val="en-US"/>
              </w:rPr>
              <w:t>被评为优秀组织单位</w:t>
            </w:r>
            <w:r>
              <w:rPr>
                <w:rFonts w:hint="eastAsia" w:ascii="仿宋_GB2312" w:hAnsi="仿宋_GB2312" w:eastAsia="仿宋_GB2312" w:cs="仿宋_GB2312"/>
                <w:b w:val="0"/>
                <w:bCs w:val="0"/>
                <w:color w:val="auto"/>
                <w:spacing w:val="-6"/>
                <w:sz w:val="24"/>
                <w:lang w:eastAsia="zh-CN"/>
              </w:rPr>
              <w:t>。</w:t>
            </w:r>
          </w:p>
          <w:p w14:paraId="2340794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eastAsia="zh-CN"/>
              </w:rPr>
              <w:t>2、</w:t>
            </w:r>
            <w:r>
              <w:rPr>
                <w:rFonts w:hint="eastAsia" w:ascii="仿宋_GB2312" w:hAnsi="仿宋_GB2312" w:eastAsia="仿宋_GB2312" w:cs="仿宋_GB2312"/>
                <w:b w:val="0"/>
                <w:bCs w:val="0"/>
                <w:color w:val="auto"/>
                <w:spacing w:val="-6"/>
                <w:sz w:val="24"/>
                <w:lang w:val="en-US" w:eastAsia="zh-CN"/>
              </w:rPr>
              <w:t>着力生态修复治理。做好了“‘十四五’期间第二批山水林田湖草沙一体化保护和修复工程项目”申报工作，</w:t>
            </w:r>
            <w:r>
              <w:rPr>
                <w:rFonts w:hint="eastAsia" w:ascii="仿宋_GB2312" w:hAnsi="仿宋_GB2312" w:eastAsia="仿宋_GB2312" w:cs="仿宋_GB2312"/>
                <w:b w:val="0"/>
                <w:bCs w:val="0"/>
                <w:color w:val="auto"/>
                <w:spacing w:val="-6"/>
                <w:sz w:val="24"/>
                <w:lang w:eastAsia="zh-CN"/>
              </w:rPr>
              <w:t>开展历史遗留矿山图斑核查，</w:t>
            </w:r>
            <w:r>
              <w:rPr>
                <w:rFonts w:hint="eastAsia" w:ascii="仿宋_GB2312" w:hAnsi="仿宋_GB2312" w:eastAsia="仿宋_GB2312" w:cs="仿宋_GB2312"/>
                <w:b w:val="0"/>
                <w:bCs w:val="0"/>
                <w:color w:val="auto"/>
                <w:spacing w:val="-6"/>
                <w:sz w:val="24"/>
                <w:lang w:val="en-US" w:eastAsia="zh-CN"/>
              </w:rPr>
              <w:t>上报</w:t>
            </w:r>
            <w:r>
              <w:rPr>
                <w:rFonts w:hint="eastAsia" w:ascii="仿宋_GB2312" w:hAnsi="仿宋_GB2312" w:eastAsia="仿宋_GB2312" w:cs="仿宋_GB2312"/>
                <w:b w:val="0"/>
                <w:bCs w:val="0"/>
                <w:color w:val="auto"/>
                <w:spacing w:val="-6"/>
                <w:sz w:val="24"/>
                <w:lang w:eastAsia="zh-CN"/>
              </w:rPr>
              <w:t>确认未修复历史遗留矿山683公顷，计划十四五期间修复约546公顷，拟实现修复率80%。</w:t>
            </w:r>
          </w:p>
          <w:p w14:paraId="3FAD3439">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bCs/>
                <w:color w:val="auto"/>
                <w:spacing w:val="-6"/>
                <w:sz w:val="24"/>
                <w:lang w:eastAsia="zh-CN"/>
              </w:rPr>
              <w:t>3、</w:t>
            </w:r>
            <w:r>
              <w:rPr>
                <w:rFonts w:hint="eastAsia" w:ascii="仿宋_GB2312" w:hAnsi="仿宋_GB2312" w:eastAsia="仿宋_GB2312" w:cs="仿宋_GB2312"/>
                <w:b w:val="0"/>
                <w:bCs w:val="0"/>
                <w:color w:val="auto"/>
                <w:spacing w:val="-6"/>
                <w:sz w:val="24"/>
                <w:lang w:val="en-US" w:eastAsia="zh-CN"/>
              </w:rPr>
              <w:t>加快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14:paraId="51B8EF90">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（二）严格保护耕地，落实基本国策</w:t>
            </w:r>
          </w:p>
          <w:p w14:paraId="4C52D61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落实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单位。</w:t>
            </w:r>
          </w:p>
          <w:p w14:paraId="6A4D5672">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全面强化督查执法。抓实“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14:paraId="79242818">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3、做好资源调查工作。完成了耕地后备资源调查和规划划定、城镇低效用地专项调查、农村空心房专项调查、年度国土变更调查等工作，成果上报省厅并通过省级核查。</w:t>
            </w:r>
          </w:p>
          <w:p w14:paraId="600E0B5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（三）科学配置要素，保障经济发展。</w:t>
            </w:r>
          </w:p>
          <w:p w14:paraId="14850197">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强化土地要素保障。围绕岳阳七大千亿产业和“12+1”优势产业链，深入推进土地全生命周期管理，落实“限期供地”“净地出让”，己内酰胺、市中心医院等一大批重大项目顺利落地，截至12月底，全市清零验收121个土地依法征收项目，完成建设用地供应1099宗2811.02公顷，实现土地价款282.62亿元，价款同比增长72.87%，其中市中心城区166.91亿元，同比增长214.27%，追缴往年欠缴土地出让金12.32亿元。</w:t>
            </w:r>
          </w:p>
          <w:p w14:paraId="5D9E3177">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持续优化营商环境。深化建设工程审批制度改革，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积极服务园区自贸区建设，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14:paraId="5D42FCD9">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val="en-US" w:eastAsia="zh-CN"/>
              </w:rPr>
              <w:t>3、落实集约节约用地。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14:paraId="3C51E0EE">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eastAsia="zh-CN"/>
              </w:rPr>
            </w:pPr>
            <w:r>
              <w:rPr>
                <w:rFonts w:hint="eastAsia" w:ascii="仿宋_GB2312" w:hAnsi="仿宋_GB2312" w:eastAsia="仿宋_GB2312" w:cs="仿宋_GB2312"/>
                <w:b/>
                <w:bCs/>
                <w:color w:val="auto"/>
                <w:spacing w:val="-6"/>
                <w:sz w:val="24"/>
                <w:lang w:eastAsia="zh-CN"/>
              </w:rPr>
              <w:t>（四）聚焦民生福祉，维护群众权益</w:t>
            </w:r>
          </w:p>
          <w:p w14:paraId="0F665209">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1、扎实开展地灾防治。积极开展防灾避险知识科普宣传和综合演练，全市共举办应急避险演练41次；坚持人防技防相结合，成功避险2起，持续保持地灾隐患点“零死亡”。</w:t>
            </w:r>
          </w:p>
          <w:p w14:paraId="728431F2">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14:paraId="0D259FDD">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14:paraId="063C4FCE">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14:paraId="5532370E">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（五）强化基础支撑，提升软硬实力</w:t>
            </w:r>
          </w:p>
          <w:p w14:paraId="1C99F60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1、深化机构改革。</w:t>
            </w:r>
          </w:p>
          <w:p w14:paraId="6DBD140E">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2、强化人才培养。</w:t>
            </w:r>
          </w:p>
          <w:p w14:paraId="75876391">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3、推进信息化建设。</w:t>
            </w:r>
          </w:p>
          <w:p w14:paraId="7D48C4DE">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4、抓实信访维稳。</w:t>
            </w:r>
          </w:p>
          <w:p w14:paraId="5A4886F6">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（六）坚持党建引领，筑牢廉洁底线</w:t>
            </w:r>
          </w:p>
          <w:p w14:paraId="7240F7EF">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1、站稳政治立场。</w:t>
            </w:r>
          </w:p>
          <w:p w14:paraId="51E2AF45">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2、巩固基层党建。</w:t>
            </w:r>
          </w:p>
          <w:p w14:paraId="1EF3CD41">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3、狠抓意识形态。</w:t>
            </w:r>
          </w:p>
          <w:p w14:paraId="5EB2C4BE">
            <w:pPr>
              <w:numPr>
                <w:ilvl w:val="0"/>
                <w:numId w:val="0"/>
              </w:numPr>
              <w:autoSpaceDN w:val="0"/>
              <w:spacing w:line="320" w:lineRule="exact"/>
              <w:ind w:firstLine="432"/>
              <w:textAlignment w:val="center"/>
              <w:rPr>
                <w:rFonts w:hint="default" w:ascii="仿宋_GB2312" w:hAnsi="仿宋_GB2312" w:eastAsia="仿宋_GB2312" w:cs="仿宋_GB2312"/>
                <w:color w:val="E36C09"/>
                <w:spacing w:val="-6"/>
                <w:sz w:val="24"/>
                <w:lang w:val="en-US" w:eastAsia="zh-CN"/>
              </w:rPr>
            </w:pPr>
            <w:r>
              <w:rPr>
                <w:rFonts w:hint="eastAsia" w:ascii="仿宋_GB2312" w:hAnsi="仿宋_GB2312" w:eastAsia="仿宋_GB2312" w:cs="仿宋_GB2312"/>
                <w:b w:val="0"/>
                <w:bCs w:val="0"/>
                <w:color w:val="auto"/>
                <w:spacing w:val="-6"/>
                <w:sz w:val="24"/>
                <w:lang w:val="en-US" w:eastAsia="zh-CN"/>
              </w:rPr>
              <w:t>4、加强廉政建设。</w:t>
            </w:r>
          </w:p>
        </w:tc>
      </w:tr>
      <w:tr w14:paraId="3DFF0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0" w:hRule="atLeast"/>
          <w:jc w:val="center"/>
        </w:trPr>
        <w:tc>
          <w:tcPr>
            <w:tcW w:w="9974" w:type="dxa"/>
            <w:gridSpan w:val="26"/>
            <w:noWrap w:val="0"/>
            <w:vAlign w:val="center"/>
          </w:tcPr>
          <w:p w14:paraId="652189F5">
            <w:pPr>
              <w:autoSpaceDN w:val="0"/>
              <w:spacing w:line="320" w:lineRule="exact"/>
              <w:ind w:firstLine="2800" w:firstLineChars="1000"/>
              <w:jc w:val="both"/>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w:t>
            </w:r>
            <w:r>
              <w:rPr>
                <w:rFonts w:hint="eastAsia" w:ascii="黑体" w:hAnsi="黑体" w:eastAsia="黑体" w:cs="黑体"/>
                <w:b/>
                <w:bCs/>
                <w:color w:val="auto"/>
                <w:sz w:val="28"/>
                <w:szCs w:val="28"/>
              </w:rPr>
              <w:t>部门（单位）收支情况</w:t>
            </w:r>
          </w:p>
        </w:tc>
      </w:tr>
      <w:tr w14:paraId="16F2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5" w:hRule="atLeast"/>
          <w:jc w:val="center"/>
        </w:trPr>
        <w:tc>
          <w:tcPr>
            <w:tcW w:w="9974" w:type="dxa"/>
            <w:gridSpan w:val="26"/>
            <w:noWrap w:val="0"/>
            <w:vAlign w:val="center"/>
          </w:tcPr>
          <w:p w14:paraId="5DF1506B">
            <w:pPr>
              <w:keepNext w:val="0"/>
              <w:keepLines w:val="0"/>
              <w:widowControl/>
              <w:suppressLineNumbers w:val="0"/>
              <w:jc w:val="center"/>
              <w:textAlignment w:val="center"/>
              <w:rPr>
                <w:rFonts w:hint="eastAsia" w:ascii="仿宋_GB2312" w:hAnsi="仿宋_GB2312" w:eastAsia="仿宋_GB2312" w:cs="仿宋_GB2312"/>
                <w:color w:val="000000"/>
                <w:sz w:val="24"/>
              </w:rPr>
            </w:pPr>
            <w:r>
              <w:rPr>
                <w:rStyle w:val="11"/>
                <w:rFonts w:hAnsi="宋体"/>
                <w:lang w:val="en-US" w:eastAsia="zh-CN" w:bidi="ar"/>
              </w:rPr>
              <w:t>年度</w:t>
            </w:r>
            <w:r>
              <w:rPr>
                <w:rStyle w:val="12"/>
                <w:rFonts w:hAnsi="宋体"/>
                <w:lang w:val="en-US" w:eastAsia="zh-CN" w:bidi="ar"/>
              </w:rPr>
              <w:t>收入</w:t>
            </w:r>
            <w:r>
              <w:rPr>
                <w:rStyle w:val="11"/>
                <w:rFonts w:hAnsi="宋体"/>
                <w:lang w:val="en-US" w:eastAsia="zh-CN" w:bidi="ar"/>
              </w:rPr>
              <w:t>情况（万元）</w:t>
            </w:r>
          </w:p>
        </w:tc>
      </w:tr>
      <w:tr w14:paraId="1E034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9" w:hRule="atLeast"/>
          <w:jc w:val="center"/>
        </w:trPr>
        <w:tc>
          <w:tcPr>
            <w:tcW w:w="1424" w:type="dxa"/>
            <w:gridSpan w:val="5"/>
            <w:vMerge w:val="restart"/>
            <w:noWrap w:val="0"/>
            <w:vAlign w:val="center"/>
          </w:tcPr>
          <w:p w14:paraId="7E8DA73E">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机构名称</w:t>
            </w:r>
          </w:p>
        </w:tc>
        <w:tc>
          <w:tcPr>
            <w:tcW w:w="1425" w:type="dxa"/>
            <w:gridSpan w:val="4"/>
            <w:vMerge w:val="restart"/>
            <w:tcBorders>
              <w:right w:val="single" w:color="auto" w:sz="4" w:space="0"/>
            </w:tcBorders>
            <w:noWrap w:val="0"/>
            <w:vAlign w:val="center"/>
          </w:tcPr>
          <w:p w14:paraId="324CD60D">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收入合计</w:t>
            </w:r>
          </w:p>
        </w:tc>
        <w:tc>
          <w:tcPr>
            <w:tcW w:w="7125" w:type="dxa"/>
            <w:gridSpan w:val="17"/>
            <w:tcBorders>
              <w:left w:val="single" w:color="auto" w:sz="4" w:space="0"/>
            </w:tcBorders>
            <w:noWrap w:val="0"/>
            <w:vAlign w:val="center"/>
          </w:tcPr>
          <w:p w14:paraId="4AB3B42D">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其中：</w:t>
            </w:r>
          </w:p>
        </w:tc>
      </w:tr>
      <w:tr w14:paraId="01AAB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6" w:hRule="atLeast"/>
          <w:jc w:val="center"/>
        </w:trPr>
        <w:tc>
          <w:tcPr>
            <w:tcW w:w="1424" w:type="dxa"/>
            <w:gridSpan w:val="5"/>
            <w:vMerge w:val="continue"/>
            <w:noWrap w:val="0"/>
            <w:vAlign w:val="center"/>
          </w:tcPr>
          <w:p w14:paraId="7505B796">
            <w:pPr>
              <w:jc w:val="center"/>
              <w:rPr>
                <w:rFonts w:hint="eastAsia" w:ascii="仿宋_GB2312" w:hAnsi="仿宋_GB2312" w:eastAsia="仿宋_GB2312" w:cs="仿宋_GB2312"/>
                <w:color w:val="000000"/>
                <w:sz w:val="24"/>
                <w:szCs w:val="24"/>
              </w:rPr>
            </w:pPr>
          </w:p>
        </w:tc>
        <w:tc>
          <w:tcPr>
            <w:tcW w:w="1425" w:type="dxa"/>
            <w:gridSpan w:val="4"/>
            <w:vMerge w:val="continue"/>
            <w:tcBorders>
              <w:right w:val="single" w:color="auto" w:sz="4" w:space="0"/>
            </w:tcBorders>
            <w:noWrap w:val="0"/>
            <w:vAlign w:val="center"/>
          </w:tcPr>
          <w:p w14:paraId="2CB17B00">
            <w:pPr>
              <w:jc w:val="center"/>
              <w:rPr>
                <w:rFonts w:hint="eastAsia" w:ascii="仿宋_GB2312" w:hAnsi="仿宋_GB2312" w:eastAsia="仿宋_GB2312" w:cs="仿宋_GB2312"/>
                <w:color w:val="000000"/>
                <w:sz w:val="24"/>
                <w:szCs w:val="24"/>
              </w:rPr>
            </w:pPr>
          </w:p>
        </w:tc>
        <w:tc>
          <w:tcPr>
            <w:tcW w:w="1425" w:type="dxa"/>
            <w:gridSpan w:val="3"/>
            <w:tcBorders>
              <w:left w:val="single" w:color="auto" w:sz="4" w:space="0"/>
            </w:tcBorders>
            <w:noWrap w:val="0"/>
            <w:vAlign w:val="center"/>
          </w:tcPr>
          <w:p w14:paraId="5C8A00F9">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上年结转</w:t>
            </w:r>
          </w:p>
        </w:tc>
        <w:tc>
          <w:tcPr>
            <w:tcW w:w="1425" w:type="dxa"/>
            <w:gridSpan w:val="5"/>
            <w:noWrap w:val="0"/>
            <w:vAlign w:val="center"/>
          </w:tcPr>
          <w:p w14:paraId="1412BAD7">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公共财政拨款</w:t>
            </w:r>
          </w:p>
        </w:tc>
        <w:tc>
          <w:tcPr>
            <w:tcW w:w="1425" w:type="dxa"/>
            <w:gridSpan w:val="2"/>
            <w:noWrap w:val="0"/>
            <w:vAlign w:val="center"/>
          </w:tcPr>
          <w:p w14:paraId="45A141F9">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政府基金拨款</w:t>
            </w:r>
          </w:p>
        </w:tc>
        <w:tc>
          <w:tcPr>
            <w:tcW w:w="1425" w:type="dxa"/>
            <w:gridSpan w:val="4"/>
            <w:noWrap w:val="0"/>
            <w:vAlign w:val="center"/>
          </w:tcPr>
          <w:p w14:paraId="398A45F7">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纳入专户管理的非税收入拨款</w:t>
            </w:r>
          </w:p>
        </w:tc>
        <w:tc>
          <w:tcPr>
            <w:tcW w:w="1425" w:type="dxa"/>
            <w:gridSpan w:val="3"/>
            <w:noWrap w:val="0"/>
            <w:vAlign w:val="center"/>
          </w:tcPr>
          <w:p w14:paraId="1DB26D1A">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其他收入</w:t>
            </w:r>
          </w:p>
        </w:tc>
      </w:tr>
      <w:tr w14:paraId="6DC3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2" w:hRule="atLeast"/>
          <w:jc w:val="center"/>
        </w:trPr>
        <w:tc>
          <w:tcPr>
            <w:tcW w:w="1424" w:type="dxa"/>
            <w:gridSpan w:val="5"/>
            <w:noWrap w:val="0"/>
            <w:vAlign w:val="center"/>
          </w:tcPr>
          <w:p w14:paraId="7DA23C15">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岳阳市自然资源和规划局</w:t>
            </w:r>
          </w:p>
        </w:tc>
        <w:tc>
          <w:tcPr>
            <w:tcW w:w="1425" w:type="dxa"/>
            <w:gridSpan w:val="4"/>
            <w:tcBorders>
              <w:right w:val="single" w:color="auto" w:sz="4" w:space="0"/>
            </w:tcBorders>
            <w:noWrap w:val="0"/>
            <w:vAlign w:val="center"/>
          </w:tcPr>
          <w:p w14:paraId="73D8FDF7">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14,679.66</w:t>
            </w:r>
          </w:p>
        </w:tc>
        <w:tc>
          <w:tcPr>
            <w:tcW w:w="1425" w:type="dxa"/>
            <w:gridSpan w:val="3"/>
            <w:tcBorders>
              <w:left w:val="single" w:color="auto" w:sz="4" w:space="0"/>
            </w:tcBorders>
            <w:noWrap w:val="0"/>
            <w:vAlign w:val="center"/>
          </w:tcPr>
          <w:p w14:paraId="69BFADA4">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5,783.22</w:t>
            </w:r>
          </w:p>
        </w:tc>
        <w:tc>
          <w:tcPr>
            <w:tcW w:w="1425" w:type="dxa"/>
            <w:gridSpan w:val="5"/>
            <w:noWrap w:val="0"/>
            <w:vAlign w:val="center"/>
          </w:tcPr>
          <w:p w14:paraId="6F3CF828">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8,258.88</w:t>
            </w:r>
          </w:p>
        </w:tc>
        <w:tc>
          <w:tcPr>
            <w:tcW w:w="1425" w:type="dxa"/>
            <w:gridSpan w:val="2"/>
            <w:noWrap w:val="0"/>
            <w:vAlign w:val="center"/>
          </w:tcPr>
          <w:p w14:paraId="0879FF18">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81.57</w:t>
            </w:r>
          </w:p>
        </w:tc>
        <w:tc>
          <w:tcPr>
            <w:tcW w:w="1425" w:type="dxa"/>
            <w:gridSpan w:val="4"/>
            <w:noWrap w:val="0"/>
            <w:vAlign w:val="center"/>
          </w:tcPr>
          <w:p w14:paraId="2A87DC9B">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1425" w:type="dxa"/>
            <w:gridSpan w:val="3"/>
            <w:noWrap w:val="0"/>
            <w:vAlign w:val="center"/>
          </w:tcPr>
          <w:p w14:paraId="6E3B7727">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yellow"/>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555.99</w:t>
            </w:r>
          </w:p>
        </w:tc>
      </w:tr>
      <w:tr w14:paraId="7B61B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424" w:type="dxa"/>
            <w:gridSpan w:val="5"/>
            <w:noWrap w:val="0"/>
            <w:vAlign w:val="center"/>
          </w:tcPr>
          <w:p w14:paraId="01014395">
            <w:pPr>
              <w:keepNext w:val="0"/>
              <w:keepLines w:val="0"/>
              <w:widowControl/>
              <w:suppressLineNumbers w:val="0"/>
              <w:jc w:val="both"/>
              <w:textAlignment w:val="center"/>
              <w:rPr>
                <w:rFonts w:hint="eastAsia" w:ascii="仿宋_GB2312" w:hAnsi="仿宋_GB2312" w:eastAsia="仿宋_GB2312" w:cs="仿宋_GB2312"/>
                <w:b/>
                <w:bCs/>
                <w:color w:val="000000"/>
                <w:sz w:val="24"/>
                <w:szCs w:val="24"/>
                <w:lang w:eastAsia="zh-CN"/>
              </w:rPr>
            </w:pPr>
            <w:r>
              <w:rPr>
                <w:rFonts w:hint="default" w:ascii="仿宋_GB2312" w:hAnsi="宋体" w:eastAsia="仿宋_GB2312" w:cs="仿宋_GB2312"/>
                <w:b/>
                <w:bCs/>
                <w:i w:val="0"/>
                <w:iCs w:val="0"/>
                <w:color w:val="000000"/>
                <w:kern w:val="0"/>
                <w:sz w:val="24"/>
                <w:szCs w:val="24"/>
                <w:u w:val="none"/>
                <w:lang w:val="en-US" w:eastAsia="zh-CN" w:bidi="ar"/>
              </w:rPr>
              <w:t>1、局机关（本级）</w:t>
            </w:r>
          </w:p>
        </w:tc>
        <w:tc>
          <w:tcPr>
            <w:tcW w:w="1425" w:type="dxa"/>
            <w:gridSpan w:val="4"/>
            <w:tcBorders>
              <w:right w:val="single" w:color="auto" w:sz="4" w:space="0"/>
            </w:tcBorders>
            <w:noWrap w:val="0"/>
            <w:vAlign w:val="center"/>
          </w:tcPr>
          <w:p w14:paraId="355B9E20">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8,218.83</w:t>
            </w:r>
          </w:p>
        </w:tc>
        <w:tc>
          <w:tcPr>
            <w:tcW w:w="1425" w:type="dxa"/>
            <w:gridSpan w:val="3"/>
            <w:tcBorders>
              <w:left w:val="single" w:color="auto" w:sz="4" w:space="0"/>
            </w:tcBorders>
            <w:noWrap w:val="0"/>
            <w:vAlign w:val="center"/>
          </w:tcPr>
          <w:p w14:paraId="6A741438">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3,474.90</w:t>
            </w:r>
          </w:p>
        </w:tc>
        <w:tc>
          <w:tcPr>
            <w:tcW w:w="1425" w:type="dxa"/>
            <w:gridSpan w:val="5"/>
            <w:noWrap w:val="0"/>
            <w:vAlign w:val="center"/>
          </w:tcPr>
          <w:p w14:paraId="0DC25A9B">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4,743.93</w:t>
            </w:r>
          </w:p>
        </w:tc>
        <w:tc>
          <w:tcPr>
            <w:tcW w:w="1425" w:type="dxa"/>
            <w:gridSpan w:val="2"/>
            <w:noWrap w:val="0"/>
            <w:vAlign w:val="center"/>
          </w:tcPr>
          <w:p w14:paraId="14E7BD0D">
            <w:pPr>
              <w:jc w:val="center"/>
              <w:rPr>
                <w:rFonts w:hint="default" w:ascii="Times New Roman" w:hAnsi="Times New Roman" w:eastAsia="仿宋_GB2312" w:cs="Times New Roman"/>
                <w:b/>
                <w:bCs/>
                <w:color w:val="000000"/>
                <w:sz w:val="20"/>
                <w:szCs w:val="20"/>
                <w:highlight w:val="none"/>
                <w:lang w:val="en-US" w:eastAsia="zh-CN"/>
              </w:rPr>
            </w:pPr>
          </w:p>
        </w:tc>
        <w:tc>
          <w:tcPr>
            <w:tcW w:w="1425" w:type="dxa"/>
            <w:gridSpan w:val="4"/>
            <w:noWrap w:val="0"/>
            <w:vAlign w:val="center"/>
          </w:tcPr>
          <w:p w14:paraId="6380102C">
            <w:pPr>
              <w:jc w:val="center"/>
              <w:rPr>
                <w:rFonts w:hint="default" w:ascii="Times New Roman" w:hAnsi="Times New Roman" w:eastAsia="仿宋_GB2312" w:cs="Times New Roman"/>
                <w:b/>
                <w:bCs/>
                <w:color w:val="000000"/>
                <w:sz w:val="20"/>
                <w:szCs w:val="20"/>
                <w:highlight w:val="none"/>
                <w:lang w:val="en-US" w:eastAsia="zh-CN"/>
              </w:rPr>
            </w:pPr>
          </w:p>
        </w:tc>
        <w:tc>
          <w:tcPr>
            <w:tcW w:w="1425" w:type="dxa"/>
            <w:gridSpan w:val="3"/>
            <w:noWrap w:val="0"/>
            <w:vAlign w:val="center"/>
          </w:tcPr>
          <w:p w14:paraId="49A34BA6">
            <w:pPr>
              <w:jc w:val="center"/>
              <w:rPr>
                <w:rFonts w:hint="default" w:ascii="Times New Roman" w:hAnsi="Times New Roman" w:eastAsia="仿宋_GB2312" w:cs="Times New Roman"/>
                <w:b/>
                <w:bCs/>
                <w:color w:val="000000"/>
                <w:sz w:val="20"/>
                <w:szCs w:val="20"/>
                <w:highlight w:val="yellow"/>
                <w:lang w:val="en-US" w:eastAsia="zh-CN"/>
              </w:rPr>
            </w:pPr>
          </w:p>
        </w:tc>
      </w:tr>
      <w:tr w14:paraId="7570B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2" w:hRule="atLeast"/>
          <w:jc w:val="center"/>
        </w:trPr>
        <w:tc>
          <w:tcPr>
            <w:tcW w:w="1424" w:type="dxa"/>
            <w:gridSpan w:val="5"/>
            <w:noWrap w:val="0"/>
            <w:vAlign w:val="center"/>
          </w:tcPr>
          <w:p w14:paraId="27C277B1">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2、南湖新区分局</w:t>
            </w:r>
          </w:p>
        </w:tc>
        <w:tc>
          <w:tcPr>
            <w:tcW w:w="1425" w:type="dxa"/>
            <w:gridSpan w:val="4"/>
            <w:tcBorders>
              <w:right w:val="single" w:color="auto" w:sz="4" w:space="0"/>
            </w:tcBorders>
            <w:noWrap w:val="0"/>
            <w:vAlign w:val="center"/>
          </w:tcPr>
          <w:p w14:paraId="58F17AF2">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615.83</w:t>
            </w:r>
          </w:p>
        </w:tc>
        <w:tc>
          <w:tcPr>
            <w:tcW w:w="1425" w:type="dxa"/>
            <w:gridSpan w:val="3"/>
            <w:tcBorders>
              <w:left w:val="single" w:color="auto" w:sz="4" w:space="0"/>
            </w:tcBorders>
            <w:noWrap w:val="0"/>
            <w:vAlign w:val="center"/>
          </w:tcPr>
          <w:p w14:paraId="272FD5CC">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287.27</w:t>
            </w:r>
          </w:p>
        </w:tc>
        <w:tc>
          <w:tcPr>
            <w:tcW w:w="1425" w:type="dxa"/>
            <w:gridSpan w:val="5"/>
            <w:noWrap w:val="0"/>
            <w:vAlign w:val="center"/>
          </w:tcPr>
          <w:p w14:paraId="64904449">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181.37</w:t>
            </w:r>
          </w:p>
        </w:tc>
        <w:tc>
          <w:tcPr>
            <w:tcW w:w="1425" w:type="dxa"/>
            <w:gridSpan w:val="2"/>
            <w:noWrap w:val="0"/>
            <w:vAlign w:val="center"/>
          </w:tcPr>
          <w:p w14:paraId="4F72A456">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31597578">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4DC14800">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147.19</w:t>
            </w:r>
          </w:p>
        </w:tc>
      </w:tr>
      <w:tr w14:paraId="7488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7" w:hRule="atLeast"/>
          <w:jc w:val="center"/>
        </w:trPr>
        <w:tc>
          <w:tcPr>
            <w:tcW w:w="1424" w:type="dxa"/>
            <w:gridSpan w:val="5"/>
            <w:noWrap w:val="0"/>
            <w:vAlign w:val="center"/>
          </w:tcPr>
          <w:p w14:paraId="65F30211">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3、经济技术开发区分局</w:t>
            </w:r>
          </w:p>
        </w:tc>
        <w:tc>
          <w:tcPr>
            <w:tcW w:w="1425" w:type="dxa"/>
            <w:gridSpan w:val="4"/>
            <w:tcBorders>
              <w:right w:val="single" w:color="auto" w:sz="4" w:space="0"/>
            </w:tcBorders>
            <w:noWrap w:val="0"/>
            <w:vAlign w:val="center"/>
          </w:tcPr>
          <w:p w14:paraId="73FA1DA5">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1,541.39</w:t>
            </w:r>
          </w:p>
        </w:tc>
        <w:tc>
          <w:tcPr>
            <w:tcW w:w="1425" w:type="dxa"/>
            <w:gridSpan w:val="3"/>
            <w:tcBorders>
              <w:left w:val="single" w:color="auto" w:sz="4" w:space="0"/>
            </w:tcBorders>
            <w:noWrap w:val="0"/>
            <w:vAlign w:val="center"/>
          </w:tcPr>
          <w:p w14:paraId="0258DCD9">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928.83</w:t>
            </w:r>
          </w:p>
        </w:tc>
        <w:tc>
          <w:tcPr>
            <w:tcW w:w="1425" w:type="dxa"/>
            <w:gridSpan w:val="5"/>
            <w:noWrap w:val="0"/>
            <w:vAlign w:val="center"/>
          </w:tcPr>
          <w:p w14:paraId="6316C31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317.3</w:t>
            </w:r>
          </w:p>
        </w:tc>
        <w:tc>
          <w:tcPr>
            <w:tcW w:w="1425" w:type="dxa"/>
            <w:gridSpan w:val="2"/>
            <w:noWrap w:val="0"/>
            <w:vAlign w:val="center"/>
          </w:tcPr>
          <w:p w14:paraId="6058F7D8">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420E8B29">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63408138">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295.26</w:t>
            </w:r>
          </w:p>
        </w:tc>
      </w:tr>
      <w:tr w14:paraId="7454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4" w:hRule="atLeast"/>
          <w:jc w:val="center"/>
        </w:trPr>
        <w:tc>
          <w:tcPr>
            <w:tcW w:w="1424" w:type="dxa"/>
            <w:gridSpan w:val="5"/>
            <w:noWrap w:val="0"/>
            <w:vAlign w:val="center"/>
          </w:tcPr>
          <w:p w14:paraId="785F721E">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4、临港国土管理处</w:t>
            </w:r>
          </w:p>
        </w:tc>
        <w:tc>
          <w:tcPr>
            <w:tcW w:w="1425" w:type="dxa"/>
            <w:gridSpan w:val="4"/>
            <w:tcBorders>
              <w:right w:val="single" w:color="auto" w:sz="4" w:space="0"/>
            </w:tcBorders>
            <w:noWrap w:val="0"/>
            <w:vAlign w:val="center"/>
          </w:tcPr>
          <w:p w14:paraId="4BB9740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248.62</w:t>
            </w:r>
          </w:p>
        </w:tc>
        <w:tc>
          <w:tcPr>
            <w:tcW w:w="1425" w:type="dxa"/>
            <w:gridSpan w:val="3"/>
            <w:tcBorders>
              <w:left w:val="single" w:color="auto" w:sz="4" w:space="0"/>
            </w:tcBorders>
            <w:noWrap w:val="0"/>
            <w:vAlign w:val="center"/>
          </w:tcPr>
          <w:p w14:paraId="4FC8FED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8.63</w:t>
            </w:r>
          </w:p>
        </w:tc>
        <w:tc>
          <w:tcPr>
            <w:tcW w:w="1425" w:type="dxa"/>
            <w:gridSpan w:val="5"/>
            <w:noWrap w:val="0"/>
            <w:vAlign w:val="center"/>
          </w:tcPr>
          <w:p w14:paraId="518ACE2C">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239.99</w:t>
            </w:r>
          </w:p>
        </w:tc>
        <w:tc>
          <w:tcPr>
            <w:tcW w:w="1425" w:type="dxa"/>
            <w:gridSpan w:val="2"/>
            <w:noWrap w:val="0"/>
            <w:vAlign w:val="center"/>
          </w:tcPr>
          <w:p w14:paraId="0FF7DBE8">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557C4A71">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5FD971BB">
            <w:pPr>
              <w:jc w:val="center"/>
              <w:rPr>
                <w:rFonts w:hint="default" w:ascii="Times New Roman" w:hAnsi="Times New Roman" w:eastAsia="仿宋_GB2312" w:cs="Times New Roman"/>
                <w:color w:val="000000"/>
                <w:sz w:val="20"/>
                <w:szCs w:val="20"/>
                <w:highlight w:val="yellow"/>
                <w:lang w:val="en-US" w:eastAsia="zh-CN"/>
              </w:rPr>
            </w:pPr>
          </w:p>
        </w:tc>
      </w:tr>
      <w:tr w14:paraId="4F49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4" w:hRule="atLeast"/>
          <w:jc w:val="center"/>
        </w:trPr>
        <w:tc>
          <w:tcPr>
            <w:tcW w:w="1424" w:type="dxa"/>
            <w:gridSpan w:val="5"/>
            <w:noWrap w:val="0"/>
            <w:vAlign w:val="center"/>
          </w:tcPr>
          <w:p w14:paraId="5D3E9174">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5、不动产登记中心</w:t>
            </w:r>
          </w:p>
        </w:tc>
        <w:tc>
          <w:tcPr>
            <w:tcW w:w="1425" w:type="dxa"/>
            <w:gridSpan w:val="4"/>
            <w:tcBorders>
              <w:right w:val="single" w:color="auto" w:sz="4" w:space="0"/>
            </w:tcBorders>
            <w:noWrap w:val="0"/>
            <w:vAlign w:val="center"/>
          </w:tcPr>
          <w:p w14:paraId="59E1F8C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1,893.65</w:t>
            </w:r>
          </w:p>
        </w:tc>
        <w:tc>
          <w:tcPr>
            <w:tcW w:w="1425" w:type="dxa"/>
            <w:gridSpan w:val="3"/>
            <w:tcBorders>
              <w:left w:val="single" w:color="auto" w:sz="4" w:space="0"/>
            </w:tcBorders>
            <w:noWrap w:val="0"/>
            <w:vAlign w:val="center"/>
          </w:tcPr>
          <w:p w14:paraId="3B4A8E4E">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184.56</w:t>
            </w:r>
          </w:p>
        </w:tc>
        <w:tc>
          <w:tcPr>
            <w:tcW w:w="1425" w:type="dxa"/>
            <w:gridSpan w:val="5"/>
            <w:noWrap w:val="0"/>
            <w:vAlign w:val="center"/>
          </w:tcPr>
          <w:p w14:paraId="64F656BE">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1,608.52</w:t>
            </w:r>
          </w:p>
        </w:tc>
        <w:tc>
          <w:tcPr>
            <w:tcW w:w="1425" w:type="dxa"/>
            <w:gridSpan w:val="2"/>
            <w:noWrap w:val="0"/>
            <w:vAlign w:val="center"/>
          </w:tcPr>
          <w:p w14:paraId="45C1A3FE">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81.57</w:t>
            </w:r>
          </w:p>
        </w:tc>
        <w:tc>
          <w:tcPr>
            <w:tcW w:w="1425" w:type="dxa"/>
            <w:gridSpan w:val="4"/>
            <w:noWrap w:val="0"/>
            <w:vAlign w:val="center"/>
          </w:tcPr>
          <w:p w14:paraId="661F094F">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4E73A070">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14:paraId="44CC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5" w:hRule="atLeast"/>
          <w:jc w:val="center"/>
        </w:trPr>
        <w:tc>
          <w:tcPr>
            <w:tcW w:w="1424" w:type="dxa"/>
            <w:gridSpan w:val="5"/>
            <w:noWrap w:val="0"/>
            <w:vAlign w:val="center"/>
          </w:tcPr>
          <w:p w14:paraId="1020C0EA">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6、执法监察支队</w:t>
            </w:r>
          </w:p>
        </w:tc>
        <w:tc>
          <w:tcPr>
            <w:tcW w:w="1425" w:type="dxa"/>
            <w:gridSpan w:val="4"/>
            <w:tcBorders>
              <w:right w:val="single" w:color="auto" w:sz="4" w:space="0"/>
            </w:tcBorders>
            <w:noWrap w:val="0"/>
            <w:vAlign w:val="center"/>
          </w:tcPr>
          <w:p w14:paraId="2EB9435C">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635.53</w:t>
            </w:r>
          </w:p>
        </w:tc>
        <w:tc>
          <w:tcPr>
            <w:tcW w:w="1425" w:type="dxa"/>
            <w:gridSpan w:val="3"/>
            <w:tcBorders>
              <w:left w:val="single" w:color="auto" w:sz="4" w:space="0"/>
            </w:tcBorders>
            <w:noWrap w:val="0"/>
            <w:vAlign w:val="center"/>
          </w:tcPr>
          <w:p w14:paraId="5C4989B7">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278.84</w:t>
            </w:r>
          </w:p>
        </w:tc>
        <w:tc>
          <w:tcPr>
            <w:tcW w:w="1425" w:type="dxa"/>
            <w:gridSpan w:val="5"/>
            <w:noWrap w:val="0"/>
            <w:vAlign w:val="center"/>
          </w:tcPr>
          <w:p w14:paraId="15B7AF2E">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356.69</w:t>
            </w:r>
          </w:p>
        </w:tc>
        <w:tc>
          <w:tcPr>
            <w:tcW w:w="1425" w:type="dxa"/>
            <w:gridSpan w:val="2"/>
            <w:noWrap w:val="0"/>
            <w:vAlign w:val="center"/>
          </w:tcPr>
          <w:p w14:paraId="445D3B1E">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7DDE67E8">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4AD180D2">
            <w:pPr>
              <w:jc w:val="center"/>
              <w:rPr>
                <w:rFonts w:hint="default" w:ascii="Times New Roman" w:hAnsi="Times New Roman" w:eastAsia="仿宋_GB2312" w:cs="Times New Roman"/>
                <w:color w:val="000000"/>
                <w:sz w:val="20"/>
                <w:szCs w:val="20"/>
                <w:highlight w:val="yellow"/>
                <w:lang w:val="en-US" w:eastAsia="zh-CN"/>
              </w:rPr>
            </w:pPr>
          </w:p>
        </w:tc>
      </w:tr>
      <w:tr w14:paraId="25AC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0" w:hRule="atLeast"/>
          <w:jc w:val="center"/>
        </w:trPr>
        <w:tc>
          <w:tcPr>
            <w:tcW w:w="1424" w:type="dxa"/>
            <w:gridSpan w:val="5"/>
            <w:noWrap w:val="0"/>
            <w:vAlign w:val="center"/>
          </w:tcPr>
          <w:p w14:paraId="4248986F">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7、土地综合整治中心</w:t>
            </w:r>
          </w:p>
        </w:tc>
        <w:tc>
          <w:tcPr>
            <w:tcW w:w="1425" w:type="dxa"/>
            <w:gridSpan w:val="4"/>
            <w:tcBorders>
              <w:right w:val="single" w:color="auto" w:sz="4" w:space="0"/>
            </w:tcBorders>
            <w:noWrap w:val="0"/>
            <w:vAlign w:val="center"/>
          </w:tcPr>
          <w:p w14:paraId="1396C891">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200.33</w:t>
            </w:r>
          </w:p>
        </w:tc>
        <w:tc>
          <w:tcPr>
            <w:tcW w:w="1425" w:type="dxa"/>
            <w:gridSpan w:val="3"/>
            <w:tcBorders>
              <w:left w:val="single" w:color="auto" w:sz="4" w:space="0"/>
            </w:tcBorders>
            <w:noWrap w:val="0"/>
            <w:vAlign w:val="center"/>
          </w:tcPr>
          <w:p w14:paraId="2F046627">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63.05</w:t>
            </w:r>
          </w:p>
        </w:tc>
        <w:tc>
          <w:tcPr>
            <w:tcW w:w="1425" w:type="dxa"/>
            <w:gridSpan w:val="5"/>
            <w:noWrap w:val="0"/>
            <w:vAlign w:val="center"/>
          </w:tcPr>
          <w:p w14:paraId="6C11CBBC">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137.28</w:t>
            </w:r>
          </w:p>
        </w:tc>
        <w:tc>
          <w:tcPr>
            <w:tcW w:w="1425" w:type="dxa"/>
            <w:gridSpan w:val="2"/>
            <w:noWrap w:val="0"/>
            <w:vAlign w:val="center"/>
          </w:tcPr>
          <w:p w14:paraId="023FE023">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362481E4">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3EB5910E">
            <w:pPr>
              <w:jc w:val="center"/>
              <w:rPr>
                <w:rFonts w:hint="default" w:ascii="Times New Roman" w:hAnsi="Times New Roman" w:eastAsia="仿宋_GB2312" w:cs="Times New Roman"/>
                <w:color w:val="000000"/>
                <w:sz w:val="20"/>
                <w:szCs w:val="20"/>
                <w:highlight w:val="yellow"/>
                <w:lang w:val="en-US" w:eastAsia="zh-CN"/>
              </w:rPr>
            </w:pPr>
          </w:p>
        </w:tc>
      </w:tr>
      <w:tr w14:paraId="44A3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88" w:hRule="atLeast"/>
          <w:jc w:val="center"/>
        </w:trPr>
        <w:tc>
          <w:tcPr>
            <w:tcW w:w="1424" w:type="dxa"/>
            <w:gridSpan w:val="5"/>
            <w:noWrap w:val="0"/>
            <w:vAlign w:val="center"/>
          </w:tcPr>
          <w:p w14:paraId="481CC8C7">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8、不动产产权交易中心</w:t>
            </w:r>
          </w:p>
        </w:tc>
        <w:tc>
          <w:tcPr>
            <w:tcW w:w="1425" w:type="dxa"/>
            <w:gridSpan w:val="4"/>
            <w:tcBorders>
              <w:right w:val="single" w:color="auto" w:sz="4" w:space="0"/>
            </w:tcBorders>
            <w:noWrap w:val="0"/>
            <w:vAlign w:val="center"/>
          </w:tcPr>
          <w:p w14:paraId="67FA469F">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274.82</w:t>
            </w:r>
          </w:p>
        </w:tc>
        <w:tc>
          <w:tcPr>
            <w:tcW w:w="1425" w:type="dxa"/>
            <w:gridSpan w:val="3"/>
            <w:tcBorders>
              <w:left w:val="single" w:color="auto" w:sz="4" w:space="0"/>
            </w:tcBorders>
            <w:noWrap w:val="0"/>
            <w:vAlign w:val="center"/>
          </w:tcPr>
          <w:p w14:paraId="3C818B94">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22.01</w:t>
            </w:r>
          </w:p>
        </w:tc>
        <w:tc>
          <w:tcPr>
            <w:tcW w:w="1425" w:type="dxa"/>
            <w:gridSpan w:val="5"/>
            <w:noWrap w:val="0"/>
            <w:vAlign w:val="center"/>
          </w:tcPr>
          <w:p w14:paraId="1176DE8F">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176.28</w:t>
            </w:r>
          </w:p>
        </w:tc>
        <w:tc>
          <w:tcPr>
            <w:tcW w:w="1425" w:type="dxa"/>
            <w:gridSpan w:val="2"/>
            <w:noWrap w:val="0"/>
            <w:vAlign w:val="center"/>
          </w:tcPr>
          <w:p w14:paraId="66035092">
            <w:pP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6E9F5C79">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1F4DDE1F">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76.53</w:t>
            </w:r>
          </w:p>
        </w:tc>
      </w:tr>
      <w:tr w14:paraId="7F2C6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8" w:hRule="atLeast"/>
          <w:jc w:val="center"/>
        </w:trPr>
        <w:tc>
          <w:tcPr>
            <w:tcW w:w="1424" w:type="dxa"/>
            <w:gridSpan w:val="5"/>
            <w:noWrap w:val="0"/>
            <w:vAlign w:val="center"/>
          </w:tcPr>
          <w:p w14:paraId="2486C81C">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9、不动产登记信息中心</w:t>
            </w:r>
          </w:p>
        </w:tc>
        <w:tc>
          <w:tcPr>
            <w:tcW w:w="1425" w:type="dxa"/>
            <w:gridSpan w:val="4"/>
            <w:tcBorders>
              <w:right w:val="single" w:color="auto" w:sz="4" w:space="0"/>
            </w:tcBorders>
            <w:noWrap w:val="0"/>
            <w:vAlign w:val="center"/>
          </w:tcPr>
          <w:p w14:paraId="29B47616">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98.81</w:t>
            </w:r>
          </w:p>
        </w:tc>
        <w:tc>
          <w:tcPr>
            <w:tcW w:w="1425" w:type="dxa"/>
            <w:gridSpan w:val="3"/>
            <w:tcBorders>
              <w:left w:val="single" w:color="auto" w:sz="4" w:space="0"/>
            </w:tcBorders>
            <w:noWrap w:val="0"/>
            <w:vAlign w:val="center"/>
          </w:tcPr>
          <w:p w14:paraId="35C0FFDC">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7.28</w:t>
            </w:r>
          </w:p>
        </w:tc>
        <w:tc>
          <w:tcPr>
            <w:tcW w:w="1425" w:type="dxa"/>
            <w:gridSpan w:val="5"/>
            <w:noWrap w:val="0"/>
            <w:vAlign w:val="center"/>
          </w:tcPr>
          <w:p w14:paraId="2CAC1E97">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73.53</w:t>
            </w:r>
          </w:p>
        </w:tc>
        <w:tc>
          <w:tcPr>
            <w:tcW w:w="1425" w:type="dxa"/>
            <w:gridSpan w:val="2"/>
            <w:noWrap w:val="0"/>
            <w:vAlign w:val="center"/>
          </w:tcPr>
          <w:p w14:paraId="48D044B4">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4C450C47">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756F46AF">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14:paraId="7DEA1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68" w:hRule="atLeast"/>
          <w:jc w:val="center"/>
        </w:trPr>
        <w:tc>
          <w:tcPr>
            <w:tcW w:w="1424" w:type="dxa"/>
            <w:gridSpan w:val="5"/>
            <w:noWrap w:val="0"/>
            <w:vAlign w:val="center"/>
          </w:tcPr>
          <w:p w14:paraId="37FA57B3">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10、不动产测绘中心</w:t>
            </w:r>
          </w:p>
        </w:tc>
        <w:tc>
          <w:tcPr>
            <w:tcW w:w="1425" w:type="dxa"/>
            <w:gridSpan w:val="4"/>
            <w:tcBorders>
              <w:right w:val="single" w:color="auto" w:sz="4" w:space="0"/>
            </w:tcBorders>
            <w:noWrap w:val="0"/>
            <w:vAlign w:val="center"/>
          </w:tcPr>
          <w:p w14:paraId="0AA9C764">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951.85</w:t>
            </w:r>
          </w:p>
        </w:tc>
        <w:tc>
          <w:tcPr>
            <w:tcW w:w="1425" w:type="dxa"/>
            <w:gridSpan w:val="3"/>
            <w:tcBorders>
              <w:left w:val="single" w:color="auto" w:sz="4" w:space="0"/>
            </w:tcBorders>
            <w:noWrap w:val="0"/>
            <w:vAlign w:val="center"/>
          </w:tcPr>
          <w:p w14:paraId="634A7653">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527.85</w:t>
            </w:r>
          </w:p>
        </w:tc>
        <w:tc>
          <w:tcPr>
            <w:tcW w:w="1425" w:type="dxa"/>
            <w:gridSpan w:val="5"/>
            <w:noWrap w:val="0"/>
            <w:vAlign w:val="center"/>
          </w:tcPr>
          <w:p w14:paraId="7B3BC8C0">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423.99</w:t>
            </w:r>
          </w:p>
        </w:tc>
        <w:tc>
          <w:tcPr>
            <w:tcW w:w="1425" w:type="dxa"/>
            <w:gridSpan w:val="2"/>
            <w:noWrap w:val="0"/>
            <w:vAlign w:val="center"/>
          </w:tcPr>
          <w:p w14:paraId="055E2A9C">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4A4232F0">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50740544">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0.01</w:t>
            </w:r>
          </w:p>
        </w:tc>
      </w:tr>
      <w:tr w14:paraId="3B0BB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9974" w:type="dxa"/>
            <w:gridSpan w:val="26"/>
            <w:noWrap w:val="0"/>
            <w:vAlign w:val="center"/>
          </w:tcPr>
          <w:p w14:paraId="62B65C2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b/>
                <w:bCs/>
                <w:i w:val="0"/>
                <w:iCs w:val="0"/>
                <w:color w:val="000000"/>
                <w:kern w:val="0"/>
                <w:sz w:val="32"/>
                <w:szCs w:val="32"/>
                <w:u w:val="none"/>
                <w:lang w:val="en-US" w:eastAsia="zh-CN" w:bidi="ar"/>
              </w:rPr>
              <w:t>部门（单位）年度支出和结余情况（万元）</w:t>
            </w:r>
          </w:p>
        </w:tc>
      </w:tr>
      <w:tr w14:paraId="541C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jc w:val="center"/>
        </w:trPr>
        <w:tc>
          <w:tcPr>
            <w:tcW w:w="1704" w:type="dxa"/>
            <w:gridSpan w:val="6"/>
            <w:vMerge w:val="restart"/>
            <w:noWrap w:val="0"/>
            <w:vAlign w:val="center"/>
          </w:tcPr>
          <w:p w14:paraId="44275D8B">
            <w:pPr>
              <w:keepNext w:val="0"/>
              <w:keepLines w:val="0"/>
              <w:widowControl/>
              <w:suppressLineNumbers w:val="0"/>
              <w:jc w:val="center"/>
              <w:textAlignment w:val="center"/>
              <w:rPr>
                <w:rFonts w:hint="eastAsia" w:ascii="仿宋_GB2312" w:hAnsi="仿宋_GB2312" w:eastAsia="仿宋_GB2312" w:cs="仿宋_GB2312"/>
                <w:sz w:val="24"/>
              </w:rPr>
            </w:pPr>
            <w:r>
              <w:rPr>
                <w:rFonts w:hint="default" w:ascii="仿宋_GB2312" w:hAnsi="宋体" w:eastAsia="仿宋_GB2312" w:cs="仿宋_GB2312"/>
                <w:i w:val="0"/>
                <w:iCs w:val="0"/>
                <w:color w:val="000000"/>
                <w:kern w:val="0"/>
                <w:sz w:val="22"/>
                <w:szCs w:val="22"/>
                <w:u w:val="none"/>
                <w:lang w:val="en-US" w:eastAsia="zh-CN" w:bidi="ar"/>
              </w:rPr>
              <w:t>机构名称</w:t>
            </w:r>
          </w:p>
        </w:tc>
        <w:tc>
          <w:tcPr>
            <w:tcW w:w="1093" w:type="dxa"/>
            <w:gridSpan w:val="2"/>
            <w:vMerge w:val="restart"/>
            <w:tcBorders>
              <w:right w:val="single" w:color="auto" w:sz="4" w:space="0"/>
            </w:tcBorders>
            <w:noWrap w:val="0"/>
            <w:vAlign w:val="center"/>
          </w:tcPr>
          <w:p w14:paraId="56E5C3AC">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支出合计</w:t>
            </w:r>
          </w:p>
        </w:tc>
        <w:tc>
          <w:tcPr>
            <w:tcW w:w="4736" w:type="dxa"/>
            <w:gridSpan w:val="12"/>
            <w:tcBorders>
              <w:left w:val="single" w:color="auto" w:sz="4" w:space="0"/>
              <w:bottom w:val="single" w:color="auto" w:sz="4" w:space="0"/>
              <w:right w:val="single" w:color="auto" w:sz="4" w:space="0"/>
            </w:tcBorders>
            <w:noWrap w:val="0"/>
            <w:vAlign w:val="center"/>
          </w:tcPr>
          <w:p w14:paraId="50E40FC8">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其中：</w:t>
            </w:r>
          </w:p>
        </w:tc>
        <w:tc>
          <w:tcPr>
            <w:tcW w:w="2441" w:type="dxa"/>
            <w:gridSpan w:val="6"/>
            <w:tcBorders>
              <w:left w:val="single" w:color="auto" w:sz="4" w:space="0"/>
              <w:bottom w:val="single" w:color="auto" w:sz="4" w:space="0"/>
            </w:tcBorders>
            <w:noWrap w:val="0"/>
            <w:vAlign w:val="center"/>
          </w:tcPr>
          <w:p w14:paraId="6015FFD0">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结余</w:t>
            </w:r>
          </w:p>
        </w:tc>
      </w:tr>
      <w:tr w14:paraId="242A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5" w:hRule="atLeast"/>
          <w:jc w:val="center"/>
        </w:trPr>
        <w:tc>
          <w:tcPr>
            <w:tcW w:w="1704" w:type="dxa"/>
            <w:gridSpan w:val="6"/>
            <w:vMerge w:val="continue"/>
            <w:noWrap w:val="0"/>
            <w:vAlign w:val="center"/>
          </w:tcPr>
          <w:p w14:paraId="616739BB">
            <w:pPr>
              <w:jc w:val="center"/>
              <w:rPr>
                <w:rFonts w:hint="eastAsia" w:ascii="仿宋_GB2312" w:hAnsi="仿宋_GB2312" w:eastAsia="仿宋_GB2312" w:cs="仿宋_GB2312"/>
                <w:sz w:val="24"/>
              </w:rPr>
            </w:pPr>
          </w:p>
        </w:tc>
        <w:tc>
          <w:tcPr>
            <w:tcW w:w="1093" w:type="dxa"/>
            <w:gridSpan w:val="2"/>
            <w:vMerge w:val="continue"/>
            <w:tcBorders>
              <w:right w:val="single" w:color="auto" w:sz="4" w:space="0"/>
            </w:tcBorders>
            <w:noWrap w:val="0"/>
            <w:vAlign w:val="center"/>
          </w:tcPr>
          <w:p w14:paraId="20D21480">
            <w:pPr>
              <w:jc w:val="center"/>
              <w:rPr>
                <w:rFonts w:hint="eastAsia" w:ascii="仿宋_GB2312" w:hAnsi="仿宋_GB2312" w:eastAsia="仿宋_GB2312" w:cs="仿宋_GB2312"/>
                <w:color w:val="000000"/>
                <w:sz w:val="24"/>
              </w:rPr>
            </w:pPr>
          </w:p>
        </w:tc>
        <w:tc>
          <w:tcPr>
            <w:tcW w:w="1184" w:type="dxa"/>
            <w:gridSpan w:val="3"/>
            <w:vMerge w:val="restart"/>
            <w:tcBorders>
              <w:top w:val="single" w:color="auto" w:sz="4" w:space="0"/>
              <w:left w:val="single" w:color="auto" w:sz="4" w:space="0"/>
            </w:tcBorders>
            <w:noWrap w:val="0"/>
            <w:vAlign w:val="center"/>
          </w:tcPr>
          <w:p w14:paraId="5159A06B">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基本支出</w:t>
            </w:r>
          </w:p>
        </w:tc>
        <w:tc>
          <w:tcPr>
            <w:tcW w:w="2368" w:type="dxa"/>
            <w:gridSpan w:val="7"/>
            <w:tcBorders>
              <w:top w:val="single" w:color="auto" w:sz="4" w:space="0"/>
            </w:tcBorders>
            <w:noWrap w:val="0"/>
            <w:vAlign w:val="center"/>
          </w:tcPr>
          <w:p w14:paraId="6249F8F9">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其中：</w:t>
            </w:r>
          </w:p>
        </w:tc>
        <w:tc>
          <w:tcPr>
            <w:tcW w:w="1184" w:type="dxa"/>
            <w:gridSpan w:val="2"/>
            <w:vMerge w:val="restart"/>
            <w:tcBorders>
              <w:top w:val="single" w:color="auto" w:sz="4" w:space="0"/>
              <w:right w:val="single" w:color="auto" w:sz="4" w:space="0"/>
            </w:tcBorders>
            <w:noWrap w:val="0"/>
            <w:vAlign w:val="center"/>
          </w:tcPr>
          <w:p w14:paraId="34D3432D">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项目支出</w:t>
            </w:r>
          </w:p>
        </w:tc>
        <w:tc>
          <w:tcPr>
            <w:tcW w:w="1196" w:type="dxa"/>
            <w:gridSpan w:val="4"/>
            <w:vMerge w:val="restart"/>
            <w:tcBorders>
              <w:top w:val="single" w:color="auto" w:sz="4" w:space="0"/>
              <w:left w:val="single" w:color="auto" w:sz="4" w:space="0"/>
              <w:right w:val="single" w:color="auto" w:sz="4" w:space="0"/>
            </w:tcBorders>
            <w:noWrap w:val="0"/>
            <w:vAlign w:val="center"/>
          </w:tcPr>
          <w:p w14:paraId="28ACDBB2">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当年结余</w:t>
            </w:r>
          </w:p>
        </w:tc>
        <w:tc>
          <w:tcPr>
            <w:tcW w:w="1245" w:type="dxa"/>
            <w:gridSpan w:val="2"/>
            <w:vMerge w:val="restart"/>
            <w:tcBorders>
              <w:top w:val="single" w:color="auto" w:sz="4" w:space="0"/>
              <w:left w:val="single" w:color="auto" w:sz="4" w:space="0"/>
            </w:tcBorders>
            <w:noWrap w:val="0"/>
            <w:vAlign w:val="center"/>
          </w:tcPr>
          <w:p w14:paraId="075871C9">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累计结余</w:t>
            </w:r>
          </w:p>
        </w:tc>
      </w:tr>
      <w:tr w14:paraId="58577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3" w:hRule="atLeast"/>
          <w:jc w:val="center"/>
        </w:trPr>
        <w:tc>
          <w:tcPr>
            <w:tcW w:w="1704" w:type="dxa"/>
            <w:gridSpan w:val="6"/>
            <w:vMerge w:val="continue"/>
            <w:noWrap w:val="0"/>
            <w:vAlign w:val="center"/>
          </w:tcPr>
          <w:p w14:paraId="102EC09A">
            <w:pPr>
              <w:jc w:val="center"/>
              <w:rPr>
                <w:rFonts w:hint="eastAsia" w:ascii="仿宋_GB2312" w:hAnsi="仿宋_GB2312" w:eastAsia="仿宋_GB2312" w:cs="仿宋_GB2312"/>
                <w:sz w:val="24"/>
              </w:rPr>
            </w:pPr>
          </w:p>
        </w:tc>
        <w:tc>
          <w:tcPr>
            <w:tcW w:w="1093" w:type="dxa"/>
            <w:gridSpan w:val="2"/>
            <w:vMerge w:val="continue"/>
            <w:tcBorders>
              <w:right w:val="single" w:color="auto" w:sz="4" w:space="0"/>
            </w:tcBorders>
            <w:noWrap w:val="0"/>
            <w:vAlign w:val="center"/>
          </w:tcPr>
          <w:p w14:paraId="2D4A3ED6">
            <w:pPr>
              <w:jc w:val="center"/>
              <w:rPr>
                <w:rFonts w:hint="eastAsia" w:ascii="仿宋_GB2312" w:hAnsi="仿宋_GB2312" w:eastAsia="仿宋_GB2312" w:cs="仿宋_GB2312"/>
                <w:color w:val="000000"/>
                <w:sz w:val="24"/>
              </w:rPr>
            </w:pPr>
          </w:p>
        </w:tc>
        <w:tc>
          <w:tcPr>
            <w:tcW w:w="1184" w:type="dxa"/>
            <w:gridSpan w:val="3"/>
            <w:vMerge w:val="continue"/>
            <w:tcBorders>
              <w:left w:val="single" w:color="auto" w:sz="4" w:space="0"/>
            </w:tcBorders>
            <w:noWrap w:val="0"/>
            <w:vAlign w:val="center"/>
          </w:tcPr>
          <w:p w14:paraId="23141F47">
            <w:pPr>
              <w:jc w:val="center"/>
              <w:rPr>
                <w:rFonts w:hint="eastAsia" w:ascii="仿宋_GB2312" w:hAnsi="仿宋_GB2312" w:eastAsia="仿宋_GB2312" w:cs="仿宋_GB2312"/>
                <w:color w:val="auto"/>
                <w:sz w:val="24"/>
              </w:rPr>
            </w:pPr>
          </w:p>
        </w:tc>
        <w:tc>
          <w:tcPr>
            <w:tcW w:w="1184" w:type="dxa"/>
            <w:gridSpan w:val="5"/>
            <w:noWrap w:val="0"/>
            <w:vAlign w:val="center"/>
          </w:tcPr>
          <w:p w14:paraId="66234CE0">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人员支出</w:t>
            </w:r>
          </w:p>
        </w:tc>
        <w:tc>
          <w:tcPr>
            <w:tcW w:w="1184" w:type="dxa"/>
            <w:gridSpan w:val="2"/>
            <w:noWrap w:val="0"/>
            <w:vAlign w:val="center"/>
          </w:tcPr>
          <w:p w14:paraId="2D24622B">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公用支出</w:t>
            </w:r>
          </w:p>
        </w:tc>
        <w:tc>
          <w:tcPr>
            <w:tcW w:w="1184" w:type="dxa"/>
            <w:gridSpan w:val="2"/>
            <w:vMerge w:val="continue"/>
            <w:tcBorders>
              <w:right w:val="single" w:color="auto" w:sz="4" w:space="0"/>
            </w:tcBorders>
            <w:noWrap w:val="0"/>
            <w:vAlign w:val="center"/>
          </w:tcPr>
          <w:p w14:paraId="6A50677A">
            <w:pPr>
              <w:jc w:val="center"/>
              <w:rPr>
                <w:rFonts w:hint="eastAsia" w:ascii="仿宋_GB2312" w:hAnsi="仿宋_GB2312" w:eastAsia="仿宋_GB2312" w:cs="仿宋_GB2312"/>
                <w:color w:val="auto"/>
                <w:sz w:val="24"/>
              </w:rPr>
            </w:pPr>
          </w:p>
        </w:tc>
        <w:tc>
          <w:tcPr>
            <w:tcW w:w="1196" w:type="dxa"/>
            <w:gridSpan w:val="4"/>
            <w:vMerge w:val="continue"/>
            <w:tcBorders>
              <w:left w:val="single" w:color="auto" w:sz="4" w:space="0"/>
              <w:right w:val="single" w:color="auto" w:sz="4" w:space="0"/>
            </w:tcBorders>
            <w:noWrap w:val="0"/>
            <w:vAlign w:val="center"/>
          </w:tcPr>
          <w:p w14:paraId="7203146A">
            <w:pPr>
              <w:jc w:val="center"/>
              <w:rPr>
                <w:rFonts w:hint="eastAsia" w:ascii="仿宋_GB2312" w:hAnsi="仿宋_GB2312" w:eastAsia="仿宋_GB2312" w:cs="仿宋_GB2312"/>
                <w:color w:val="auto"/>
                <w:sz w:val="24"/>
              </w:rPr>
            </w:pPr>
          </w:p>
        </w:tc>
        <w:tc>
          <w:tcPr>
            <w:tcW w:w="1245" w:type="dxa"/>
            <w:gridSpan w:val="2"/>
            <w:vMerge w:val="continue"/>
            <w:tcBorders>
              <w:left w:val="single" w:color="auto" w:sz="4" w:space="0"/>
            </w:tcBorders>
            <w:noWrap w:val="0"/>
            <w:vAlign w:val="center"/>
          </w:tcPr>
          <w:p w14:paraId="52F5442F">
            <w:pPr>
              <w:jc w:val="center"/>
              <w:rPr>
                <w:rFonts w:hint="eastAsia" w:ascii="仿宋_GB2312" w:hAnsi="仿宋_GB2312" w:eastAsia="仿宋_GB2312" w:cs="仿宋_GB2312"/>
                <w:color w:val="000000"/>
                <w:sz w:val="24"/>
              </w:rPr>
            </w:pPr>
          </w:p>
        </w:tc>
      </w:tr>
      <w:tr w14:paraId="38D8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9" w:hRule="atLeast"/>
          <w:jc w:val="center"/>
        </w:trPr>
        <w:tc>
          <w:tcPr>
            <w:tcW w:w="1704" w:type="dxa"/>
            <w:gridSpan w:val="6"/>
            <w:noWrap w:val="0"/>
            <w:vAlign w:val="center"/>
          </w:tcPr>
          <w:p w14:paraId="563CDC0A">
            <w:pPr>
              <w:keepNext w:val="0"/>
              <w:keepLines w:val="0"/>
              <w:widowControl/>
              <w:suppressLineNumbers w:val="0"/>
              <w:jc w:val="center"/>
              <w:textAlignment w:val="center"/>
              <w:rPr>
                <w:rFonts w:hint="default" w:ascii="Times New Roman" w:hAnsi="Times New Roman" w:eastAsia="仿宋_GB2312" w:cs="Times New Roman"/>
                <w:b/>
                <w:bCs/>
                <w:sz w:val="24"/>
                <w:szCs w:val="24"/>
              </w:rPr>
            </w:pPr>
            <w:r>
              <w:rPr>
                <w:rFonts w:hint="default" w:ascii="仿宋_GB2312" w:hAnsi="宋体" w:eastAsia="仿宋_GB2312" w:cs="仿宋_GB2312"/>
                <w:b/>
                <w:bCs/>
                <w:i w:val="0"/>
                <w:iCs w:val="0"/>
                <w:color w:val="000000"/>
                <w:kern w:val="0"/>
                <w:sz w:val="22"/>
                <w:szCs w:val="22"/>
                <w:u w:val="none"/>
                <w:lang w:val="en-US" w:eastAsia="zh-CN" w:bidi="ar"/>
              </w:rPr>
              <w:t>岳阳市自然资源和规划局机关</w:t>
            </w:r>
          </w:p>
        </w:tc>
        <w:tc>
          <w:tcPr>
            <w:tcW w:w="1093" w:type="dxa"/>
            <w:gridSpan w:val="2"/>
            <w:tcBorders>
              <w:right w:val="single" w:color="auto" w:sz="4" w:space="0"/>
            </w:tcBorders>
            <w:noWrap w:val="0"/>
            <w:vAlign w:val="center"/>
          </w:tcPr>
          <w:p w14:paraId="16195BB6">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14,538.22</w:t>
            </w:r>
          </w:p>
        </w:tc>
        <w:tc>
          <w:tcPr>
            <w:tcW w:w="1184" w:type="dxa"/>
            <w:gridSpan w:val="3"/>
            <w:tcBorders>
              <w:left w:val="single" w:color="auto" w:sz="4" w:space="0"/>
            </w:tcBorders>
            <w:noWrap w:val="0"/>
            <w:vAlign w:val="center"/>
          </w:tcPr>
          <w:p w14:paraId="3FEBE276">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9,001.64</w:t>
            </w:r>
          </w:p>
        </w:tc>
        <w:tc>
          <w:tcPr>
            <w:tcW w:w="1184" w:type="dxa"/>
            <w:gridSpan w:val="5"/>
            <w:noWrap w:val="0"/>
            <w:vAlign w:val="center"/>
          </w:tcPr>
          <w:p w14:paraId="40E5614A">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cs="Times New Roman"/>
                <w:b/>
                <w:bCs/>
                <w:i w:val="0"/>
                <w:iCs w:val="0"/>
                <w:color w:val="000000"/>
                <w:kern w:val="0"/>
                <w:sz w:val="21"/>
                <w:szCs w:val="21"/>
                <w:u w:val="none"/>
                <w:lang w:val="en-US" w:eastAsia="zh-CN" w:bidi="ar"/>
              </w:rPr>
              <w:t>522</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cs="Times New Roman"/>
                <w:b/>
                <w:bCs/>
                <w:i w:val="0"/>
                <w:iCs w:val="0"/>
                <w:color w:val="000000"/>
                <w:kern w:val="0"/>
                <w:sz w:val="21"/>
                <w:szCs w:val="21"/>
                <w:u w:val="none"/>
                <w:lang w:val="en-US" w:eastAsia="zh-CN" w:bidi="ar"/>
              </w:rPr>
              <w:t>79</w:t>
            </w:r>
          </w:p>
        </w:tc>
        <w:tc>
          <w:tcPr>
            <w:tcW w:w="1184" w:type="dxa"/>
            <w:gridSpan w:val="2"/>
            <w:noWrap w:val="0"/>
            <w:vAlign w:val="center"/>
          </w:tcPr>
          <w:p w14:paraId="64404E45">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3,478.85</w:t>
            </w:r>
          </w:p>
        </w:tc>
        <w:tc>
          <w:tcPr>
            <w:tcW w:w="1184" w:type="dxa"/>
            <w:gridSpan w:val="2"/>
            <w:noWrap w:val="0"/>
            <w:vAlign w:val="center"/>
          </w:tcPr>
          <w:p w14:paraId="63D0197B">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5,536.58</w:t>
            </w:r>
          </w:p>
        </w:tc>
        <w:tc>
          <w:tcPr>
            <w:tcW w:w="1196" w:type="dxa"/>
            <w:gridSpan w:val="4"/>
            <w:tcBorders>
              <w:right w:val="single" w:color="auto" w:sz="4" w:space="0"/>
            </w:tcBorders>
            <w:noWrap w:val="0"/>
            <w:vAlign w:val="center"/>
          </w:tcPr>
          <w:p w14:paraId="56E7C024">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-5,641.78</w:t>
            </w:r>
          </w:p>
        </w:tc>
        <w:tc>
          <w:tcPr>
            <w:tcW w:w="1245" w:type="dxa"/>
            <w:gridSpan w:val="2"/>
            <w:tcBorders>
              <w:left w:val="single" w:color="auto" w:sz="4" w:space="0"/>
            </w:tcBorders>
            <w:noWrap w:val="0"/>
            <w:vAlign w:val="center"/>
          </w:tcPr>
          <w:p w14:paraId="185EB067">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141.44</w:t>
            </w:r>
          </w:p>
        </w:tc>
      </w:tr>
      <w:tr w14:paraId="37CC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jc w:val="center"/>
        </w:trPr>
        <w:tc>
          <w:tcPr>
            <w:tcW w:w="1704" w:type="dxa"/>
            <w:gridSpan w:val="6"/>
            <w:noWrap w:val="0"/>
            <w:vAlign w:val="center"/>
          </w:tcPr>
          <w:p w14:paraId="7A995724">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eastAsia="zh-CN"/>
              </w:rPr>
            </w:pPr>
            <w:r>
              <w:rPr>
                <w:rFonts w:hint="default" w:ascii="Times New Roman" w:hAnsi="Times New Roman" w:eastAsia="宋体" w:cs="Times New Roman"/>
                <w:b/>
                <w:bCs/>
                <w:i w:val="0"/>
                <w:iCs w:val="0"/>
                <w:color w:val="000000"/>
                <w:kern w:val="0"/>
                <w:sz w:val="22"/>
                <w:szCs w:val="22"/>
                <w:u w:val="none"/>
                <w:lang w:val="en-US" w:eastAsia="zh-CN" w:bidi="ar"/>
              </w:rPr>
              <w:t>1</w:t>
            </w:r>
            <w:r>
              <w:rPr>
                <w:rFonts w:hint="default" w:ascii="仿宋_GB2312" w:hAnsi="Times New Roman" w:eastAsia="仿宋_GB2312" w:cs="仿宋_GB2312"/>
                <w:b/>
                <w:bCs/>
                <w:i w:val="0"/>
                <w:iCs w:val="0"/>
                <w:color w:val="000000"/>
                <w:kern w:val="0"/>
                <w:sz w:val="22"/>
                <w:szCs w:val="22"/>
                <w:u w:val="none"/>
                <w:lang w:val="en-US" w:eastAsia="zh-CN" w:bidi="ar"/>
              </w:rPr>
              <w:t>、局机关（本级）</w:t>
            </w:r>
          </w:p>
        </w:tc>
        <w:tc>
          <w:tcPr>
            <w:tcW w:w="1093" w:type="dxa"/>
            <w:gridSpan w:val="2"/>
            <w:tcBorders>
              <w:right w:val="single" w:color="auto" w:sz="4" w:space="0"/>
            </w:tcBorders>
            <w:noWrap w:val="0"/>
            <w:vAlign w:val="center"/>
          </w:tcPr>
          <w:p w14:paraId="73C2A7BC">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8,218.83</w:t>
            </w:r>
          </w:p>
        </w:tc>
        <w:tc>
          <w:tcPr>
            <w:tcW w:w="1184" w:type="dxa"/>
            <w:gridSpan w:val="3"/>
            <w:tcBorders>
              <w:left w:val="single" w:color="auto" w:sz="4" w:space="0"/>
            </w:tcBorders>
            <w:noWrap w:val="0"/>
            <w:vAlign w:val="center"/>
          </w:tcPr>
          <w:p w14:paraId="495B0BC2">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3,395.25</w:t>
            </w:r>
          </w:p>
        </w:tc>
        <w:tc>
          <w:tcPr>
            <w:tcW w:w="1184" w:type="dxa"/>
            <w:gridSpan w:val="5"/>
            <w:noWrap w:val="0"/>
            <w:vAlign w:val="center"/>
          </w:tcPr>
          <w:p w14:paraId="227F106A">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2,024.49</w:t>
            </w:r>
          </w:p>
        </w:tc>
        <w:tc>
          <w:tcPr>
            <w:tcW w:w="1184" w:type="dxa"/>
            <w:gridSpan w:val="2"/>
            <w:noWrap w:val="0"/>
            <w:vAlign w:val="center"/>
          </w:tcPr>
          <w:p w14:paraId="5141EDD5">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1,370.76</w:t>
            </w:r>
          </w:p>
        </w:tc>
        <w:tc>
          <w:tcPr>
            <w:tcW w:w="1184" w:type="dxa"/>
            <w:gridSpan w:val="2"/>
            <w:noWrap w:val="0"/>
            <w:vAlign w:val="center"/>
          </w:tcPr>
          <w:p w14:paraId="2254CE25">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4,823.58</w:t>
            </w:r>
          </w:p>
        </w:tc>
        <w:tc>
          <w:tcPr>
            <w:tcW w:w="1196" w:type="dxa"/>
            <w:gridSpan w:val="4"/>
            <w:tcBorders>
              <w:right w:val="single" w:color="auto" w:sz="4" w:space="0"/>
            </w:tcBorders>
            <w:noWrap w:val="0"/>
            <w:vAlign w:val="center"/>
          </w:tcPr>
          <w:p w14:paraId="5D316714">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-3,474.90</w:t>
            </w:r>
          </w:p>
        </w:tc>
        <w:tc>
          <w:tcPr>
            <w:tcW w:w="1245" w:type="dxa"/>
            <w:gridSpan w:val="2"/>
            <w:tcBorders>
              <w:left w:val="single" w:color="auto" w:sz="4" w:space="0"/>
            </w:tcBorders>
            <w:noWrap w:val="0"/>
            <w:vAlign w:val="center"/>
          </w:tcPr>
          <w:p w14:paraId="3B9755BB">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0.00</w:t>
            </w:r>
          </w:p>
        </w:tc>
      </w:tr>
      <w:tr w14:paraId="6E8D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3" w:hRule="atLeast"/>
          <w:jc w:val="center"/>
        </w:trPr>
        <w:tc>
          <w:tcPr>
            <w:tcW w:w="1704" w:type="dxa"/>
            <w:gridSpan w:val="6"/>
            <w:noWrap w:val="0"/>
            <w:vAlign w:val="center"/>
          </w:tcPr>
          <w:p w14:paraId="73A178CE">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、南湖新区分局</w:t>
            </w:r>
          </w:p>
        </w:tc>
        <w:tc>
          <w:tcPr>
            <w:tcW w:w="1093" w:type="dxa"/>
            <w:gridSpan w:val="2"/>
            <w:tcBorders>
              <w:right w:val="single" w:color="auto" w:sz="4" w:space="0"/>
            </w:tcBorders>
            <w:noWrap w:val="0"/>
            <w:vAlign w:val="center"/>
          </w:tcPr>
          <w:p w14:paraId="2DFD128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610.58</w:t>
            </w:r>
          </w:p>
        </w:tc>
        <w:tc>
          <w:tcPr>
            <w:tcW w:w="1184" w:type="dxa"/>
            <w:gridSpan w:val="3"/>
            <w:tcBorders>
              <w:left w:val="single" w:color="auto" w:sz="4" w:space="0"/>
            </w:tcBorders>
            <w:noWrap w:val="0"/>
            <w:vAlign w:val="center"/>
          </w:tcPr>
          <w:p w14:paraId="1DC61E4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306.18</w:t>
            </w:r>
          </w:p>
        </w:tc>
        <w:tc>
          <w:tcPr>
            <w:tcW w:w="1184" w:type="dxa"/>
            <w:gridSpan w:val="5"/>
            <w:noWrap w:val="0"/>
            <w:vAlign w:val="center"/>
          </w:tcPr>
          <w:p w14:paraId="193F761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186.41</w:t>
            </w:r>
          </w:p>
        </w:tc>
        <w:tc>
          <w:tcPr>
            <w:tcW w:w="1184" w:type="dxa"/>
            <w:gridSpan w:val="2"/>
            <w:noWrap w:val="0"/>
            <w:vAlign w:val="center"/>
          </w:tcPr>
          <w:p w14:paraId="38DF899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119.77</w:t>
            </w:r>
          </w:p>
        </w:tc>
        <w:tc>
          <w:tcPr>
            <w:tcW w:w="1184" w:type="dxa"/>
            <w:gridSpan w:val="2"/>
            <w:noWrap w:val="0"/>
            <w:vAlign w:val="center"/>
          </w:tcPr>
          <w:p w14:paraId="27BE415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304.4</w:t>
            </w:r>
          </w:p>
        </w:tc>
        <w:tc>
          <w:tcPr>
            <w:tcW w:w="1196" w:type="dxa"/>
            <w:gridSpan w:val="4"/>
            <w:tcBorders>
              <w:right w:val="single" w:color="auto" w:sz="4" w:space="0"/>
            </w:tcBorders>
            <w:noWrap w:val="0"/>
            <w:vAlign w:val="center"/>
          </w:tcPr>
          <w:p w14:paraId="2BA0C5C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-282.02</w:t>
            </w:r>
          </w:p>
        </w:tc>
        <w:tc>
          <w:tcPr>
            <w:tcW w:w="1245" w:type="dxa"/>
            <w:gridSpan w:val="2"/>
            <w:tcBorders>
              <w:left w:val="single" w:color="auto" w:sz="4" w:space="0"/>
            </w:tcBorders>
            <w:noWrap w:val="0"/>
            <w:vAlign w:val="center"/>
          </w:tcPr>
          <w:p w14:paraId="164BE0D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5.25</w:t>
            </w:r>
          </w:p>
        </w:tc>
      </w:tr>
      <w:tr w14:paraId="73C8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jc w:val="center"/>
        </w:trPr>
        <w:tc>
          <w:tcPr>
            <w:tcW w:w="1704" w:type="dxa"/>
            <w:gridSpan w:val="6"/>
            <w:noWrap w:val="0"/>
            <w:vAlign w:val="center"/>
          </w:tcPr>
          <w:p w14:paraId="2392FA1B">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、经济技术开发区分局</w:t>
            </w:r>
          </w:p>
        </w:tc>
        <w:tc>
          <w:tcPr>
            <w:tcW w:w="1093" w:type="dxa"/>
            <w:gridSpan w:val="2"/>
            <w:tcBorders>
              <w:right w:val="single" w:color="auto" w:sz="4" w:space="0"/>
            </w:tcBorders>
            <w:noWrap w:val="0"/>
            <w:vAlign w:val="center"/>
          </w:tcPr>
          <w:p w14:paraId="5538A00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1,519.13</w:t>
            </w:r>
          </w:p>
        </w:tc>
        <w:tc>
          <w:tcPr>
            <w:tcW w:w="1184" w:type="dxa"/>
            <w:gridSpan w:val="3"/>
            <w:tcBorders>
              <w:left w:val="single" w:color="auto" w:sz="4" w:space="0"/>
            </w:tcBorders>
            <w:noWrap w:val="0"/>
            <w:vAlign w:val="center"/>
          </w:tcPr>
          <w:p w14:paraId="3198A99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1,519.13</w:t>
            </w:r>
          </w:p>
        </w:tc>
        <w:tc>
          <w:tcPr>
            <w:tcW w:w="1184" w:type="dxa"/>
            <w:gridSpan w:val="5"/>
            <w:noWrap w:val="0"/>
            <w:vAlign w:val="center"/>
          </w:tcPr>
          <w:p w14:paraId="0854ED2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830.27</w:t>
            </w:r>
          </w:p>
        </w:tc>
        <w:tc>
          <w:tcPr>
            <w:tcW w:w="1184" w:type="dxa"/>
            <w:gridSpan w:val="2"/>
            <w:noWrap w:val="0"/>
            <w:vAlign w:val="center"/>
          </w:tcPr>
          <w:p w14:paraId="7E88238F">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688.86</w:t>
            </w:r>
          </w:p>
        </w:tc>
        <w:tc>
          <w:tcPr>
            <w:tcW w:w="1184" w:type="dxa"/>
            <w:gridSpan w:val="2"/>
            <w:noWrap w:val="0"/>
            <w:vAlign w:val="center"/>
          </w:tcPr>
          <w:p w14:paraId="5CC61A19">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14:paraId="4561578E">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-906.57</w:t>
            </w:r>
          </w:p>
        </w:tc>
        <w:tc>
          <w:tcPr>
            <w:tcW w:w="1245" w:type="dxa"/>
            <w:gridSpan w:val="2"/>
            <w:tcBorders>
              <w:left w:val="single" w:color="auto" w:sz="4" w:space="0"/>
            </w:tcBorders>
            <w:noWrap w:val="0"/>
            <w:vAlign w:val="center"/>
          </w:tcPr>
          <w:p w14:paraId="38B84AF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22.26</w:t>
            </w:r>
          </w:p>
        </w:tc>
      </w:tr>
      <w:tr w14:paraId="37859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7" w:hRule="atLeast"/>
          <w:jc w:val="center"/>
        </w:trPr>
        <w:tc>
          <w:tcPr>
            <w:tcW w:w="1704" w:type="dxa"/>
            <w:gridSpan w:val="6"/>
            <w:noWrap w:val="0"/>
            <w:vAlign w:val="center"/>
          </w:tcPr>
          <w:p w14:paraId="4DBEB441">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、临港国土管理处</w:t>
            </w:r>
          </w:p>
        </w:tc>
        <w:tc>
          <w:tcPr>
            <w:tcW w:w="1093" w:type="dxa"/>
            <w:gridSpan w:val="2"/>
            <w:tcBorders>
              <w:right w:val="single" w:color="auto" w:sz="4" w:space="0"/>
            </w:tcBorders>
            <w:noWrap w:val="0"/>
            <w:vAlign w:val="center"/>
          </w:tcPr>
          <w:p w14:paraId="1387E5B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248.62</w:t>
            </w:r>
          </w:p>
        </w:tc>
        <w:tc>
          <w:tcPr>
            <w:tcW w:w="1184" w:type="dxa"/>
            <w:gridSpan w:val="3"/>
            <w:tcBorders>
              <w:left w:val="single" w:color="auto" w:sz="4" w:space="0"/>
            </w:tcBorders>
            <w:noWrap w:val="0"/>
            <w:vAlign w:val="center"/>
          </w:tcPr>
          <w:p w14:paraId="12614C4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110.89</w:t>
            </w:r>
          </w:p>
        </w:tc>
        <w:tc>
          <w:tcPr>
            <w:tcW w:w="1184" w:type="dxa"/>
            <w:gridSpan w:val="5"/>
            <w:noWrap w:val="0"/>
            <w:vAlign w:val="center"/>
          </w:tcPr>
          <w:p w14:paraId="3489991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91.75</w:t>
            </w:r>
          </w:p>
        </w:tc>
        <w:tc>
          <w:tcPr>
            <w:tcW w:w="1184" w:type="dxa"/>
            <w:gridSpan w:val="2"/>
            <w:noWrap w:val="0"/>
            <w:vAlign w:val="center"/>
          </w:tcPr>
          <w:p w14:paraId="5167FF7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19.14</w:t>
            </w:r>
          </w:p>
        </w:tc>
        <w:tc>
          <w:tcPr>
            <w:tcW w:w="1184" w:type="dxa"/>
            <w:gridSpan w:val="2"/>
            <w:noWrap w:val="0"/>
            <w:vAlign w:val="center"/>
          </w:tcPr>
          <w:p w14:paraId="438DD70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137.73</w:t>
            </w:r>
          </w:p>
        </w:tc>
        <w:tc>
          <w:tcPr>
            <w:tcW w:w="1196" w:type="dxa"/>
            <w:gridSpan w:val="4"/>
            <w:tcBorders>
              <w:right w:val="single" w:color="auto" w:sz="4" w:space="0"/>
            </w:tcBorders>
            <w:noWrap w:val="0"/>
            <w:vAlign w:val="center"/>
          </w:tcPr>
          <w:p w14:paraId="13260F3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-8.63</w:t>
            </w:r>
          </w:p>
        </w:tc>
        <w:tc>
          <w:tcPr>
            <w:tcW w:w="1245" w:type="dxa"/>
            <w:gridSpan w:val="2"/>
            <w:tcBorders>
              <w:left w:val="single" w:color="auto" w:sz="4" w:space="0"/>
            </w:tcBorders>
            <w:noWrap w:val="0"/>
            <w:vAlign w:val="center"/>
          </w:tcPr>
          <w:p w14:paraId="66D37AC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6C4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1" w:hRule="atLeast"/>
          <w:jc w:val="center"/>
        </w:trPr>
        <w:tc>
          <w:tcPr>
            <w:tcW w:w="1704" w:type="dxa"/>
            <w:gridSpan w:val="6"/>
            <w:noWrap w:val="0"/>
            <w:vAlign w:val="center"/>
          </w:tcPr>
          <w:p w14:paraId="5620616E">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、不动产登记中心</w:t>
            </w:r>
          </w:p>
        </w:tc>
        <w:tc>
          <w:tcPr>
            <w:tcW w:w="1093" w:type="dxa"/>
            <w:gridSpan w:val="2"/>
            <w:tcBorders>
              <w:right w:val="single" w:color="auto" w:sz="4" w:space="0"/>
            </w:tcBorders>
            <w:noWrap w:val="0"/>
            <w:vAlign w:val="center"/>
          </w:tcPr>
          <w:p w14:paraId="22556B2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1,893.65</w:t>
            </w:r>
          </w:p>
        </w:tc>
        <w:tc>
          <w:tcPr>
            <w:tcW w:w="1184" w:type="dxa"/>
            <w:gridSpan w:val="3"/>
            <w:tcBorders>
              <w:left w:val="single" w:color="auto" w:sz="4" w:space="0"/>
            </w:tcBorders>
            <w:noWrap w:val="0"/>
            <w:vAlign w:val="center"/>
          </w:tcPr>
          <w:p w14:paraId="64CEA887">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1,891.23</w:t>
            </w:r>
          </w:p>
        </w:tc>
        <w:tc>
          <w:tcPr>
            <w:tcW w:w="1184" w:type="dxa"/>
            <w:gridSpan w:val="5"/>
            <w:noWrap w:val="0"/>
            <w:vAlign w:val="center"/>
          </w:tcPr>
          <w:p w14:paraId="6973721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1,368.50</w:t>
            </w:r>
          </w:p>
        </w:tc>
        <w:tc>
          <w:tcPr>
            <w:tcW w:w="1184" w:type="dxa"/>
            <w:gridSpan w:val="2"/>
            <w:noWrap w:val="0"/>
            <w:vAlign w:val="center"/>
          </w:tcPr>
          <w:p w14:paraId="3F63E0CD">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522.73</w:t>
            </w:r>
          </w:p>
        </w:tc>
        <w:tc>
          <w:tcPr>
            <w:tcW w:w="1184" w:type="dxa"/>
            <w:gridSpan w:val="2"/>
            <w:noWrap w:val="0"/>
            <w:vAlign w:val="center"/>
          </w:tcPr>
          <w:p w14:paraId="4F666CE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1196" w:type="dxa"/>
            <w:gridSpan w:val="4"/>
            <w:tcBorders>
              <w:right w:val="single" w:color="auto" w:sz="4" w:space="0"/>
            </w:tcBorders>
            <w:noWrap w:val="0"/>
            <w:vAlign w:val="center"/>
          </w:tcPr>
          <w:p w14:paraId="39DA9A6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-184.56</w:t>
            </w:r>
          </w:p>
        </w:tc>
        <w:tc>
          <w:tcPr>
            <w:tcW w:w="1245" w:type="dxa"/>
            <w:gridSpan w:val="2"/>
            <w:tcBorders>
              <w:left w:val="single" w:color="auto" w:sz="4" w:space="0"/>
            </w:tcBorders>
            <w:noWrap w:val="0"/>
            <w:vAlign w:val="center"/>
          </w:tcPr>
          <w:p w14:paraId="0C45AC5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F7D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9" w:hRule="atLeast"/>
          <w:jc w:val="center"/>
        </w:trPr>
        <w:tc>
          <w:tcPr>
            <w:tcW w:w="1704" w:type="dxa"/>
            <w:gridSpan w:val="6"/>
            <w:noWrap w:val="0"/>
            <w:vAlign w:val="center"/>
          </w:tcPr>
          <w:p w14:paraId="1730C5A9">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、执法监察支队</w:t>
            </w:r>
          </w:p>
        </w:tc>
        <w:tc>
          <w:tcPr>
            <w:tcW w:w="1093" w:type="dxa"/>
            <w:gridSpan w:val="2"/>
            <w:tcBorders>
              <w:right w:val="single" w:color="auto" w:sz="4" w:space="0"/>
            </w:tcBorders>
            <w:noWrap w:val="0"/>
            <w:vAlign w:val="center"/>
          </w:tcPr>
          <w:p w14:paraId="1EF4943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521.95</w:t>
            </w:r>
          </w:p>
        </w:tc>
        <w:tc>
          <w:tcPr>
            <w:tcW w:w="1184" w:type="dxa"/>
            <w:gridSpan w:val="3"/>
            <w:tcBorders>
              <w:left w:val="single" w:color="auto" w:sz="4" w:space="0"/>
            </w:tcBorders>
            <w:noWrap w:val="0"/>
            <w:vAlign w:val="center"/>
          </w:tcPr>
          <w:p w14:paraId="2D22334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285.55</w:t>
            </w:r>
          </w:p>
        </w:tc>
        <w:tc>
          <w:tcPr>
            <w:tcW w:w="1184" w:type="dxa"/>
            <w:gridSpan w:val="5"/>
            <w:noWrap w:val="0"/>
            <w:vAlign w:val="center"/>
          </w:tcPr>
          <w:p w14:paraId="4F99DFE7">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214.27</w:t>
            </w:r>
          </w:p>
        </w:tc>
        <w:tc>
          <w:tcPr>
            <w:tcW w:w="1184" w:type="dxa"/>
            <w:gridSpan w:val="2"/>
            <w:noWrap w:val="0"/>
            <w:vAlign w:val="center"/>
          </w:tcPr>
          <w:p w14:paraId="148C6DCD">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71.28</w:t>
            </w:r>
          </w:p>
        </w:tc>
        <w:tc>
          <w:tcPr>
            <w:tcW w:w="1184" w:type="dxa"/>
            <w:gridSpan w:val="2"/>
            <w:noWrap w:val="0"/>
            <w:vAlign w:val="center"/>
          </w:tcPr>
          <w:p w14:paraId="3BED0E2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236.4</w:t>
            </w:r>
          </w:p>
        </w:tc>
        <w:tc>
          <w:tcPr>
            <w:tcW w:w="1196" w:type="dxa"/>
            <w:gridSpan w:val="4"/>
            <w:tcBorders>
              <w:right w:val="single" w:color="auto" w:sz="4" w:space="0"/>
            </w:tcBorders>
            <w:noWrap w:val="0"/>
            <w:vAlign w:val="center"/>
          </w:tcPr>
          <w:p w14:paraId="63F6A17D">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-165.26</w:t>
            </w:r>
          </w:p>
        </w:tc>
        <w:tc>
          <w:tcPr>
            <w:tcW w:w="1245" w:type="dxa"/>
            <w:gridSpan w:val="2"/>
            <w:tcBorders>
              <w:left w:val="single" w:color="auto" w:sz="4" w:space="0"/>
            </w:tcBorders>
            <w:noWrap w:val="0"/>
            <w:vAlign w:val="center"/>
          </w:tcPr>
          <w:p w14:paraId="7C3A617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113.58</w:t>
            </w:r>
          </w:p>
        </w:tc>
      </w:tr>
      <w:tr w14:paraId="6CD4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8" w:hRule="atLeast"/>
          <w:jc w:val="center"/>
        </w:trPr>
        <w:tc>
          <w:tcPr>
            <w:tcW w:w="1704" w:type="dxa"/>
            <w:gridSpan w:val="6"/>
            <w:noWrap w:val="0"/>
            <w:vAlign w:val="center"/>
          </w:tcPr>
          <w:p w14:paraId="59E66680">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、土地综合整治中心</w:t>
            </w:r>
          </w:p>
        </w:tc>
        <w:tc>
          <w:tcPr>
            <w:tcW w:w="1093" w:type="dxa"/>
            <w:gridSpan w:val="2"/>
            <w:tcBorders>
              <w:right w:val="single" w:color="auto" w:sz="4" w:space="0"/>
            </w:tcBorders>
            <w:noWrap w:val="0"/>
            <w:vAlign w:val="center"/>
          </w:tcPr>
          <w:p w14:paraId="30303B9A">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199.98</w:t>
            </w:r>
          </w:p>
        </w:tc>
        <w:tc>
          <w:tcPr>
            <w:tcW w:w="1184" w:type="dxa"/>
            <w:gridSpan w:val="3"/>
            <w:tcBorders>
              <w:left w:val="single" w:color="auto" w:sz="4" w:space="0"/>
            </w:tcBorders>
            <w:noWrap w:val="0"/>
            <w:vAlign w:val="center"/>
          </w:tcPr>
          <w:p w14:paraId="58A6405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194.89</w:t>
            </w:r>
          </w:p>
        </w:tc>
        <w:tc>
          <w:tcPr>
            <w:tcW w:w="1184" w:type="dxa"/>
            <w:gridSpan w:val="5"/>
            <w:noWrap w:val="0"/>
            <w:vAlign w:val="center"/>
          </w:tcPr>
          <w:p w14:paraId="1CED66B7">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eastAsia" w:cs="Times New Roman"/>
                <w:i w:val="0"/>
                <w:iCs w:val="0"/>
                <w:color w:val="000000"/>
                <w:kern w:val="0"/>
                <w:sz w:val="21"/>
                <w:szCs w:val="21"/>
                <w:u w:val="none"/>
                <w:lang w:val="en-US" w:eastAsia="zh-CN" w:bidi="ar"/>
              </w:rPr>
              <w:t>156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81</w:t>
            </w:r>
          </w:p>
        </w:tc>
        <w:tc>
          <w:tcPr>
            <w:tcW w:w="1184" w:type="dxa"/>
            <w:gridSpan w:val="2"/>
            <w:noWrap w:val="0"/>
            <w:vAlign w:val="center"/>
          </w:tcPr>
          <w:p w14:paraId="39F57A1D">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38.08</w:t>
            </w:r>
          </w:p>
        </w:tc>
        <w:tc>
          <w:tcPr>
            <w:tcW w:w="1184" w:type="dxa"/>
            <w:gridSpan w:val="2"/>
            <w:noWrap w:val="0"/>
            <w:vAlign w:val="center"/>
          </w:tcPr>
          <w:p w14:paraId="08D4EC0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1196" w:type="dxa"/>
            <w:gridSpan w:val="4"/>
            <w:tcBorders>
              <w:right w:val="single" w:color="auto" w:sz="4" w:space="0"/>
            </w:tcBorders>
            <w:noWrap w:val="0"/>
            <w:vAlign w:val="center"/>
          </w:tcPr>
          <w:p w14:paraId="58BB4447">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-62.7</w:t>
            </w:r>
          </w:p>
        </w:tc>
        <w:tc>
          <w:tcPr>
            <w:tcW w:w="1245" w:type="dxa"/>
            <w:gridSpan w:val="2"/>
            <w:tcBorders>
              <w:left w:val="single" w:color="auto" w:sz="4" w:space="0"/>
            </w:tcBorders>
            <w:noWrap w:val="0"/>
            <w:vAlign w:val="center"/>
          </w:tcPr>
          <w:p w14:paraId="5D93E92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0952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6" w:hRule="atLeast"/>
          <w:jc w:val="center"/>
        </w:trPr>
        <w:tc>
          <w:tcPr>
            <w:tcW w:w="1704" w:type="dxa"/>
            <w:gridSpan w:val="6"/>
            <w:noWrap w:val="0"/>
            <w:vAlign w:val="center"/>
          </w:tcPr>
          <w:p w14:paraId="1B81D7CB">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、不动产产权交易中心</w:t>
            </w:r>
          </w:p>
        </w:tc>
        <w:tc>
          <w:tcPr>
            <w:tcW w:w="1093" w:type="dxa"/>
            <w:gridSpan w:val="2"/>
            <w:tcBorders>
              <w:right w:val="single" w:color="auto" w:sz="4" w:space="0"/>
            </w:tcBorders>
            <w:noWrap w:val="0"/>
            <w:vAlign w:val="center"/>
          </w:tcPr>
          <w:p w14:paraId="3F54AFA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274.82</w:t>
            </w:r>
          </w:p>
        </w:tc>
        <w:tc>
          <w:tcPr>
            <w:tcW w:w="1184" w:type="dxa"/>
            <w:gridSpan w:val="3"/>
            <w:tcBorders>
              <w:left w:val="single" w:color="auto" w:sz="4" w:space="0"/>
            </w:tcBorders>
            <w:noWrap w:val="0"/>
            <w:vAlign w:val="center"/>
          </w:tcPr>
          <w:p w14:paraId="2F112A6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274.82</w:t>
            </w:r>
          </w:p>
        </w:tc>
        <w:tc>
          <w:tcPr>
            <w:tcW w:w="1184" w:type="dxa"/>
            <w:gridSpan w:val="5"/>
            <w:noWrap w:val="0"/>
            <w:vAlign w:val="center"/>
          </w:tcPr>
          <w:p w14:paraId="2EB5387E">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245.89</w:t>
            </w:r>
          </w:p>
        </w:tc>
        <w:tc>
          <w:tcPr>
            <w:tcW w:w="1184" w:type="dxa"/>
            <w:gridSpan w:val="2"/>
            <w:noWrap w:val="0"/>
            <w:vAlign w:val="center"/>
          </w:tcPr>
          <w:p w14:paraId="462BE0D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28.93</w:t>
            </w:r>
          </w:p>
        </w:tc>
        <w:tc>
          <w:tcPr>
            <w:tcW w:w="1184" w:type="dxa"/>
            <w:gridSpan w:val="2"/>
            <w:noWrap w:val="0"/>
            <w:vAlign w:val="center"/>
          </w:tcPr>
          <w:p w14:paraId="314F0349">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14:paraId="6AB585B7">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-22.01</w:t>
            </w:r>
          </w:p>
        </w:tc>
        <w:tc>
          <w:tcPr>
            <w:tcW w:w="1245" w:type="dxa"/>
            <w:gridSpan w:val="2"/>
            <w:tcBorders>
              <w:left w:val="single" w:color="auto" w:sz="4" w:space="0"/>
            </w:tcBorders>
            <w:noWrap w:val="0"/>
            <w:vAlign w:val="center"/>
          </w:tcPr>
          <w:p w14:paraId="64E5A50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276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6" w:hRule="atLeast"/>
          <w:jc w:val="center"/>
        </w:trPr>
        <w:tc>
          <w:tcPr>
            <w:tcW w:w="1704" w:type="dxa"/>
            <w:gridSpan w:val="6"/>
            <w:noWrap w:val="0"/>
            <w:vAlign w:val="center"/>
          </w:tcPr>
          <w:p w14:paraId="7DE7F4F1">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、不动产登记信息中心</w:t>
            </w:r>
          </w:p>
        </w:tc>
        <w:tc>
          <w:tcPr>
            <w:tcW w:w="1093" w:type="dxa"/>
            <w:gridSpan w:val="2"/>
            <w:tcBorders>
              <w:right w:val="single" w:color="auto" w:sz="4" w:space="0"/>
            </w:tcBorders>
            <w:noWrap w:val="0"/>
            <w:vAlign w:val="center"/>
          </w:tcPr>
          <w:p w14:paraId="430074C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98.81</w:t>
            </w:r>
          </w:p>
        </w:tc>
        <w:tc>
          <w:tcPr>
            <w:tcW w:w="1184" w:type="dxa"/>
            <w:gridSpan w:val="3"/>
            <w:tcBorders>
              <w:left w:val="single" w:color="auto" w:sz="4" w:space="0"/>
            </w:tcBorders>
            <w:noWrap w:val="0"/>
            <w:vAlign w:val="center"/>
          </w:tcPr>
          <w:p w14:paraId="45681A8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71.85</w:t>
            </w:r>
          </w:p>
        </w:tc>
        <w:tc>
          <w:tcPr>
            <w:tcW w:w="1184" w:type="dxa"/>
            <w:gridSpan w:val="5"/>
            <w:noWrap w:val="0"/>
            <w:vAlign w:val="center"/>
          </w:tcPr>
          <w:p w14:paraId="5F156CDA">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59.23</w:t>
            </w:r>
          </w:p>
        </w:tc>
        <w:tc>
          <w:tcPr>
            <w:tcW w:w="1184" w:type="dxa"/>
            <w:gridSpan w:val="2"/>
            <w:noWrap w:val="0"/>
            <w:vAlign w:val="center"/>
          </w:tcPr>
          <w:p w14:paraId="4D59AD0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12.62</w:t>
            </w:r>
          </w:p>
        </w:tc>
        <w:tc>
          <w:tcPr>
            <w:tcW w:w="1184" w:type="dxa"/>
            <w:gridSpan w:val="2"/>
            <w:noWrap w:val="0"/>
            <w:vAlign w:val="center"/>
          </w:tcPr>
          <w:p w14:paraId="18AD687D">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26.96</w:t>
            </w:r>
          </w:p>
        </w:tc>
        <w:tc>
          <w:tcPr>
            <w:tcW w:w="1196" w:type="dxa"/>
            <w:gridSpan w:val="4"/>
            <w:tcBorders>
              <w:right w:val="single" w:color="auto" w:sz="4" w:space="0"/>
            </w:tcBorders>
            <w:noWrap w:val="0"/>
            <w:vAlign w:val="center"/>
          </w:tcPr>
          <w:p w14:paraId="58C0318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-7.28</w:t>
            </w:r>
          </w:p>
        </w:tc>
        <w:tc>
          <w:tcPr>
            <w:tcW w:w="1245" w:type="dxa"/>
            <w:gridSpan w:val="2"/>
            <w:tcBorders>
              <w:left w:val="single" w:color="auto" w:sz="4" w:space="0"/>
            </w:tcBorders>
            <w:noWrap w:val="0"/>
            <w:vAlign w:val="center"/>
          </w:tcPr>
          <w:p w14:paraId="51DF7A3F">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2BD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1" w:hRule="atLeast"/>
          <w:jc w:val="center"/>
        </w:trPr>
        <w:tc>
          <w:tcPr>
            <w:tcW w:w="1704" w:type="dxa"/>
            <w:gridSpan w:val="6"/>
            <w:noWrap w:val="0"/>
            <w:vAlign w:val="center"/>
          </w:tcPr>
          <w:p w14:paraId="78F662E9">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、不动产测绘中心</w:t>
            </w:r>
          </w:p>
        </w:tc>
        <w:tc>
          <w:tcPr>
            <w:tcW w:w="1093" w:type="dxa"/>
            <w:gridSpan w:val="2"/>
            <w:tcBorders>
              <w:right w:val="single" w:color="auto" w:sz="4" w:space="0"/>
            </w:tcBorders>
            <w:noWrap w:val="0"/>
            <w:vAlign w:val="center"/>
          </w:tcPr>
          <w:p w14:paraId="74A25D5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951.85</w:t>
            </w:r>
          </w:p>
        </w:tc>
        <w:tc>
          <w:tcPr>
            <w:tcW w:w="1184" w:type="dxa"/>
            <w:gridSpan w:val="3"/>
            <w:tcBorders>
              <w:left w:val="single" w:color="auto" w:sz="4" w:space="0"/>
            </w:tcBorders>
            <w:noWrap w:val="0"/>
            <w:vAlign w:val="center"/>
          </w:tcPr>
          <w:p w14:paraId="5CBE5134">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951.85</w:t>
            </w:r>
          </w:p>
        </w:tc>
        <w:tc>
          <w:tcPr>
            <w:tcW w:w="1184" w:type="dxa"/>
            <w:gridSpan w:val="5"/>
            <w:noWrap w:val="0"/>
            <w:vAlign w:val="center"/>
          </w:tcPr>
          <w:p w14:paraId="5524D0EA">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345.17</w:t>
            </w:r>
          </w:p>
        </w:tc>
        <w:tc>
          <w:tcPr>
            <w:tcW w:w="1184" w:type="dxa"/>
            <w:gridSpan w:val="2"/>
            <w:noWrap w:val="0"/>
            <w:vAlign w:val="center"/>
          </w:tcPr>
          <w:p w14:paraId="12D80CE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606.68</w:t>
            </w:r>
          </w:p>
        </w:tc>
        <w:tc>
          <w:tcPr>
            <w:tcW w:w="1184" w:type="dxa"/>
            <w:gridSpan w:val="2"/>
            <w:noWrap w:val="0"/>
            <w:vAlign w:val="center"/>
          </w:tcPr>
          <w:p w14:paraId="3C608F5F">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14:paraId="45514B7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-527.85</w:t>
            </w:r>
          </w:p>
        </w:tc>
        <w:tc>
          <w:tcPr>
            <w:tcW w:w="1245" w:type="dxa"/>
            <w:gridSpan w:val="2"/>
            <w:tcBorders>
              <w:left w:val="single" w:color="auto" w:sz="4" w:space="0"/>
            </w:tcBorders>
            <w:noWrap w:val="0"/>
            <w:vAlign w:val="center"/>
          </w:tcPr>
          <w:p w14:paraId="66A5471A">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6520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911" w:type="dxa"/>
            <w:gridSpan w:val="7"/>
            <w:vMerge w:val="restart"/>
            <w:noWrap w:val="0"/>
            <w:vAlign w:val="center"/>
          </w:tcPr>
          <w:p w14:paraId="1C4510FE">
            <w:pPr>
              <w:keepNext w:val="0"/>
              <w:keepLines w:val="0"/>
              <w:widowControl/>
              <w:suppressLineNumbers w:val="0"/>
              <w:jc w:val="center"/>
              <w:textAlignment w:val="center"/>
              <w:rPr>
                <w:rFonts w:hint="eastAsia" w:ascii="仿宋_GB2312" w:hAnsi="仿宋_GB2312" w:eastAsia="仿宋_GB2312" w:cs="仿宋_GB2312"/>
                <w:b/>
                <w:bCs/>
                <w:sz w:val="24"/>
                <w:szCs w:val="24"/>
              </w:rPr>
            </w:pPr>
            <w:r>
              <w:rPr>
                <w:rFonts w:hint="default" w:ascii="仿宋_GB2312" w:hAnsi="宋体" w:eastAsia="仿宋_GB2312" w:cs="仿宋_GB2312"/>
                <w:b/>
                <w:bCs/>
                <w:i w:val="0"/>
                <w:iCs w:val="0"/>
                <w:color w:val="000000"/>
                <w:kern w:val="0"/>
                <w:sz w:val="24"/>
                <w:szCs w:val="24"/>
                <w:u w:val="none"/>
                <w:lang w:val="en-US" w:eastAsia="zh-CN" w:bidi="ar"/>
              </w:rPr>
              <w:t>机构名称</w:t>
            </w:r>
          </w:p>
        </w:tc>
        <w:tc>
          <w:tcPr>
            <w:tcW w:w="1022" w:type="dxa"/>
            <w:gridSpan w:val="3"/>
            <w:vMerge w:val="restart"/>
            <w:tcBorders>
              <w:right w:val="single" w:color="auto" w:sz="4" w:space="0"/>
            </w:tcBorders>
            <w:noWrap w:val="0"/>
            <w:vAlign w:val="center"/>
          </w:tcPr>
          <w:p w14:paraId="7A4F7211">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三公经费合计</w:t>
            </w:r>
          </w:p>
        </w:tc>
        <w:tc>
          <w:tcPr>
            <w:tcW w:w="7041" w:type="dxa"/>
            <w:gridSpan w:val="16"/>
            <w:tcBorders>
              <w:left w:val="single" w:color="auto" w:sz="4" w:space="0"/>
            </w:tcBorders>
            <w:noWrap w:val="0"/>
            <w:vAlign w:val="center"/>
          </w:tcPr>
          <w:p w14:paraId="16AEF3CC">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其中：</w:t>
            </w:r>
          </w:p>
        </w:tc>
      </w:tr>
      <w:tr w14:paraId="33B7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911" w:type="dxa"/>
            <w:gridSpan w:val="7"/>
            <w:vMerge w:val="continue"/>
            <w:noWrap w:val="0"/>
            <w:vAlign w:val="center"/>
          </w:tcPr>
          <w:p w14:paraId="7E8F95EB">
            <w:pPr>
              <w:jc w:val="center"/>
              <w:rPr>
                <w:rFonts w:hint="eastAsia" w:ascii="仿宋_GB2312" w:hAnsi="仿宋_GB2312" w:eastAsia="仿宋_GB2312" w:cs="仿宋_GB2312"/>
                <w:sz w:val="24"/>
                <w:szCs w:val="24"/>
              </w:rPr>
            </w:pPr>
          </w:p>
        </w:tc>
        <w:tc>
          <w:tcPr>
            <w:tcW w:w="1022" w:type="dxa"/>
            <w:gridSpan w:val="3"/>
            <w:vMerge w:val="continue"/>
            <w:tcBorders>
              <w:right w:val="single" w:color="auto" w:sz="4" w:space="0"/>
            </w:tcBorders>
            <w:noWrap w:val="0"/>
            <w:vAlign w:val="center"/>
          </w:tcPr>
          <w:p w14:paraId="7F2D2AD9">
            <w:pPr>
              <w:jc w:val="center"/>
              <w:rPr>
                <w:rFonts w:hint="eastAsia" w:ascii="仿宋_GB2312" w:hAnsi="仿宋_GB2312" w:eastAsia="仿宋_GB2312" w:cs="仿宋_GB2312"/>
                <w:color w:val="000000"/>
                <w:sz w:val="24"/>
                <w:szCs w:val="24"/>
              </w:rPr>
            </w:pPr>
          </w:p>
        </w:tc>
        <w:tc>
          <w:tcPr>
            <w:tcW w:w="2219" w:type="dxa"/>
            <w:gridSpan w:val="5"/>
            <w:tcBorders>
              <w:left w:val="single" w:color="auto" w:sz="4" w:space="0"/>
            </w:tcBorders>
            <w:noWrap w:val="0"/>
            <w:vAlign w:val="center"/>
          </w:tcPr>
          <w:p w14:paraId="14F69E83">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公务用车运维费</w:t>
            </w:r>
          </w:p>
        </w:tc>
        <w:tc>
          <w:tcPr>
            <w:tcW w:w="2579" w:type="dxa"/>
            <w:gridSpan w:val="6"/>
            <w:noWrap w:val="0"/>
            <w:vAlign w:val="center"/>
          </w:tcPr>
          <w:p w14:paraId="28F6609C">
            <w:pPr>
              <w:keepNext w:val="0"/>
              <w:keepLines w:val="0"/>
              <w:widowControl/>
              <w:suppressLineNumbers w:val="0"/>
              <w:jc w:val="center"/>
              <w:textAlignment w:val="center"/>
              <w:rPr>
                <w:rFonts w:hint="default" w:ascii="仿宋_GB2312" w:hAnsi="仿宋_GB2312" w:eastAsia="仿宋_GB2312" w:cs="仿宋_GB2312"/>
                <w:b/>
                <w:bCs/>
                <w:color w:val="000000"/>
                <w:sz w:val="24"/>
                <w:szCs w:val="24"/>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公务接待费</w:t>
            </w:r>
          </w:p>
        </w:tc>
        <w:tc>
          <w:tcPr>
            <w:tcW w:w="2243" w:type="dxa"/>
            <w:gridSpan w:val="5"/>
            <w:noWrap w:val="0"/>
            <w:vAlign w:val="center"/>
          </w:tcPr>
          <w:p w14:paraId="334638C6">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因公出国费</w:t>
            </w:r>
          </w:p>
        </w:tc>
      </w:tr>
      <w:tr w14:paraId="0959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3" w:hRule="atLeast"/>
          <w:jc w:val="center"/>
        </w:trPr>
        <w:tc>
          <w:tcPr>
            <w:tcW w:w="1911" w:type="dxa"/>
            <w:gridSpan w:val="7"/>
            <w:noWrap w:val="0"/>
            <w:vAlign w:val="center"/>
          </w:tcPr>
          <w:p w14:paraId="149BCD49">
            <w:pPr>
              <w:keepNext w:val="0"/>
              <w:keepLines w:val="0"/>
              <w:widowControl/>
              <w:suppressLineNumbers w:val="0"/>
              <w:jc w:val="left"/>
              <w:textAlignment w:val="center"/>
              <w:rPr>
                <w:rFonts w:hint="eastAsia" w:ascii="仿宋_GB2312" w:hAnsi="Times New Roman" w:eastAsia="仿宋_GB2312" w:cs="仿宋_GB2312"/>
                <w:b/>
                <w:bCs/>
                <w:i w:val="0"/>
                <w:iCs w:val="0"/>
                <w:color w:val="000000"/>
                <w:kern w:val="0"/>
                <w:sz w:val="22"/>
                <w:szCs w:val="22"/>
                <w:u w:val="none"/>
                <w:lang w:val="en-US" w:eastAsia="zh-CN" w:bidi="ar"/>
              </w:rPr>
            </w:pPr>
            <w:r>
              <w:rPr>
                <w:rFonts w:hint="default" w:ascii="仿宋_GB2312" w:hAnsi="Times New Roman" w:eastAsia="仿宋_GB2312" w:cs="仿宋_GB2312"/>
                <w:b/>
                <w:bCs/>
                <w:i w:val="0"/>
                <w:iCs w:val="0"/>
                <w:color w:val="000000"/>
                <w:kern w:val="0"/>
                <w:sz w:val="22"/>
                <w:szCs w:val="22"/>
                <w:u w:val="none"/>
                <w:lang w:val="en-US" w:eastAsia="zh-CN" w:bidi="ar"/>
              </w:rPr>
              <w:t>岳阳市自然资源和规划局机关</w:t>
            </w:r>
          </w:p>
        </w:tc>
        <w:tc>
          <w:tcPr>
            <w:tcW w:w="1022" w:type="dxa"/>
            <w:gridSpan w:val="3"/>
            <w:tcBorders>
              <w:right w:val="single" w:color="auto" w:sz="4" w:space="0"/>
            </w:tcBorders>
            <w:noWrap w:val="0"/>
            <w:vAlign w:val="center"/>
          </w:tcPr>
          <w:p w14:paraId="1238DDF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56.97</w:t>
            </w:r>
          </w:p>
        </w:tc>
        <w:tc>
          <w:tcPr>
            <w:tcW w:w="2219" w:type="dxa"/>
            <w:gridSpan w:val="5"/>
            <w:tcBorders>
              <w:left w:val="single" w:color="auto" w:sz="4" w:space="0"/>
            </w:tcBorders>
            <w:noWrap w:val="0"/>
            <w:vAlign w:val="center"/>
          </w:tcPr>
          <w:p w14:paraId="3019A77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33.76</w:t>
            </w:r>
          </w:p>
        </w:tc>
        <w:tc>
          <w:tcPr>
            <w:tcW w:w="2579" w:type="dxa"/>
            <w:gridSpan w:val="6"/>
            <w:noWrap w:val="0"/>
            <w:vAlign w:val="center"/>
          </w:tcPr>
          <w:p w14:paraId="4C6B165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23.21</w:t>
            </w:r>
          </w:p>
        </w:tc>
        <w:tc>
          <w:tcPr>
            <w:tcW w:w="2243" w:type="dxa"/>
            <w:gridSpan w:val="5"/>
            <w:noWrap w:val="0"/>
            <w:vAlign w:val="center"/>
          </w:tcPr>
          <w:p w14:paraId="6256CB0F">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0</w:t>
            </w:r>
          </w:p>
        </w:tc>
      </w:tr>
      <w:tr w14:paraId="6740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911" w:type="dxa"/>
            <w:gridSpan w:val="7"/>
            <w:noWrap w:val="0"/>
            <w:vAlign w:val="center"/>
          </w:tcPr>
          <w:p w14:paraId="049D3DF7">
            <w:pPr>
              <w:keepNext w:val="0"/>
              <w:keepLines w:val="0"/>
              <w:widowControl/>
              <w:suppressLineNumbers w:val="0"/>
              <w:jc w:val="left"/>
              <w:textAlignment w:val="center"/>
              <w:rPr>
                <w:rFonts w:hint="eastAsia" w:ascii="仿宋_GB2312" w:hAnsi="Times New Roman" w:eastAsia="仿宋_GB2312" w:cs="仿宋_GB2312"/>
                <w:b/>
                <w:bCs/>
                <w:i w:val="0"/>
                <w:iCs w:val="0"/>
                <w:color w:val="000000"/>
                <w:kern w:val="0"/>
                <w:sz w:val="22"/>
                <w:szCs w:val="22"/>
                <w:u w:val="none"/>
                <w:lang w:val="en-US" w:eastAsia="zh-CN" w:bidi="ar"/>
              </w:rPr>
            </w:pPr>
            <w:r>
              <w:rPr>
                <w:rFonts w:hint="default" w:ascii="仿宋_GB2312" w:hAnsi="Times New Roman" w:eastAsia="仿宋_GB2312" w:cs="仿宋_GB2312"/>
                <w:b/>
                <w:bCs/>
                <w:i w:val="0"/>
                <w:iCs w:val="0"/>
                <w:color w:val="000000"/>
                <w:kern w:val="0"/>
                <w:sz w:val="22"/>
                <w:szCs w:val="22"/>
                <w:u w:val="none"/>
                <w:lang w:val="en-US" w:eastAsia="zh-CN" w:bidi="ar"/>
              </w:rPr>
              <w:t>1、局机关（本级）</w:t>
            </w:r>
          </w:p>
        </w:tc>
        <w:tc>
          <w:tcPr>
            <w:tcW w:w="1022" w:type="dxa"/>
            <w:gridSpan w:val="3"/>
            <w:tcBorders>
              <w:right w:val="single" w:color="auto" w:sz="4" w:space="0"/>
            </w:tcBorders>
            <w:noWrap w:val="0"/>
            <w:vAlign w:val="center"/>
          </w:tcPr>
          <w:p w14:paraId="4EF03DB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31.64</w:t>
            </w:r>
          </w:p>
        </w:tc>
        <w:tc>
          <w:tcPr>
            <w:tcW w:w="2219" w:type="dxa"/>
            <w:gridSpan w:val="5"/>
            <w:tcBorders>
              <w:left w:val="single" w:color="auto" w:sz="4" w:space="0"/>
            </w:tcBorders>
            <w:noWrap w:val="0"/>
            <w:vAlign w:val="center"/>
          </w:tcPr>
          <w:p w14:paraId="78A5171D">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17.12</w:t>
            </w:r>
          </w:p>
        </w:tc>
        <w:tc>
          <w:tcPr>
            <w:tcW w:w="2579" w:type="dxa"/>
            <w:gridSpan w:val="6"/>
            <w:noWrap w:val="0"/>
            <w:vAlign w:val="center"/>
          </w:tcPr>
          <w:p w14:paraId="737766D5">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14.52</w:t>
            </w:r>
          </w:p>
        </w:tc>
        <w:tc>
          <w:tcPr>
            <w:tcW w:w="2243" w:type="dxa"/>
            <w:gridSpan w:val="5"/>
            <w:noWrap w:val="0"/>
            <w:vAlign w:val="center"/>
          </w:tcPr>
          <w:p w14:paraId="77B14ECF">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0</w:t>
            </w:r>
          </w:p>
        </w:tc>
      </w:tr>
      <w:tr w14:paraId="05883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0" w:hRule="atLeast"/>
          <w:jc w:val="center"/>
        </w:trPr>
        <w:tc>
          <w:tcPr>
            <w:tcW w:w="1911" w:type="dxa"/>
            <w:gridSpan w:val="7"/>
            <w:noWrap w:val="0"/>
            <w:vAlign w:val="center"/>
          </w:tcPr>
          <w:p w14:paraId="36118523">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2、南湖新区分局</w:t>
            </w:r>
          </w:p>
        </w:tc>
        <w:tc>
          <w:tcPr>
            <w:tcW w:w="1022" w:type="dxa"/>
            <w:gridSpan w:val="3"/>
            <w:tcBorders>
              <w:right w:val="single" w:color="auto" w:sz="4" w:space="0"/>
            </w:tcBorders>
            <w:noWrap w:val="0"/>
            <w:vAlign w:val="center"/>
          </w:tcPr>
          <w:p w14:paraId="01373F72">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2219" w:type="dxa"/>
            <w:gridSpan w:val="5"/>
            <w:tcBorders>
              <w:left w:val="single" w:color="auto" w:sz="4" w:space="0"/>
            </w:tcBorders>
            <w:noWrap w:val="0"/>
            <w:vAlign w:val="center"/>
          </w:tcPr>
          <w:p w14:paraId="038BDF5F">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1.73</w:t>
            </w:r>
          </w:p>
        </w:tc>
        <w:tc>
          <w:tcPr>
            <w:tcW w:w="2579" w:type="dxa"/>
            <w:gridSpan w:val="6"/>
            <w:noWrap w:val="0"/>
            <w:vAlign w:val="center"/>
          </w:tcPr>
          <w:p w14:paraId="0D363B5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0.15</w:t>
            </w:r>
          </w:p>
        </w:tc>
        <w:tc>
          <w:tcPr>
            <w:tcW w:w="2243" w:type="dxa"/>
            <w:gridSpan w:val="5"/>
            <w:noWrap w:val="0"/>
            <w:vAlign w:val="center"/>
          </w:tcPr>
          <w:p w14:paraId="71E84B97">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2FEF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5" w:hRule="atLeast"/>
          <w:jc w:val="center"/>
        </w:trPr>
        <w:tc>
          <w:tcPr>
            <w:tcW w:w="1911" w:type="dxa"/>
            <w:gridSpan w:val="7"/>
            <w:noWrap w:val="0"/>
            <w:vAlign w:val="center"/>
          </w:tcPr>
          <w:p w14:paraId="1261B5C3">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3、经济技术开发区分局</w:t>
            </w:r>
          </w:p>
        </w:tc>
        <w:tc>
          <w:tcPr>
            <w:tcW w:w="1022" w:type="dxa"/>
            <w:gridSpan w:val="3"/>
            <w:tcBorders>
              <w:right w:val="single" w:color="auto" w:sz="4" w:space="0"/>
            </w:tcBorders>
            <w:noWrap w:val="0"/>
            <w:vAlign w:val="center"/>
          </w:tcPr>
          <w:p w14:paraId="4550F9EF">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2219" w:type="dxa"/>
            <w:gridSpan w:val="5"/>
            <w:tcBorders>
              <w:left w:val="single" w:color="auto" w:sz="4" w:space="0"/>
            </w:tcBorders>
            <w:noWrap w:val="0"/>
            <w:vAlign w:val="center"/>
          </w:tcPr>
          <w:p w14:paraId="2EE7DF6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1.84</w:t>
            </w:r>
          </w:p>
        </w:tc>
        <w:tc>
          <w:tcPr>
            <w:tcW w:w="2579" w:type="dxa"/>
            <w:gridSpan w:val="6"/>
            <w:noWrap w:val="0"/>
            <w:vAlign w:val="center"/>
          </w:tcPr>
          <w:p w14:paraId="04E7038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0.48</w:t>
            </w:r>
          </w:p>
        </w:tc>
        <w:tc>
          <w:tcPr>
            <w:tcW w:w="2243" w:type="dxa"/>
            <w:gridSpan w:val="5"/>
            <w:noWrap w:val="0"/>
            <w:vAlign w:val="center"/>
          </w:tcPr>
          <w:p w14:paraId="26A9C6A5">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135DF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4" w:hRule="atLeast"/>
          <w:jc w:val="center"/>
        </w:trPr>
        <w:tc>
          <w:tcPr>
            <w:tcW w:w="1911" w:type="dxa"/>
            <w:gridSpan w:val="7"/>
            <w:noWrap w:val="0"/>
            <w:vAlign w:val="center"/>
          </w:tcPr>
          <w:p w14:paraId="76BD86E3">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4、临港国土管理处</w:t>
            </w:r>
          </w:p>
        </w:tc>
        <w:tc>
          <w:tcPr>
            <w:tcW w:w="1022" w:type="dxa"/>
            <w:gridSpan w:val="3"/>
            <w:tcBorders>
              <w:right w:val="single" w:color="auto" w:sz="4" w:space="0"/>
            </w:tcBorders>
            <w:noWrap w:val="0"/>
            <w:vAlign w:val="center"/>
          </w:tcPr>
          <w:p w14:paraId="5B8ACC42">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14:paraId="03FF03E2">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14:paraId="4BE83931">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3BF3756A">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2621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2" w:hRule="atLeast"/>
          <w:jc w:val="center"/>
        </w:trPr>
        <w:tc>
          <w:tcPr>
            <w:tcW w:w="1911" w:type="dxa"/>
            <w:gridSpan w:val="7"/>
            <w:noWrap w:val="0"/>
            <w:vAlign w:val="center"/>
          </w:tcPr>
          <w:p w14:paraId="20161010">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5、不动产登记中心</w:t>
            </w:r>
          </w:p>
        </w:tc>
        <w:tc>
          <w:tcPr>
            <w:tcW w:w="1022" w:type="dxa"/>
            <w:gridSpan w:val="3"/>
            <w:tcBorders>
              <w:right w:val="single" w:color="auto" w:sz="4" w:space="0"/>
            </w:tcBorders>
            <w:noWrap w:val="0"/>
            <w:vAlign w:val="center"/>
          </w:tcPr>
          <w:p w14:paraId="3BE205F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2219" w:type="dxa"/>
            <w:gridSpan w:val="5"/>
            <w:tcBorders>
              <w:left w:val="single" w:color="auto" w:sz="4" w:space="0"/>
            </w:tcBorders>
            <w:noWrap w:val="0"/>
            <w:vAlign w:val="center"/>
          </w:tcPr>
          <w:p w14:paraId="076C6239">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1.14</w:t>
            </w:r>
          </w:p>
        </w:tc>
        <w:tc>
          <w:tcPr>
            <w:tcW w:w="2579" w:type="dxa"/>
            <w:gridSpan w:val="6"/>
            <w:noWrap w:val="0"/>
            <w:vAlign w:val="center"/>
          </w:tcPr>
          <w:p w14:paraId="7B8849C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2243" w:type="dxa"/>
            <w:gridSpan w:val="5"/>
            <w:noWrap w:val="0"/>
            <w:vAlign w:val="center"/>
          </w:tcPr>
          <w:p w14:paraId="55CD37FF">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7165E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3" w:hRule="atLeast"/>
          <w:jc w:val="center"/>
        </w:trPr>
        <w:tc>
          <w:tcPr>
            <w:tcW w:w="1911" w:type="dxa"/>
            <w:gridSpan w:val="7"/>
            <w:noWrap w:val="0"/>
            <w:vAlign w:val="center"/>
          </w:tcPr>
          <w:p w14:paraId="69BAEBF5">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6、执法监察支队</w:t>
            </w:r>
          </w:p>
        </w:tc>
        <w:tc>
          <w:tcPr>
            <w:tcW w:w="1022" w:type="dxa"/>
            <w:gridSpan w:val="3"/>
            <w:tcBorders>
              <w:right w:val="single" w:color="auto" w:sz="4" w:space="0"/>
            </w:tcBorders>
            <w:noWrap w:val="0"/>
            <w:vAlign w:val="center"/>
          </w:tcPr>
          <w:p w14:paraId="7A19627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11.38</w:t>
            </w:r>
          </w:p>
        </w:tc>
        <w:tc>
          <w:tcPr>
            <w:tcW w:w="2219" w:type="dxa"/>
            <w:gridSpan w:val="5"/>
            <w:tcBorders>
              <w:left w:val="single" w:color="auto" w:sz="4" w:space="0"/>
            </w:tcBorders>
            <w:noWrap w:val="0"/>
            <w:vAlign w:val="center"/>
          </w:tcPr>
          <w:p w14:paraId="7290A4D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6.00</w:t>
            </w:r>
          </w:p>
        </w:tc>
        <w:tc>
          <w:tcPr>
            <w:tcW w:w="2579" w:type="dxa"/>
            <w:gridSpan w:val="6"/>
            <w:noWrap w:val="0"/>
            <w:vAlign w:val="center"/>
          </w:tcPr>
          <w:p w14:paraId="732DD172">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5.38</w:t>
            </w:r>
          </w:p>
        </w:tc>
        <w:tc>
          <w:tcPr>
            <w:tcW w:w="2243" w:type="dxa"/>
            <w:gridSpan w:val="5"/>
            <w:noWrap w:val="0"/>
            <w:vAlign w:val="center"/>
          </w:tcPr>
          <w:p w14:paraId="5C86113D">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4575D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1911" w:type="dxa"/>
            <w:gridSpan w:val="7"/>
            <w:noWrap w:val="0"/>
            <w:vAlign w:val="center"/>
          </w:tcPr>
          <w:p w14:paraId="734E5F1D">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7、土地综合整治中心</w:t>
            </w:r>
          </w:p>
        </w:tc>
        <w:tc>
          <w:tcPr>
            <w:tcW w:w="1022" w:type="dxa"/>
            <w:gridSpan w:val="3"/>
            <w:tcBorders>
              <w:right w:val="single" w:color="auto" w:sz="4" w:space="0"/>
            </w:tcBorders>
            <w:noWrap w:val="0"/>
            <w:vAlign w:val="center"/>
          </w:tcPr>
          <w:p w14:paraId="65D2942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2219" w:type="dxa"/>
            <w:gridSpan w:val="5"/>
            <w:tcBorders>
              <w:left w:val="single" w:color="auto" w:sz="4" w:space="0"/>
            </w:tcBorders>
            <w:noWrap w:val="0"/>
            <w:vAlign w:val="center"/>
          </w:tcPr>
          <w:p w14:paraId="747F0CA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0.52</w:t>
            </w:r>
          </w:p>
        </w:tc>
        <w:tc>
          <w:tcPr>
            <w:tcW w:w="2579" w:type="dxa"/>
            <w:gridSpan w:val="6"/>
            <w:noWrap w:val="0"/>
            <w:vAlign w:val="center"/>
          </w:tcPr>
          <w:p w14:paraId="0B4DE67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1.16</w:t>
            </w:r>
          </w:p>
        </w:tc>
        <w:tc>
          <w:tcPr>
            <w:tcW w:w="2243" w:type="dxa"/>
            <w:gridSpan w:val="5"/>
            <w:noWrap w:val="0"/>
            <w:vAlign w:val="center"/>
          </w:tcPr>
          <w:p w14:paraId="14C4DA4E">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03E5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1" w:hRule="atLeast"/>
          <w:jc w:val="center"/>
        </w:trPr>
        <w:tc>
          <w:tcPr>
            <w:tcW w:w="1911" w:type="dxa"/>
            <w:gridSpan w:val="7"/>
            <w:noWrap w:val="0"/>
            <w:vAlign w:val="center"/>
          </w:tcPr>
          <w:p w14:paraId="08636B6B">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8、不动产产权交易中心</w:t>
            </w:r>
          </w:p>
        </w:tc>
        <w:tc>
          <w:tcPr>
            <w:tcW w:w="1022" w:type="dxa"/>
            <w:gridSpan w:val="3"/>
            <w:tcBorders>
              <w:right w:val="single" w:color="auto" w:sz="4" w:space="0"/>
            </w:tcBorders>
            <w:noWrap w:val="0"/>
            <w:vAlign w:val="center"/>
          </w:tcPr>
          <w:p w14:paraId="40B5DF0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14:paraId="727C0A6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14:paraId="208C63E7">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13FFB288">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17F80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4" w:hRule="atLeast"/>
          <w:jc w:val="center"/>
        </w:trPr>
        <w:tc>
          <w:tcPr>
            <w:tcW w:w="1911" w:type="dxa"/>
            <w:gridSpan w:val="7"/>
            <w:noWrap w:val="0"/>
            <w:vAlign w:val="center"/>
          </w:tcPr>
          <w:p w14:paraId="1CF13DF4">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9、不动产登记信息中心</w:t>
            </w:r>
          </w:p>
        </w:tc>
        <w:tc>
          <w:tcPr>
            <w:tcW w:w="1022" w:type="dxa"/>
            <w:gridSpan w:val="3"/>
            <w:tcBorders>
              <w:right w:val="single" w:color="auto" w:sz="4" w:space="0"/>
            </w:tcBorders>
            <w:noWrap w:val="0"/>
            <w:vAlign w:val="center"/>
          </w:tcPr>
          <w:p w14:paraId="2C19A955">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14:paraId="5DE93429">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14:paraId="61B41ABF">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03341713">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7CBFF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911" w:type="dxa"/>
            <w:gridSpan w:val="7"/>
            <w:noWrap w:val="0"/>
            <w:vAlign w:val="center"/>
          </w:tcPr>
          <w:p w14:paraId="7920CEB9">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10、不动产测绘中心</w:t>
            </w:r>
          </w:p>
        </w:tc>
        <w:tc>
          <w:tcPr>
            <w:tcW w:w="1022" w:type="dxa"/>
            <w:gridSpan w:val="3"/>
            <w:tcBorders>
              <w:right w:val="single" w:color="auto" w:sz="4" w:space="0"/>
            </w:tcBorders>
            <w:noWrap w:val="0"/>
            <w:vAlign w:val="center"/>
          </w:tcPr>
          <w:p w14:paraId="55EEFE9D">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5.41</w:t>
            </w:r>
          </w:p>
        </w:tc>
        <w:tc>
          <w:tcPr>
            <w:tcW w:w="2219" w:type="dxa"/>
            <w:gridSpan w:val="5"/>
            <w:tcBorders>
              <w:left w:val="single" w:color="auto" w:sz="4" w:space="0"/>
            </w:tcBorders>
            <w:noWrap w:val="0"/>
            <w:vAlign w:val="center"/>
          </w:tcPr>
          <w:p w14:paraId="105F49A5">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5.41</w:t>
            </w:r>
          </w:p>
        </w:tc>
        <w:tc>
          <w:tcPr>
            <w:tcW w:w="2579" w:type="dxa"/>
            <w:gridSpan w:val="6"/>
            <w:noWrap w:val="0"/>
            <w:vAlign w:val="center"/>
          </w:tcPr>
          <w:p w14:paraId="5B047548">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327E0B50">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6310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955" w:type="dxa"/>
            <w:gridSpan w:val="3"/>
            <w:vMerge w:val="restart"/>
            <w:noWrap w:val="0"/>
            <w:vAlign w:val="center"/>
          </w:tcPr>
          <w:p w14:paraId="14C11761">
            <w:pPr>
              <w:keepNext w:val="0"/>
              <w:keepLines w:val="0"/>
              <w:widowControl/>
              <w:suppressLineNumbers w:val="0"/>
              <w:jc w:val="center"/>
              <w:textAlignment w:val="center"/>
              <w:rPr>
                <w:rFonts w:hint="eastAsia" w:ascii="仿宋_GB2312" w:hAnsi="仿宋_GB2312" w:eastAsia="仿宋_GB2312" w:cs="仿宋_GB2312"/>
                <w:b/>
                <w:bCs/>
                <w:sz w:val="24"/>
                <w:szCs w:val="24"/>
              </w:rPr>
            </w:pPr>
            <w:r>
              <w:rPr>
                <w:rFonts w:hint="default" w:ascii="仿宋_GB2312" w:hAnsi="宋体" w:eastAsia="仿宋_GB2312" w:cs="仿宋_GB2312"/>
                <w:b/>
                <w:bCs/>
                <w:i w:val="0"/>
                <w:iCs w:val="0"/>
                <w:color w:val="000000"/>
                <w:kern w:val="0"/>
                <w:sz w:val="24"/>
                <w:szCs w:val="24"/>
                <w:u w:val="none"/>
                <w:lang w:val="en-US" w:eastAsia="zh-CN" w:bidi="ar"/>
              </w:rPr>
              <w:t>机构名称</w:t>
            </w:r>
          </w:p>
        </w:tc>
        <w:tc>
          <w:tcPr>
            <w:tcW w:w="1978" w:type="dxa"/>
            <w:gridSpan w:val="7"/>
            <w:vMerge w:val="restart"/>
            <w:tcBorders>
              <w:right w:val="single" w:color="auto" w:sz="4" w:space="0"/>
            </w:tcBorders>
            <w:noWrap w:val="0"/>
            <w:vAlign w:val="center"/>
          </w:tcPr>
          <w:p w14:paraId="690CB513">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固定资产合计余额（净值）</w:t>
            </w:r>
          </w:p>
        </w:tc>
        <w:tc>
          <w:tcPr>
            <w:tcW w:w="4798" w:type="dxa"/>
            <w:gridSpan w:val="11"/>
            <w:tcBorders>
              <w:left w:val="single" w:color="auto" w:sz="4" w:space="0"/>
              <w:right w:val="single" w:color="auto" w:sz="4" w:space="0"/>
            </w:tcBorders>
            <w:noWrap w:val="0"/>
            <w:vAlign w:val="center"/>
          </w:tcPr>
          <w:p w14:paraId="797460FE">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4"/>
                <w:szCs w:val="24"/>
                <w:u w:val="none"/>
                <w:lang w:val="en-US" w:eastAsia="zh-CN" w:bidi="ar"/>
              </w:rPr>
              <w:t>其中：</w:t>
            </w:r>
          </w:p>
        </w:tc>
        <w:tc>
          <w:tcPr>
            <w:tcW w:w="2243" w:type="dxa"/>
            <w:gridSpan w:val="5"/>
            <w:tcBorders>
              <w:left w:val="single" w:color="auto" w:sz="4" w:space="0"/>
            </w:tcBorders>
            <w:noWrap w:val="0"/>
            <w:vAlign w:val="center"/>
          </w:tcPr>
          <w:p w14:paraId="565FE732">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其他</w:t>
            </w:r>
          </w:p>
        </w:tc>
      </w:tr>
      <w:tr w14:paraId="7DDB8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7" w:hRule="atLeast"/>
          <w:jc w:val="center"/>
        </w:trPr>
        <w:tc>
          <w:tcPr>
            <w:tcW w:w="955" w:type="dxa"/>
            <w:gridSpan w:val="3"/>
            <w:vMerge w:val="continue"/>
            <w:noWrap w:val="0"/>
            <w:vAlign w:val="center"/>
          </w:tcPr>
          <w:p w14:paraId="1E9C97CF">
            <w:pPr>
              <w:jc w:val="center"/>
              <w:rPr>
                <w:rFonts w:hint="eastAsia" w:ascii="仿宋_GB2312" w:hAnsi="仿宋_GB2312" w:eastAsia="仿宋_GB2312" w:cs="仿宋_GB2312"/>
                <w:b/>
                <w:bCs/>
                <w:sz w:val="24"/>
                <w:szCs w:val="24"/>
              </w:rPr>
            </w:pPr>
          </w:p>
        </w:tc>
        <w:tc>
          <w:tcPr>
            <w:tcW w:w="1978" w:type="dxa"/>
            <w:gridSpan w:val="7"/>
            <w:vMerge w:val="continue"/>
            <w:tcBorders>
              <w:right w:val="single" w:color="auto" w:sz="4" w:space="0"/>
            </w:tcBorders>
            <w:noWrap w:val="0"/>
            <w:vAlign w:val="center"/>
          </w:tcPr>
          <w:p w14:paraId="15E75C19">
            <w:pPr>
              <w:jc w:val="center"/>
              <w:rPr>
                <w:rFonts w:hint="eastAsia" w:ascii="仿宋_GB2312" w:hAnsi="仿宋_GB2312" w:eastAsia="仿宋_GB2312" w:cs="仿宋_GB2312"/>
                <w:b/>
                <w:bCs/>
                <w:color w:val="000000"/>
                <w:sz w:val="21"/>
                <w:szCs w:val="21"/>
              </w:rPr>
            </w:pPr>
          </w:p>
        </w:tc>
        <w:tc>
          <w:tcPr>
            <w:tcW w:w="4798" w:type="dxa"/>
            <w:gridSpan w:val="11"/>
            <w:tcBorders>
              <w:left w:val="single" w:color="auto" w:sz="4" w:space="0"/>
            </w:tcBorders>
            <w:noWrap w:val="0"/>
            <w:vAlign w:val="center"/>
          </w:tcPr>
          <w:p w14:paraId="7A96988E">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在用固定资产</w:t>
            </w:r>
          </w:p>
        </w:tc>
        <w:tc>
          <w:tcPr>
            <w:tcW w:w="2243" w:type="dxa"/>
            <w:gridSpan w:val="5"/>
            <w:tcBorders>
              <w:right w:val="single" w:color="auto" w:sz="4" w:space="0"/>
            </w:tcBorders>
            <w:noWrap w:val="0"/>
            <w:vAlign w:val="center"/>
          </w:tcPr>
          <w:p w14:paraId="0A1EB482">
            <w:pPr>
              <w:jc w:val="center"/>
              <w:rPr>
                <w:rFonts w:hint="eastAsia" w:ascii="仿宋_GB2312" w:hAnsi="仿宋_GB2312" w:eastAsia="仿宋_GB2312" w:cs="仿宋_GB2312"/>
                <w:b/>
                <w:bCs/>
                <w:color w:val="000000"/>
                <w:sz w:val="21"/>
                <w:szCs w:val="21"/>
              </w:rPr>
            </w:pPr>
          </w:p>
        </w:tc>
      </w:tr>
      <w:tr w14:paraId="22C5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93" w:hRule="atLeast"/>
          <w:jc w:val="center"/>
        </w:trPr>
        <w:tc>
          <w:tcPr>
            <w:tcW w:w="955" w:type="dxa"/>
            <w:gridSpan w:val="3"/>
            <w:noWrap w:val="0"/>
            <w:vAlign w:val="center"/>
          </w:tcPr>
          <w:p w14:paraId="69DF67C8">
            <w:pPr>
              <w:keepNext w:val="0"/>
              <w:keepLines w:val="0"/>
              <w:widowControl/>
              <w:suppressLineNumbers w:val="0"/>
              <w:jc w:val="left"/>
              <w:textAlignment w:val="center"/>
              <w:rPr>
                <w:rFonts w:hint="eastAsia" w:ascii="仿宋_GB2312" w:hAnsi="仿宋_GB2312" w:eastAsia="仿宋_GB2312" w:cs="仿宋_GB2312"/>
                <w:sz w:val="24"/>
                <w:szCs w:val="24"/>
              </w:rPr>
            </w:pPr>
            <w:r>
              <w:rPr>
                <w:rStyle w:val="13"/>
                <w:rFonts w:hAnsi="宋体"/>
                <w:lang w:val="en-US" w:eastAsia="zh-CN" w:bidi="ar"/>
              </w:rPr>
              <w:t>岳阳自然资源和规划局机</w:t>
            </w:r>
            <w:r>
              <w:rPr>
                <w:rFonts w:hint="default" w:ascii="仿宋_GB2312" w:hAnsi="宋体" w:eastAsia="仿宋_GB2312" w:cs="仿宋_GB2312"/>
                <w:i w:val="0"/>
                <w:iCs w:val="0"/>
                <w:color w:val="000000"/>
                <w:kern w:val="0"/>
                <w:sz w:val="24"/>
                <w:szCs w:val="24"/>
                <w:u w:val="none"/>
                <w:lang w:val="en-US" w:eastAsia="zh-CN" w:bidi="ar"/>
              </w:rPr>
              <w:t>关</w:t>
            </w:r>
          </w:p>
        </w:tc>
        <w:tc>
          <w:tcPr>
            <w:tcW w:w="1978" w:type="dxa"/>
            <w:gridSpan w:val="7"/>
            <w:tcBorders>
              <w:right w:val="single" w:color="auto" w:sz="4" w:space="0"/>
            </w:tcBorders>
            <w:noWrap w:val="0"/>
            <w:vAlign w:val="center"/>
          </w:tcPr>
          <w:p w14:paraId="418711E3">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default" w:ascii="仿宋_GB2312" w:hAnsi="宋体" w:eastAsia="仿宋_GB2312" w:cs="仿宋_GB2312"/>
                <w:i w:val="0"/>
                <w:iCs w:val="0"/>
                <w:color w:val="000000"/>
                <w:kern w:val="0"/>
                <w:sz w:val="21"/>
                <w:szCs w:val="21"/>
                <w:u w:val="none"/>
                <w:lang w:val="en-US" w:eastAsia="zh-CN" w:bidi="ar"/>
              </w:rPr>
              <w:t>29,446.99</w:t>
            </w:r>
            <w:r>
              <w:rPr>
                <w:rFonts w:hint="eastAsia" w:ascii="仿宋_GB2312" w:hAnsi="宋体" w:eastAsia="仿宋_GB2312" w:cs="仿宋_GB2312"/>
                <w:i w:val="0"/>
                <w:iCs w:val="0"/>
                <w:color w:val="000000"/>
                <w:kern w:val="0"/>
                <w:sz w:val="21"/>
                <w:szCs w:val="21"/>
                <w:u w:val="none"/>
                <w:lang w:val="en-US" w:eastAsia="zh-CN" w:bidi="ar"/>
              </w:rPr>
              <w:t>万元</w:t>
            </w:r>
          </w:p>
        </w:tc>
        <w:tc>
          <w:tcPr>
            <w:tcW w:w="4798" w:type="dxa"/>
            <w:gridSpan w:val="11"/>
            <w:tcBorders>
              <w:left w:val="single" w:color="auto" w:sz="4" w:space="0"/>
            </w:tcBorders>
            <w:noWrap w:val="0"/>
            <w:vAlign w:val="center"/>
          </w:tcPr>
          <w:p w14:paraId="4F82370A">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default" w:ascii="仿宋_GB2312" w:hAnsi="宋体" w:eastAsia="仿宋_GB2312" w:cs="仿宋_GB2312"/>
                <w:i w:val="0"/>
                <w:iCs w:val="0"/>
                <w:color w:val="000000"/>
                <w:kern w:val="0"/>
                <w:sz w:val="21"/>
                <w:szCs w:val="21"/>
                <w:u w:val="none"/>
                <w:lang w:val="en-US" w:eastAsia="zh-CN" w:bidi="ar"/>
              </w:rPr>
              <w:t>29,446.99</w:t>
            </w:r>
            <w:r>
              <w:rPr>
                <w:rFonts w:hint="eastAsia" w:ascii="仿宋_GB2312" w:hAnsi="宋体" w:eastAsia="仿宋_GB2312" w:cs="仿宋_GB2312"/>
                <w:i w:val="0"/>
                <w:iCs w:val="0"/>
                <w:color w:val="000000"/>
                <w:kern w:val="0"/>
                <w:sz w:val="21"/>
                <w:szCs w:val="21"/>
                <w:u w:val="none"/>
                <w:lang w:val="en-US" w:eastAsia="zh-CN" w:bidi="ar"/>
              </w:rPr>
              <w:t>万元</w:t>
            </w:r>
          </w:p>
        </w:tc>
        <w:tc>
          <w:tcPr>
            <w:tcW w:w="2243" w:type="dxa"/>
            <w:gridSpan w:val="5"/>
            <w:noWrap w:val="0"/>
            <w:vAlign w:val="center"/>
          </w:tcPr>
          <w:p w14:paraId="0F82BFEC">
            <w:pPr>
              <w:rPr>
                <w:rFonts w:hint="eastAsia" w:ascii="仿宋_GB2312" w:hAnsi="仿宋_GB2312" w:eastAsia="仿宋_GB2312" w:cs="仿宋_GB2312"/>
                <w:color w:val="auto"/>
                <w:sz w:val="21"/>
                <w:szCs w:val="21"/>
              </w:rPr>
            </w:pPr>
          </w:p>
        </w:tc>
      </w:tr>
      <w:tr w14:paraId="10A5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74" w:type="dxa"/>
            <w:gridSpan w:val="26"/>
            <w:noWrap w:val="0"/>
            <w:vAlign w:val="center"/>
          </w:tcPr>
          <w:p w14:paraId="034F7E8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DAA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541" w:type="dxa"/>
            <w:vMerge w:val="restart"/>
            <w:noWrap w:val="0"/>
            <w:vAlign w:val="center"/>
          </w:tcPr>
          <w:p w14:paraId="77ACFCCA">
            <w:pPr>
              <w:spacing w:line="320" w:lineRule="exact"/>
              <w:jc w:val="center"/>
              <w:rPr>
                <w:rFonts w:hint="eastAsia" w:ascii="仿宋_GB2312" w:hAnsi="仿宋_GB2312" w:eastAsia="仿宋_GB2312" w:cs="仿宋_GB2312"/>
                <w:b/>
                <w:bCs/>
                <w:sz w:val="21"/>
                <w:szCs w:val="21"/>
                <w:lang w:val="en-US" w:eastAsia="zh-CN"/>
              </w:rPr>
            </w:pPr>
          </w:p>
          <w:p w14:paraId="02CBF741">
            <w:pPr>
              <w:spacing w:line="320" w:lineRule="exact"/>
              <w:jc w:val="center"/>
              <w:rPr>
                <w:rFonts w:hint="eastAsia" w:ascii="仿宋_GB2312" w:hAnsi="仿宋_GB2312" w:eastAsia="仿宋_GB2312" w:cs="仿宋_GB2312"/>
                <w:b/>
                <w:bCs/>
                <w:sz w:val="21"/>
                <w:szCs w:val="21"/>
                <w:lang w:val="en-US" w:eastAsia="zh-CN"/>
              </w:rPr>
            </w:pPr>
          </w:p>
          <w:p w14:paraId="0DAB911A">
            <w:pPr>
              <w:spacing w:line="320" w:lineRule="exact"/>
              <w:jc w:val="center"/>
              <w:rPr>
                <w:rFonts w:hint="eastAsia" w:ascii="仿宋_GB2312" w:hAnsi="仿宋_GB2312" w:eastAsia="仿宋_GB2312" w:cs="仿宋_GB2312"/>
                <w:b/>
                <w:bCs/>
                <w:sz w:val="21"/>
                <w:szCs w:val="21"/>
                <w:lang w:val="en-US" w:eastAsia="zh-CN"/>
              </w:rPr>
            </w:pPr>
          </w:p>
          <w:p w14:paraId="37FC3CCF">
            <w:pPr>
              <w:spacing w:line="320" w:lineRule="exact"/>
              <w:jc w:val="center"/>
              <w:rPr>
                <w:rFonts w:hint="eastAsia" w:ascii="仿宋_GB2312" w:hAnsi="仿宋_GB2312" w:eastAsia="仿宋_GB2312" w:cs="仿宋_GB2312"/>
                <w:b/>
                <w:bCs/>
                <w:sz w:val="21"/>
                <w:szCs w:val="21"/>
                <w:lang w:val="en-US" w:eastAsia="zh-CN"/>
              </w:rPr>
            </w:pPr>
          </w:p>
          <w:p w14:paraId="1FB9BF76">
            <w:pPr>
              <w:spacing w:line="320" w:lineRule="exact"/>
              <w:jc w:val="center"/>
              <w:rPr>
                <w:rFonts w:hint="eastAsia" w:ascii="仿宋_GB2312" w:hAnsi="仿宋_GB2312" w:eastAsia="仿宋_GB2312" w:cs="仿宋_GB2312"/>
                <w:b/>
                <w:bCs/>
                <w:sz w:val="21"/>
                <w:szCs w:val="21"/>
                <w:lang w:val="en-US" w:eastAsia="zh-CN"/>
              </w:rPr>
            </w:pPr>
          </w:p>
          <w:p w14:paraId="6C841C2F">
            <w:pPr>
              <w:spacing w:line="320" w:lineRule="exact"/>
              <w:jc w:val="center"/>
              <w:rPr>
                <w:rFonts w:hint="eastAsia" w:ascii="仿宋_GB2312" w:hAnsi="仿宋_GB2312" w:eastAsia="仿宋_GB2312" w:cs="仿宋_GB2312"/>
                <w:b/>
                <w:bCs/>
                <w:sz w:val="21"/>
                <w:szCs w:val="21"/>
                <w:lang w:val="en-US" w:eastAsia="zh-CN"/>
              </w:rPr>
            </w:pPr>
          </w:p>
          <w:p w14:paraId="035A2B59">
            <w:pPr>
              <w:spacing w:line="320" w:lineRule="exact"/>
              <w:jc w:val="center"/>
              <w:rPr>
                <w:rFonts w:hint="eastAsia" w:ascii="仿宋_GB2312" w:hAnsi="仿宋_GB2312" w:eastAsia="仿宋_GB2312" w:cs="仿宋_GB2312"/>
                <w:b/>
                <w:bCs/>
                <w:sz w:val="21"/>
                <w:szCs w:val="21"/>
                <w:lang w:val="en-US" w:eastAsia="zh-CN"/>
              </w:rPr>
            </w:pPr>
          </w:p>
          <w:p w14:paraId="3F711B47">
            <w:pPr>
              <w:spacing w:line="320" w:lineRule="exact"/>
              <w:jc w:val="center"/>
              <w:rPr>
                <w:rFonts w:hint="eastAsia" w:ascii="仿宋_GB2312" w:hAnsi="仿宋_GB2312" w:eastAsia="仿宋_GB2312" w:cs="仿宋_GB2312"/>
                <w:b/>
                <w:bCs/>
                <w:sz w:val="21"/>
                <w:szCs w:val="21"/>
                <w:lang w:val="en-US" w:eastAsia="zh-CN"/>
              </w:rPr>
            </w:pPr>
          </w:p>
          <w:p w14:paraId="10ED28DA">
            <w:pPr>
              <w:spacing w:line="320" w:lineRule="exact"/>
              <w:jc w:val="center"/>
              <w:rPr>
                <w:rFonts w:hint="eastAsia" w:ascii="仿宋_GB2312" w:hAnsi="仿宋_GB2312" w:eastAsia="仿宋_GB2312" w:cs="仿宋_GB2312"/>
                <w:b/>
                <w:bCs/>
                <w:sz w:val="21"/>
                <w:szCs w:val="21"/>
                <w:lang w:val="en-US" w:eastAsia="zh-CN"/>
              </w:rPr>
            </w:pPr>
          </w:p>
          <w:p w14:paraId="19F11968">
            <w:pPr>
              <w:spacing w:line="320" w:lineRule="exact"/>
              <w:jc w:val="center"/>
              <w:rPr>
                <w:rFonts w:hint="eastAsia" w:ascii="仿宋_GB2312" w:hAnsi="仿宋_GB2312" w:eastAsia="仿宋_GB2312" w:cs="仿宋_GB2312"/>
                <w:b/>
                <w:bCs/>
                <w:sz w:val="21"/>
                <w:szCs w:val="21"/>
                <w:lang w:val="en-US" w:eastAsia="zh-CN"/>
              </w:rPr>
            </w:pPr>
          </w:p>
          <w:p w14:paraId="0899DFB9">
            <w:pPr>
              <w:spacing w:line="320" w:lineRule="exact"/>
              <w:jc w:val="center"/>
              <w:rPr>
                <w:rFonts w:hint="eastAsia" w:ascii="仿宋_GB2312" w:hAnsi="仿宋_GB2312" w:eastAsia="仿宋_GB2312" w:cs="仿宋_GB2312"/>
                <w:b/>
                <w:bCs/>
                <w:sz w:val="21"/>
                <w:szCs w:val="21"/>
                <w:lang w:val="en-US" w:eastAsia="zh-CN"/>
              </w:rPr>
            </w:pPr>
          </w:p>
          <w:p w14:paraId="14A4BB92">
            <w:pPr>
              <w:spacing w:line="320" w:lineRule="exact"/>
              <w:jc w:val="center"/>
              <w:rPr>
                <w:rFonts w:hint="eastAsia" w:ascii="仿宋_GB2312" w:hAnsi="仿宋_GB2312" w:eastAsia="仿宋_GB2312" w:cs="仿宋_GB2312"/>
                <w:b/>
                <w:bCs/>
                <w:sz w:val="21"/>
                <w:szCs w:val="21"/>
                <w:lang w:val="en-US" w:eastAsia="zh-CN"/>
              </w:rPr>
            </w:pPr>
          </w:p>
          <w:p w14:paraId="085F678F">
            <w:pPr>
              <w:spacing w:line="320" w:lineRule="exact"/>
              <w:jc w:val="center"/>
              <w:rPr>
                <w:rFonts w:hint="eastAsia" w:ascii="仿宋_GB2312" w:hAnsi="仿宋_GB2312" w:eastAsia="仿宋_GB2312" w:cs="仿宋_GB2312"/>
                <w:b/>
                <w:bCs/>
                <w:sz w:val="21"/>
                <w:szCs w:val="21"/>
                <w:lang w:val="en-US" w:eastAsia="zh-CN"/>
              </w:rPr>
            </w:pPr>
          </w:p>
          <w:p w14:paraId="5C15CB63">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10B52004">
            <w:pPr>
              <w:spacing w:line="320" w:lineRule="exact"/>
              <w:jc w:val="both"/>
              <w:rPr>
                <w:rFonts w:hint="eastAsia" w:ascii="仿宋_GB2312" w:hAnsi="仿宋_GB2312" w:eastAsia="仿宋_GB2312" w:cs="仿宋_GB2312"/>
                <w:b/>
                <w:bCs/>
                <w:sz w:val="21"/>
                <w:szCs w:val="21"/>
                <w:lang w:val="en-US" w:eastAsia="zh-CN"/>
              </w:rPr>
            </w:pPr>
          </w:p>
          <w:p w14:paraId="085095D2">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3D4C7DDD">
            <w:pPr>
              <w:spacing w:line="320" w:lineRule="exact"/>
              <w:jc w:val="both"/>
              <w:rPr>
                <w:rFonts w:hint="eastAsia" w:ascii="仿宋_GB2312" w:hAnsi="仿宋_GB2312" w:eastAsia="仿宋_GB2312" w:cs="仿宋_GB2312"/>
                <w:b/>
                <w:bCs/>
                <w:sz w:val="21"/>
                <w:szCs w:val="21"/>
                <w:lang w:val="en-US" w:eastAsia="zh-CN"/>
              </w:rPr>
            </w:pPr>
          </w:p>
          <w:p w14:paraId="18653515">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67592F21">
            <w:pPr>
              <w:spacing w:line="320" w:lineRule="exact"/>
              <w:jc w:val="both"/>
              <w:rPr>
                <w:rFonts w:hint="eastAsia" w:ascii="仿宋_GB2312" w:hAnsi="仿宋_GB2312" w:eastAsia="仿宋_GB2312" w:cs="仿宋_GB2312"/>
                <w:b/>
                <w:bCs/>
                <w:sz w:val="21"/>
                <w:szCs w:val="21"/>
                <w:lang w:val="en-US" w:eastAsia="zh-CN"/>
              </w:rPr>
            </w:pPr>
          </w:p>
          <w:p w14:paraId="26631B81">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3503D4EC">
            <w:pPr>
              <w:spacing w:line="320" w:lineRule="exact"/>
              <w:jc w:val="center"/>
              <w:rPr>
                <w:rFonts w:hint="eastAsia" w:ascii="仿宋_GB2312" w:hAnsi="仿宋_GB2312" w:eastAsia="仿宋_GB2312" w:cs="仿宋_GB2312"/>
                <w:b/>
                <w:bCs/>
                <w:sz w:val="21"/>
                <w:szCs w:val="21"/>
                <w:lang w:val="en-US" w:eastAsia="zh-CN"/>
              </w:rPr>
            </w:pPr>
          </w:p>
          <w:p w14:paraId="6537F9FC">
            <w:pPr>
              <w:spacing w:line="320" w:lineRule="exact"/>
              <w:jc w:val="center"/>
              <w:rPr>
                <w:rFonts w:hint="eastAsia" w:ascii="仿宋_GB2312" w:hAnsi="仿宋_GB2312" w:eastAsia="仿宋_GB2312" w:cs="仿宋_GB2312"/>
                <w:b/>
                <w:bCs/>
                <w:sz w:val="21"/>
                <w:szCs w:val="21"/>
                <w:lang w:val="en-US" w:eastAsia="zh-CN"/>
              </w:rPr>
            </w:pPr>
          </w:p>
          <w:p w14:paraId="6DC9C465">
            <w:pPr>
              <w:spacing w:line="320" w:lineRule="exact"/>
              <w:jc w:val="center"/>
              <w:rPr>
                <w:rFonts w:hint="eastAsia" w:ascii="仿宋_GB2312" w:hAnsi="仿宋_GB2312" w:eastAsia="仿宋_GB2312" w:cs="仿宋_GB2312"/>
                <w:b/>
                <w:bCs/>
                <w:sz w:val="21"/>
                <w:szCs w:val="21"/>
                <w:lang w:val="en-US" w:eastAsia="zh-CN"/>
              </w:rPr>
            </w:pPr>
          </w:p>
          <w:p w14:paraId="117F7243">
            <w:pPr>
              <w:spacing w:line="320" w:lineRule="exact"/>
              <w:jc w:val="center"/>
              <w:rPr>
                <w:rFonts w:hint="eastAsia" w:ascii="仿宋_GB2312" w:hAnsi="仿宋_GB2312" w:eastAsia="仿宋_GB2312" w:cs="仿宋_GB2312"/>
                <w:b/>
                <w:bCs/>
                <w:sz w:val="21"/>
                <w:szCs w:val="21"/>
                <w:lang w:val="en-US" w:eastAsia="zh-CN"/>
              </w:rPr>
            </w:pPr>
          </w:p>
          <w:p w14:paraId="6FA188EB">
            <w:pPr>
              <w:spacing w:line="320" w:lineRule="exact"/>
              <w:jc w:val="center"/>
              <w:rPr>
                <w:rFonts w:hint="eastAsia" w:ascii="仿宋_GB2312" w:hAnsi="仿宋_GB2312" w:eastAsia="仿宋_GB2312" w:cs="仿宋_GB2312"/>
                <w:b/>
                <w:bCs/>
                <w:sz w:val="21"/>
                <w:szCs w:val="21"/>
                <w:lang w:val="en-US" w:eastAsia="zh-CN"/>
              </w:rPr>
            </w:pPr>
          </w:p>
          <w:p w14:paraId="6AC31A6A">
            <w:pPr>
              <w:spacing w:line="320" w:lineRule="exact"/>
              <w:jc w:val="center"/>
              <w:rPr>
                <w:rFonts w:hint="eastAsia" w:ascii="仿宋_GB2312" w:hAnsi="仿宋_GB2312" w:eastAsia="仿宋_GB2312" w:cs="仿宋_GB2312"/>
                <w:b/>
                <w:bCs/>
                <w:sz w:val="21"/>
                <w:szCs w:val="21"/>
                <w:lang w:val="en-US" w:eastAsia="zh-CN"/>
              </w:rPr>
            </w:pPr>
          </w:p>
          <w:p w14:paraId="3674A875">
            <w:pPr>
              <w:spacing w:line="320" w:lineRule="exact"/>
              <w:jc w:val="center"/>
              <w:rPr>
                <w:rFonts w:hint="eastAsia" w:ascii="仿宋_GB2312" w:hAnsi="仿宋_GB2312" w:eastAsia="仿宋_GB2312" w:cs="仿宋_GB2312"/>
                <w:b/>
                <w:bCs/>
                <w:sz w:val="21"/>
                <w:szCs w:val="21"/>
                <w:lang w:val="en-US" w:eastAsia="zh-CN"/>
              </w:rPr>
            </w:pPr>
          </w:p>
          <w:p w14:paraId="1FBAA375">
            <w:pPr>
              <w:spacing w:line="320" w:lineRule="exact"/>
              <w:jc w:val="center"/>
              <w:rPr>
                <w:rFonts w:hint="eastAsia" w:ascii="仿宋_GB2312" w:hAnsi="仿宋_GB2312" w:eastAsia="仿宋_GB2312" w:cs="仿宋_GB2312"/>
                <w:b/>
                <w:bCs/>
                <w:sz w:val="21"/>
                <w:szCs w:val="21"/>
                <w:lang w:val="en-US" w:eastAsia="zh-CN"/>
              </w:rPr>
            </w:pPr>
          </w:p>
          <w:p w14:paraId="338BCF00">
            <w:pPr>
              <w:spacing w:line="320" w:lineRule="exact"/>
              <w:jc w:val="center"/>
              <w:rPr>
                <w:rFonts w:hint="eastAsia" w:ascii="仿宋_GB2312" w:hAnsi="仿宋_GB2312" w:eastAsia="仿宋_GB2312" w:cs="仿宋_GB2312"/>
                <w:b/>
                <w:bCs/>
                <w:sz w:val="21"/>
                <w:szCs w:val="21"/>
                <w:lang w:val="en-US" w:eastAsia="zh-CN"/>
              </w:rPr>
            </w:pPr>
          </w:p>
          <w:p w14:paraId="1CB725F8">
            <w:pPr>
              <w:spacing w:line="320" w:lineRule="exact"/>
              <w:jc w:val="center"/>
              <w:rPr>
                <w:rFonts w:hint="eastAsia" w:ascii="仿宋_GB2312" w:hAnsi="仿宋_GB2312" w:eastAsia="仿宋_GB2312" w:cs="仿宋_GB2312"/>
                <w:b/>
                <w:bCs/>
                <w:sz w:val="21"/>
                <w:szCs w:val="21"/>
                <w:lang w:val="en-US" w:eastAsia="zh-CN"/>
              </w:rPr>
            </w:pPr>
          </w:p>
          <w:p w14:paraId="129631A2">
            <w:pPr>
              <w:spacing w:line="320" w:lineRule="exact"/>
              <w:jc w:val="center"/>
              <w:rPr>
                <w:rFonts w:hint="eastAsia" w:ascii="仿宋_GB2312" w:hAnsi="仿宋_GB2312" w:eastAsia="仿宋_GB2312" w:cs="仿宋_GB2312"/>
                <w:b/>
                <w:bCs/>
                <w:sz w:val="21"/>
                <w:szCs w:val="21"/>
                <w:lang w:val="en-US" w:eastAsia="zh-CN"/>
              </w:rPr>
            </w:pPr>
          </w:p>
          <w:p w14:paraId="6520BEAC">
            <w:pPr>
              <w:spacing w:line="320" w:lineRule="exact"/>
              <w:jc w:val="center"/>
              <w:rPr>
                <w:rFonts w:hint="eastAsia" w:ascii="仿宋_GB2312" w:hAnsi="仿宋_GB2312" w:eastAsia="仿宋_GB2312" w:cs="仿宋_GB2312"/>
                <w:b/>
                <w:bCs/>
                <w:sz w:val="21"/>
                <w:szCs w:val="21"/>
                <w:lang w:val="en-US" w:eastAsia="zh-CN"/>
              </w:rPr>
            </w:pPr>
          </w:p>
          <w:p w14:paraId="523C0328">
            <w:pPr>
              <w:spacing w:line="320" w:lineRule="exact"/>
              <w:jc w:val="center"/>
              <w:rPr>
                <w:rFonts w:hint="eastAsia" w:ascii="仿宋_GB2312" w:hAnsi="仿宋_GB2312" w:eastAsia="仿宋_GB2312" w:cs="仿宋_GB2312"/>
                <w:b/>
                <w:bCs/>
                <w:sz w:val="21"/>
                <w:szCs w:val="21"/>
                <w:lang w:val="en-US" w:eastAsia="zh-CN"/>
              </w:rPr>
            </w:pPr>
          </w:p>
          <w:p w14:paraId="2DC32BEA">
            <w:pPr>
              <w:spacing w:line="320" w:lineRule="exact"/>
              <w:jc w:val="center"/>
              <w:rPr>
                <w:rFonts w:hint="eastAsia" w:ascii="仿宋_GB2312" w:hAnsi="仿宋_GB2312" w:eastAsia="仿宋_GB2312" w:cs="仿宋_GB2312"/>
                <w:b/>
                <w:bCs/>
                <w:sz w:val="21"/>
                <w:szCs w:val="21"/>
                <w:lang w:val="en-US" w:eastAsia="zh-CN"/>
              </w:rPr>
            </w:pPr>
          </w:p>
          <w:p w14:paraId="35DA48E1">
            <w:pPr>
              <w:spacing w:line="320" w:lineRule="exact"/>
              <w:jc w:val="center"/>
              <w:rPr>
                <w:rFonts w:hint="eastAsia" w:ascii="仿宋_GB2312" w:hAnsi="仿宋_GB2312" w:eastAsia="仿宋_GB2312" w:cs="仿宋_GB2312"/>
                <w:b/>
                <w:bCs/>
                <w:sz w:val="21"/>
                <w:szCs w:val="21"/>
                <w:lang w:val="en-US" w:eastAsia="zh-CN"/>
              </w:rPr>
            </w:pPr>
          </w:p>
          <w:p w14:paraId="0EA5C680">
            <w:pPr>
              <w:spacing w:line="320" w:lineRule="exact"/>
              <w:jc w:val="center"/>
              <w:rPr>
                <w:rFonts w:hint="eastAsia" w:ascii="仿宋_GB2312" w:hAnsi="仿宋_GB2312" w:eastAsia="仿宋_GB2312" w:cs="仿宋_GB2312"/>
                <w:b/>
                <w:bCs/>
                <w:sz w:val="21"/>
                <w:szCs w:val="21"/>
                <w:lang w:val="en-US" w:eastAsia="zh-CN"/>
              </w:rPr>
            </w:pPr>
          </w:p>
          <w:p w14:paraId="0B97EEC6">
            <w:pPr>
              <w:spacing w:line="320" w:lineRule="exact"/>
              <w:jc w:val="center"/>
              <w:rPr>
                <w:rFonts w:hint="eastAsia" w:ascii="仿宋_GB2312" w:hAnsi="仿宋_GB2312" w:eastAsia="仿宋_GB2312" w:cs="仿宋_GB2312"/>
                <w:b/>
                <w:bCs/>
                <w:sz w:val="21"/>
                <w:szCs w:val="21"/>
                <w:lang w:val="en-US" w:eastAsia="zh-CN"/>
              </w:rPr>
            </w:pPr>
          </w:p>
          <w:p w14:paraId="05EB94D5">
            <w:pPr>
              <w:spacing w:line="320" w:lineRule="exact"/>
              <w:jc w:val="center"/>
              <w:rPr>
                <w:rFonts w:hint="eastAsia" w:ascii="仿宋_GB2312" w:hAnsi="仿宋_GB2312" w:eastAsia="仿宋_GB2312" w:cs="仿宋_GB2312"/>
                <w:b/>
                <w:bCs/>
                <w:sz w:val="21"/>
                <w:szCs w:val="21"/>
                <w:lang w:val="en-US" w:eastAsia="zh-CN"/>
              </w:rPr>
            </w:pPr>
          </w:p>
          <w:p w14:paraId="56210E96">
            <w:pPr>
              <w:spacing w:line="320" w:lineRule="exact"/>
              <w:jc w:val="center"/>
              <w:rPr>
                <w:rFonts w:hint="eastAsia" w:ascii="仿宋_GB2312" w:hAnsi="仿宋_GB2312" w:eastAsia="仿宋_GB2312" w:cs="仿宋_GB2312"/>
                <w:b/>
                <w:bCs/>
                <w:sz w:val="21"/>
                <w:szCs w:val="21"/>
                <w:lang w:val="en-US" w:eastAsia="zh-CN"/>
              </w:rPr>
            </w:pPr>
          </w:p>
          <w:p w14:paraId="52F39877">
            <w:pPr>
              <w:spacing w:line="320" w:lineRule="exact"/>
              <w:jc w:val="center"/>
              <w:rPr>
                <w:rFonts w:hint="eastAsia" w:ascii="仿宋_GB2312" w:hAnsi="仿宋_GB2312" w:eastAsia="仿宋_GB2312" w:cs="仿宋_GB2312"/>
                <w:b/>
                <w:bCs/>
                <w:sz w:val="21"/>
                <w:szCs w:val="21"/>
                <w:lang w:val="en-US" w:eastAsia="zh-CN"/>
              </w:rPr>
            </w:pPr>
          </w:p>
          <w:p w14:paraId="103F9AD0">
            <w:pPr>
              <w:spacing w:line="320" w:lineRule="exact"/>
              <w:jc w:val="center"/>
              <w:rPr>
                <w:rFonts w:hint="eastAsia" w:ascii="仿宋_GB2312" w:hAnsi="仿宋_GB2312" w:eastAsia="仿宋_GB2312" w:cs="仿宋_GB2312"/>
                <w:b/>
                <w:bCs/>
                <w:sz w:val="21"/>
                <w:szCs w:val="21"/>
                <w:lang w:val="en-US" w:eastAsia="zh-CN"/>
              </w:rPr>
            </w:pPr>
          </w:p>
          <w:p w14:paraId="46E64220">
            <w:pPr>
              <w:spacing w:line="320" w:lineRule="exact"/>
              <w:jc w:val="center"/>
              <w:rPr>
                <w:rFonts w:hint="eastAsia" w:ascii="仿宋_GB2312" w:hAnsi="仿宋_GB2312" w:eastAsia="仿宋_GB2312" w:cs="仿宋_GB2312"/>
                <w:b/>
                <w:bCs/>
                <w:sz w:val="21"/>
                <w:szCs w:val="21"/>
                <w:lang w:val="en-US" w:eastAsia="zh-CN"/>
              </w:rPr>
            </w:pPr>
          </w:p>
          <w:p w14:paraId="4EBCD47D">
            <w:pPr>
              <w:spacing w:line="320" w:lineRule="exact"/>
              <w:jc w:val="center"/>
              <w:rPr>
                <w:rFonts w:hint="eastAsia" w:ascii="仿宋_GB2312" w:hAnsi="仿宋_GB2312" w:eastAsia="仿宋_GB2312" w:cs="仿宋_GB2312"/>
                <w:b/>
                <w:bCs/>
                <w:sz w:val="21"/>
                <w:szCs w:val="21"/>
                <w:lang w:val="en-US" w:eastAsia="zh-CN"/>
              </w:rPr>
            </w:pPr>
          </w:p>
          <w:p w14:paraId="22AE20ED">
            <w:pPr>
              <w:spacing w:line="320" w:lineRule="exact"/>
              <w:jc w:val="center"/>
              <w:rPr>
                <w:rFonts w:hint="eastAsia" w:ascii="仿宋_GB2312" w:hAnsi="仿宋_GB2312" w:eastAsia="仿宋_GB2312" w:cs="仿宋_GB2312"/>
                <w:b/>
                <w:bCs/>
                <w:sz w:val="21"/>
                <w:szCs w:val="21"/>
                <w:lang w:val="en-US" w:eastAsia="zh-CN"/>
              </w:rPr>
            </w:pPr>
          </w:p>
          <w:p w14:paraId="1297E833">
            <w:pPr>
              <w:spacing w:line="320" w:lineRule="exact"/>
              <w:jc w:val="center"/>
              <w:rPr>
                <w:rFonts w:hint="eastAsia" w:ascii="仿宋_GB2312" w:hAnsi="仿宋_GB2312" w:eastAsia="仿宋_GB2312" w:cs="仿宋_GB2312"/>
                <w:b/>
                <w:bCs/>
                <w:sz w:val="21"/>
                <w:szCs w:val="21"/>
                <w:lang w:val="en-US" w:eastAsia="zh-CN"/>
              </w:rPr>
            </w:pPr>
          </w:p>
          <w:p w14:paraId="3316F607">
            <w:pPr>
              <w:spacing w:line="320" w:lineRule="exact"/>
              <w:jc w:val="center"/>
              <w:rPr>
                <w:rFonts w:hint="eastAsia" w:ascii="仿宋_GB2312" w:hAnsi="仿宋_GB2312" w:eastAsia="仿宋_GB2312" w:cs="仿宋_GB2312"/>
                <w:b/>
                <w:bCs/>
                <w:sz w:val="21"/>
                <w:szCs w:val="21"/>
                <w:lang w:val="en-US" w:eastAsia="zh-CN"/>
              </w:rPr>
            </w:pPr>
          </w:p>
          <w:p w14:paraId="4D40E7CB">
            <w:pPr>
              <w:spacing w:line="320" w:lineRule="exact"/>
              <w:jc w:val="center"/>
              <w:rPr>
                <w:rFonts w:hint="eastAsia" w:ascii="仿宋_GB2312" w:hAnsi="仿宋_GB2312" w:eastAsia="仿宋_GB2312" w:cs="仿宋_GB2312"/>
                <w:b/>
                <w:bCs/>
                <w:sz w:val="21"/>
                <w:szCs w:val="21"/>
                <w:lang w:val="en-US" w:eastAsia="zh-CN"/>
              </w:rPr>
            </w:pPr>
          </w:p>
          <w:p w14:paraId="035A83A2">
            <w:pPr>
              <w:spacing w:line="320" w:lineRule="exact"/>
              <w:jc w:val="center"/>
              <w:rPr>
                <w:rFonts w:hint="eastAsia" w:ascii="仿宋_GB2312" w:hAnsi="仿宋_GB2312" w:eastAsia="仿宋_GB2312" w:cs="仿宋_GB2312"/>
                <w:b/>
                <w:bCs/>
                <w:sz w:val="21"/>
                <w:szCs w:val="21"/>
                <w:lang w:val="en-US" w:eastAsia="zh-CN"/>
              </w:rPr>
            </w:pPr>
          </w:p>
          <w:p w14:paraId="3183E10F">
            <w:pPr>
              <w:spacing w:line="320" w:lineRule="exact"/>
              <w:jc w:val="center"/>
              <w:rPr>
                <w:rFonts w:hint="eastAsia" w:ascii="仿宋_GB2312" w:hAnsi="仿宋_GB2312" w:eastAsia="仿宋_GB2312" w:cs="仿宋_GB2312"/>
                <w:b/>
                <w:bCs/>
                <w:sz w:val="21"/>
                <w:szCs w:val="21"/>
                <w:lang w:val="en-US" w:eastAsia="zh-CN"/>
              </w:rPr>
            </w:pPr>
          </w:p>
          <w:p w14:paraId="07B97910">
            <w:pPr>
              <w:spacing w:line="320" w:lineRule="exact"/>
              <w:jc w:val="center"/>
              <w:rPr>
                <w:rFonts w:hint="eastAsia" w:ascii="仿宋_GB2312" w:hAnsi="仿宋_GB2312" w:eastAsia="仿宋_GB2312" w:cs="仿宋_GB2312"/>
                <w:b/>
                <w:bCs/>
                <w:sz w:val="21"/>
                <w:szCs w:val="21"/>
                <w:lang w:val="en-US" w:eastAsia="zh-CN"/>
              </w:rPr>
            </w:pPr>
          </w:p>
          <w:p w14:paraId="66357A69">
            <w:pPr>
              <w:spacing w:line="320" w:lineRule="exact"/>
              <w:jc w:val="center"/>
              <w:rPr>
                <w:rFonts w:hint="eastAsia" w:ascii="仿宋_GB2312" w:hAnsi="仿宋_GB2312" w:eastAsia="仿宋_GB2312" w:cs="仿宋_GB2312"/>
                <w:b/>
                <w:bCs/>
                <w:sz w:val="21"/>
                <w:szCs w:val="21"/>
                <w:lang w:val="en-US" w:eastAsia="zh-CN"/>
              </w:rPr>
            </w:pPr>
          </w:p>
          <w:p w14:paraId="52833EC4">
            <w:pPr>
              <w:spacing w:line="320" w:lineRule="exact"/>
              <w:jc w:val="center"/>
              <w:rPr>
                <w:rFonts w:hint="eastAsia" w:ascii="仿宋_GB2312" w:hAnsi="仿宋_GB2312" w:eastAsia="仿宋_GB2312" w:cs="仿宋_GB2312"/>
                <w:b/>
                <w:bCs/>
                <w:sz w:val="21"/>
                <w:szCs w:val="21"/>
                <w:lang w:val="en-US" w:eastAsia="zh-CN"/>
              </w:rPr>
            </w:pPr>
          </w:p>
          <w:p w14:paraId="46D0695A">
            <w:pPr>
              <w:spacing w:line="320" w:lineRule="exact"/>
              <w:jc w:val="center"/>
              <w:rPr>
                <w:rFonts w:hint="eastAsia" w:ascii="仿宋_GB2312" w:hAnsi="仿宋_GB2312" w:eastAsia="仿宋_GB2312" w:cs="仿宋_GB2312"/>
                <w:b/>
                <w:bCs/>
                <w:sz w:val="21"/>
                <w:szCs w:val="21"/>
                <w:lang w:val="en-US" w:eastAsia="zh-CN"/>
              </w:rPr>
            </w:pPr>
          </w:p>
          <w:p w14:paraId="05A94AA3">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39DAF8C8">
            <w:pPr>
              <w:spacing w:line="320" w:lineRule="exact"/>
              <w:jc w:val="both"/>
              <w:rPr>
                <w:rFonts w:hint="eastAsia" w:ascii="仿宋_GB2312" w:hAnsi="仿宋_GB2312" w:eastAsia="仿宋_GB2312" w:cs="仿宋_GB2312"/>
                <w:b/>
                <w:bCs/>
                <w:sz w:val="21"/>
                <w:szCs w:val="21"/>
                <w:lang w:val="en-US" w:eastAsia="zh-CN"/>
              </w:rPr>
            </w:pPr>
          </w:p>
          <w:p w14:paraId="0B405F90">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024D74D6">
            <w:pPr>
              <w:spacing w:line="320" w:lineRule="exact"/>
              <w:jc w:val="both"/>
              <w:rPr>
                <w:rFonts w:hint="eastAsia" w:ascii="仿宋_GB2312" w:hAnsi="仿宋_GB2312" w:eastAsia="仿宋_GB2312" w:cs="仿宋_GB2312"/>
                <w:b/>
                <w:bCs/>
                <w:sz w:val="21"/>
                <w:szCs w:val="21"/>
                <w:lang w:val="en-US" w:eastAsia="zh-CN"/>
              </w:rPr>
            </w:pPr>
          </w:p>
          <w:p w14:paraId="152E5E78">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799432AA">
            <w:pPr>
              <w:spacing w:line="320" w:lineRule="exact"/>
              <w:jc w:val="both"/>
              <w:rPr>
                <w:rFonts w:hint="eastAsia" w:ascii="仿宋_GB2312" w:hAnsi="仿宋_GB2312" w:eastAsia="仿宋_GB2312" w:cs="仿宋_GB2312"/>
                <w:b/>
                <w:bCs/>
                <w:sz w:val="21"/>
                <w:szCs w:val="21"/>
                <w:lang w:val="en-US" w:eastAsia="zh-CN"/>
              </w:rPr>
            </w:pPr>
          </w:p>
          <w:p w14:paraId="79D3A9F0">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4F4E8534">
            <w:pPr>
              <w:spacing w:line="320" w:lineRule="exact"/>
              <w:jc w:val="center"/>
              <w:rPr>
                <w:rFonts w:hint="eastAsia" w:ascii="仿宋_GB2312" w:hAnsi="仿宋_GB2312" w:eastAsia="仿宋_GB2312" w:cs="仿宋_GB2312"/>
                <w:b/>
                <w:bCs/>
                <w:sz w:val="21"/>
                <w:szCs w:val="21"/>
                <w:lang w:val="en-US" w:eastAsia="zh-CN"/>
              </w:rPr>
            </w:pPr>
          </w:p>
          <w:p w14:paraId="0633F699">
            <w:pPr>
              <w:spacing w:line="320" w:lineRule="exact"/>
              <w:jc w:val="center"/>
              <w:rPr>
                <w:rFonts w:hint="eastAsia" w:ascii="仿宋_GB2312" w:hAnsi="仿宋_GB2312" w:eastAsia="仿宋_GB2312" w:cs="仿宋_GB2312"/>
                <w:b/>
                <w:bCs/>
                <w:sz w:val="21"/>
                <w:szCs w:val="21"/>
                <w:lang w:val="en-US" w:eastAsia="zh-CN"/>
              </w:rPr>
            </w:pPr>
          </w:p>
          <w:p w14:paraId="445E087D">
            <w:pPr>
              <w:spacing w:line="320" w:lineRule="exact"/>
              <w:jc w:val="center"/>
              <w:rPr>
                <w:rFonts w:hint="eastAsia" w:ascii="仿宋_GB2312" w:hAnsi="仿宋_GB2312" w:eastAsia="仿宋_GB2312" w:cs="仿宋_GB2312"/>
                <w:b/>
                <w:bCs/>
                <w:sz w:val="21"/>
                <w:szCs w:val="21"/>
                <w:lang w:val="en-US" w:eastAsia="zh-CN"/>
              </w:rPr>
            </w:pPr>
          </w:p>
          <w:p w14:paraId="756D441F">
            <w:pPr>
              <w:spacing w:line="320" w:lineRule="exact"/>
              <w:jc w:val="center"/>
              <w:rPr>
                <w:rFonts w:hint="eastAsia" w:ascii="仿宋_GB2312" w:hAnsi="仿宋_GB2312" w:eastAsia="仿宋_GB2312" w:cs="仿宋_GB2312"/>
                <w:b/>
                <w:bCs/>
                <w:sz w:val="21"/>
                <w:szCs w:val="21"/>
                <w:lang w:val="en-US" w:eastAsia="zh-CN"/>
              </w:rPr>
            </w:pPr>
          </w:p>
          <w:p w14:paraId="2E4D260A">
            <w:pPr>
              <w:spacing w:line="320" w:lineRule="exact"/>
              <w:jc w:val="center"/>
              <w:rPr>
                <w:rFonts w:hint="eastAsia" w:ascii="仿宋_GB2312" w:hAnsi="仿宋_GB2312" w:eastAsia="仿宋_GB2312" w:cs="仿宋_GB2312"/>
                <w:b/>
                <w:bCs/>
                <w:sz w:val="21"/>
                <w:szCs w:val="21"/>
                <w:lang w:val="en-US" w:eastAsia="zh-CN"/>
              </w:rPr>
            </w:pPr>
          </w:p>
          <w:p w14:paraId="0E3E64EA">
            <w:pPr>
              <w:spacing w:line="320" w:lineRule="exact"/>
              <w:jc w:val="center"/>
              <w:rPr>
                <w:rFonts w:hint="eastAsia" w:ascii="仿宋_GB2312" w:hAnsi="仿宋_GB2312" w:eastAsia="仿宋_GB2312" w:cs="仿宋_GB2312"/>
                <w:b/>
                <w:bCs/>
                <w:sz w:val="21"/>
                <w:szCs w:val="21"/>
                <w:lang w:val="en-US" w:eastAsia="zh-CN"/>
              </w:rPr>
            </w:pPr>
          </w:p>
          <w:p w14:paraId="05A67B16">
            <w:pPr>
              <w:spacing w:line="320" w:lineRule="exact"/>
              <w:jc w:val="center"/>
              <w:rPr>
                <w:rFonts w:hint="eastAsia" w:ascii="仿宋_GB2312" w:hAnsi="仿宋_GB2312" w:eastAsia="仿宋_GB2312" w:cs="仿宋_GB2312"/>
                <w:b/>
                <w:bCs/>
                <w:sz w:val="21"/>
                <w:szCs w:val="21"/>
                <w:lang w:val="en-US" w:eastAsia="zh-CN"/>
              </w:rPr>
            </w:pPr>
          </w:p>
          <w:p w14:paraId="5773A5E5">
            <w:pPr>
              <w:spacing w:line="320" w:lineRule="exact"/>
              <w:jc w:val="center"/>
              <w:rPr>
                <w:rFonts w:hint="eastAsia" w:ascii="仿宋_GB2312" w:hAnsi="仿宋_GB2312" w:eastAsia="仿宋_GB2312" w:cs="仿宋_GB2312"/>
                <w:b/>
                <w:bCs/>
                <w:sz w:val="21"/>
                <w:szCs w:val="21"/>
                <w:lang w:val="en-US" w:eastAsia="zh-CN"/>
              </w:rPr>
            </w:pPr>
          </w:p>
          <w:p w14:paraId="72963791">
            <w:pPr>
              <w:spacing w:line="320" w:lineRule="exact"/>
              <w:jc w:val="center"/>
              <w:rPr>
                <w:rFonts w:hint="eastAsia" w:ascii="仿宋_GB2312" w:hAnsi="仿宋_GB2312" w:eastAsia="仿宋_GB2312" w:cs="仿宋_GB2312"/>
                <w:b/>
                <w:bCs/>
                <w:sz w:val="21"/>
                <w:szCs w:val="21"/>
                <w:lang w:val="en-US" w:eastAsia="zh-CN"/>
              </w:rPr>
            </w:pPr>
          </w:p>
          <w:p w14:paraId="753D6FE6">
            <w:pPr>
              <w:spacing w:line="320" w:lineRule="exact"/>
              <w:jc w:val="center"/>
              <w:rPr>
                <w:rFonts w:hint="eastAsia" w:ascii="仿宋_GB2312" w:hAnsi="仿宋_GB2312" w:eastAsia="仿宋_GB2312" w:cs="仿宋_GB2312"/>
                <w:b/>
                <w:bCs/>
                <w:sz w:val="21"/>
                <w:szCs w:val="21"/>
                <w:lang w:val="en-US" w:eastAsia="zh-CN"/>
              </w:rPr>
            </w:pPr>
          </w:p>
          <w:p w14:paraId="03799E18">
            <w:pPr>
              <w:spacing w:line="320" w:lineRule="exact"/>
              <w:jc w:val="center"/>
              <w:rPr>
                <w:rFonts w:hint="eastAsia" w:ascii="仿宋_GB2312" w:hAnsi="仿宋_GB2312" w:eastAsia="仿宋_GB2312" w:cs="仿宋_GB2312"/>
                <w:b/>
                <w:bCs/>
                <w:sz w:val="21"/>
                <w:szCs w:val="21"/>
                <w:lang w:val="en-US" w:eastAsia="zh-CN"/>
              </w:rPr>
            </w:pPr>
          </w:p>
          <w:p w14:paraId="0C869942">
            <w:pPr>
              <w:spacing w:line="320" w:lineRule="exact"/>
              <w:jc w:val="center"/>
              <w:rPr>
                <w:rFonts w:hint="eastAsia" w:ascii="仿宋_GB2312" w:hAnsi="仿宋_GB2312" w:eastAsia="仿宋_GB2312" w:cs="仿宋_GB2312"/>
                <w:b/>
                <w:bCs/>
                <w:sz w:val="21"/>
                <w:szCs w:val="21"/>
                <w:lang w:val="en-US" w:eastAsia="zh-CN"/>
              </w:rPr>
            </w:pPr>
          </w:p>
          <w:p w14:paraId="3A9768C1">
            <w:pPr>
              <w:spacing w:line="320" w:lineRule="exact"/>
              <w:jc w:val="center"/>
              <w:rPr>
                <w:rFonts w:hint="eastAsia" w:ascii="仿宋_GB2312" w:hAnsi="仿宋_GB2312" w:eastAsia="仿宋_GB2312" w:cs="仿宋_GB2312"/>
                <w:b/>
                <w:bCs/>
                <w:sz w:val="21"/>
                <w:szCs w:val="21"/>
                <w:lang w:val="en-US" w:eastAsia="zh-CN"/>
              </w:rPr>
            </w:pPr>
          </w:p>
          <w:p w14:paraId="75D122ED">
            <w:pPr>
              <w:spacing w:line="320" w:lineRule="exact"/>
              <w:jc w:val="center"/>
              <w:rPr>
                <w:rFonts w:hint="eastAsia" w:ascii="仿宋_GB2312" w:hAnsi="仿宋_GB2312" w:eastAsia="仿宋_GB2312" w:cs="仿宋_GB2312"/>
                <w:b/>
                <w:bCs/>
                <w:sz w:val="21"/>
                <w:szCs w:val="21"/>
                <w:lang w:val="en-US" w:eastAsia="zh-CN"/>
              </w:rPr>
            </w:pPr>
          </w:p>
          <w:p w14:paraId="58A692E3">
            <w:pPr>
              <w:spacing w:line="320" w:lineRule="exact"/>
              <w:jc w:val="center"/>
              <w:rPr>
                <w:rFonts w:hint="eastAsia" w:ascii="仿宋_GB2312" w:hAnsi="仿宋_GB2312" w:eastAsia="仿宋_GB2312" w:cs="仿宋_GB2312"/>
                <w:b/>
                <w:bCs/>
                <w:sz w:val="21"/>
                <w:szCs w:val="21"/>
                <w:lang w:val="en-US" w:eastAsia="zh-CN"/>
              </w:rPr>
            </w:pPr>
          </w:p>
          <w:p w14:paraId="302E99DD">
            <w:pPr>
              <w:spacing w:line="320" w:lineRule="exact"/>
              <w:jc w:val="center"/>
              <w:rPr>
                <w:rFonts w:hint="eastAsia" w:ascii="仿宋_GB2312" w:hAnsi="仿宋_GB2312" w:eastAsia="仿宋_GB2312" w:cs="仿宋_GB2312"/>
                <w:b/>
                <w:bCs/>
                <w:sz w:val="21"/>
                <w:szCs w:val="21"/>
                <w:lang w:val="en-US" w:eastAsia="zh-CN"/>
              </w:rPr>
            </w:pPr>
          </w:p>
          <w:p w14:paraId="4D85A47A">
            <w:pPr>
              <w:spacing w:line="320" w:lineRule="exact"/>
              <w:jc w:val="center"/>
              <w:rPr>
                <w:rFonts w:hint="eastAsia" w:ascii="仿宋_GB2312" w:hAnsi="仿宋_GB2312" w:eastAsia="仿宋_GB2312" w:cs="仿宋_GB2312"/>
                <w:b/>
                <w:bCs/>
                <w:sz w:val="21"/>
                <w:szCs w:val="21"/>
                <w:lang w:val="en-US" w:eastAsia="zh-CN"/>
              </w:rPr>
            </w:pPr>
          </w:p>
          <w:p w14:paraId="3944581F">
            <w:pPr>
              <w:spacing w:line="320" w:lineRule="exact"/>
              <w:jc w:val="center"/>
              <w:rPr>
                <w:rFonts w:hint="eastAsia" w:ascii="仿宋_GB2312" w:hAnsi="仿宋_GB2312" w:eastAsia="仿宋_GB2312" w:cs="仿宋_GB2312"/>
                <w:b/>
                <w:bCs/>
                <w:sz w:val="21"/>
                <w:szCs w:val="21"/>
                <w:lang w:val="en-US" w:eastAsia="zh-CN"/>
              </w:rPr>
            </w:pPr>
          </w:p>
          <w:p w14:paraId="3E3D5615">
            <w:pPr>
              <w:spacing w:line="320" w:lineRule="exact"/>
              <w:jc w:val="center"/>
              <w:rPr>
                <w:rFonts w:hint="eastAsia" w:ascii="仿宋_GB2312" w:hAnsi="仿宋_GB2312" w:eastAsia="仿宋_GB2312" w:cs="仿宋_GB2312"/>
                <w:b/>
                <w:bCs/>
                <w:sz w:val="21"/>
                <w:szCs w:val="21"/>
                <w:lang w:val="en-US" w:eastAsia="zh-CN"/>
              </w:rPr>
            </w:pPr>
          </w:p>
          <w:p w14:paraId="24480CC5">
            <w:pPr>
              <w:spacing w:line="320" w:lineRule="exact"/>
              <w:jc w:val="center"/>
              <w:rPr>
                <w:rFonts w:hint="eastAsia" w:ascii="仿宋_GB2312" w:hAnsi="仿宋_GB2312" w:eastAsia="仿宋_GB2312" w:cs="仿宋_GB2312"/>
                <w:b/>
                <w:bCs/>
                <w:sz w:val="21"/>
                <w:szCs w:val="21"/>
                <w:lang w:val="en-US" w:eastAsia="zh-CN"/>
              </w:rPr>
            </w:pPr>
          </w:p>
          <w:p w14:paraId="38B75BE7">
            <w:pPr>
              <w:spacing w:line="320" w:lineRule="exact"/>
              <w:jc w:val="center"/>
              <w:rPr>
                <w:rFonts w:hint="eastAsia" w:ascii="仿宋_GB2312" w:hAnsi="仿宋_GB2312" w:eastAsia="仿宋_GB2312" w:cs="仿宋_GB2312"/>
                <w:b/>
                <w:bCs/>
                <w:sz w:val="21"/>
                <w:szCs w:val="21"/>
                <w:lang w:val="en-US" w:eastAsia="zh-CN"/>
              </w:rPr>
            </w:pPr>
          </w:p>
          <w:p w14:paraId="6E3A4E33">
            <w:pPr>
              <w:spacing w:line="320" w:lineRule="exact"/>
              <w:jc w:val="center"/>
              <w:rPr>
                <w:rFonts w:hint="eastAsia" w:ascii="仿宋_GB2312" w:hAnsi="仿宋_GB2312" w:eastAsia="仿宋_GB2312" w:cs="仿宋_GB2312"/>
                <w:b/>
                <w:bCs/>
                <w:sz w:val="21"/>
                <w:szCs w:val="21"/>
                <w:lang w:val="en-US" w:eastAsia="zh-CN"/>
              </w:rPr>
            </w:pPr>
          </w:p>
          <w:p w14:paraId="6ACDEB8F">
            <w:pPr>
              <w:spacing w:line="320" w:lineRule="exact"/>
              <w:jc w:val="center"/>
              <w:rPr>
                <w:rFonts w:hint="eastAsia" w:ascii="仿宋_GB2312" w:hAnsi="仿宋_GB2312" w:eastAsia="仿宋_GB2312" w:cs="仿宋_GB2312"/>
                <w:b/>
                <w:bCs/>
                <w:sz w:val="21"/>
                <w:szCs w:val="21"/>
                <w:lang w:val="en-US" w:eastAsia="zh-CN"/>
              </w:rPr>
            </w:pPr>
          </w:p>
          <w:p w14:paraId="322797A1">
            <w:pPr>
              <w:spacing w:line="320" w:lineRule="exact"/>
              <w:jc w:val="center"/>
              <w:rPr>
                <w:rFonts w:hint="eastAsia" w:ascii="仿宋_GB2312" w:hAnsi="仿宋_GB2312" w:eastAsia="仿宋_GB2312" w:cs="仿宋_GB2312"/>
                <w:b/>
                <w:bCs/>
                <w:sz w:val="21"/>
                <w:szCs w:val="21"/>
                <w:lang w:val="en-US" w:eastAsia="zh-CN"/>
              </w:rPr>
            </w:pPr>
          </w:p>
          <w:p w14:paraId="22C24871">
            <w:pPr>
              <w:spacing w:line="320" w:lineRule="exact"/>
              <w:jc w:val="center"/>
              <w:rPr>
                <w:rFonts w:hint="eastAsia" w:ascii="仿宋_GB2312" w:hAnsi="仿宋_GB2312" w:eastAsia="仿宋_GB2312" w:cs="仿宋_GB2312"/>
                <w:b/>
                <w:bCs/>
                <w:sz w:val="21"/>
                <w:szCs w:val="21"/>
                <w:lang w:val="en-US" w:eastAsia="zh-CN"/>
              </w:rPr>
            </w:pPr>
          </w:p>
          <w:p w14:paraId="05084B84">
            <w:pPr>
              <w:spacing w:line="320" w:lineRule="exact"/>
              <w:jc w:val="center"/>
              <w:rPr>
                <w:rFonts w:hint="eastAsia" w:ascii="仿宋_GB2312" w:hAnsi="仿宋_GB2312" w:eastAsia="仿宋_GB2312" w:cs="仿宋_GB2312"/>
                <w:b/>
                <w:bCs/>
                <w:sz w:val="21"/>
                <w:szCs w:val="21"/>
                <w:lang w:val="en-US" w:eastAsia="zh-CN"/>
              </w:rPr>
            </w:pPr>
          </w:p>
          <w:p w14:paraId="3500D11C">
            <w:pPr>
              <w:spacing w:line="320" w:lineRule="exact"/>
              <w:jc w:val="center"/>
              <w:rPr>
                <w:rFonts w:hint="eastAsia" w:ascii="仿宋_GB2312" w:hAnsi="仿宋_GB2312" w:eastAsia="仿宋_GB2312" w:cs="仿宋_GB2312"/>
                <w:b/>
                <w:bCs/>
                <w:sz w:val="21"/>
                <w:szCs w:val="21"/>
                <w:lang w:val="en-US" w:eastAsia="zh-CN"/>
              </w:rPr>
            </w:pPr>
          </w:p>
          <w:p w14:paraId="7D9112EC">
            <w:pPr>
              <w:spacing w:line="320" w:lineRule="exact"/>
              <w:jc w:val="center"/>
              <w:rPr>
                <w:rFonts w:hint="eastAsia" w:ascii="仿宋_GB2312" w:hAnsi="仿宋_GB2312" w:eastAsia="仿宋_GB2312" w:cs="仿宋_GB2312"/>
                <w:b/>
                <w:bCs/>
                <w:sz w:val="21"/>
                <w:szCs w:val="21"/>
                <w:lang w:val="en-US" w:eastAsia="zh-CN"/>
              </w:rPr>
            </w:pPr>
          </w:p>
          <w:p w14:paraId="10B57CB3">
            <w:pPr>
              <w:spacing w:line="320" w:lineRule="exact"/>
              <w:jc w:val="center"/>
              <w:rPr>
                <w:rFonts w:hint="eastAsia" w:ascii="仿宋_GB2312" w:hAnsi="仿宋_GB2312" w:eastAsia="仿宋_GB2312" w:cs="仿宋_GB2312"/>
                <w:b/>
                <w:bCs/>
                <w:sz w:val="21"/>
                <w:szCs w:val="21"/>
                <w:lang w:val="en-US" w:eastAsia="zh-CN"/>
              </w:rPr>
            </w:pPr>
          </w:p>
          <w:p w14:paraId="2237B3AC">
            <w:pPr>
              <w:spacing w:line="320" w:lineRule="exact"/>
              <w:jc w:val="center"/>
              <w:rPr>
                <w:rFonts w:hint="eastAsia" w:ascii="仿宋_GB2312" w:hAnsi="仿宋_GB2312" w:eastAsia="仿宋_GB2312" w:cs="仿宋_GB2312"/>
                <w:b/>
                <w:bCs/>
                <w:sz w:val="21"/>
                <w:szCs w:val="21"/>
                <w:lang w:val="en-US" w:eastAsia="zh-CN"/>
              </w:rPr>
            </w:pPr>
          </w:p>
          <w:p w14:paraId="2A79C5C8">
            <w:pPr>
              <w:spacing w:line="320" w:lineRule="exact"/>
              <w:jc w:val="center"/>
              <w:rPr>
                <w:rFonts w:hint="eastAsia" w:ascii="仿宋_GB2312" w:hAnsi="仿宋_GB2312" w:eastAsia="仿宋_GB2312" w:cs="仿宋_GB2312"/>
                <w:b/>
                <w:bCs/>
                <w:sz w:val="21"/>
                <w:szCs w:val="21"/>
                <w:lang w:val="en-US" w:eastAsia="zh-CN"/>
              </w:rPr>
            </w:pPr>
          </w:p>
          <w:p w14:paraId="0CFF2C79">
            <w:pPr>
              <w:spacing w:line="320" w:lineRule="exact"/>
              <w:jc w:val="center"/>
              <w:rPr>
                <w:rFonts w:hint="eastAsia" w:ascii="仿宋_GB2312" w:hAnsi="仿宋_GB2312" w:eastAsia="仿宋_GB2312" w:cs="仿宋_GB2312"/>
                <w:b/>
                <w:bCs/>
                <w:sz w:val="21"/>
                <w:szCs w:val="21"/>
                <w:lang w:val="en-US" w:eastAsia="zh-CN"/>
              </w:rPr>
            </w:pPr>
          </w:p>
          <w:p w14:paraId="12618BC3">
            <w:pPr>
              <w:spacing w:line="320" w:lineRule="exact"/>
              <w:jc w:val="center"/>
              <w:rPr>
                <w:rFonts w:hint="eastAsia" w:ascii="仿宋_GB2312" w:hAnsi="仿宋_GB2312" w:eastAsia="仿宋_GB2312" w:cs="仿宋_GB2312"/>
                <w:b/>
                <w:bCs/>
                <w:sz w:val="21"/>
                <w:szCs w:val="21"/>
                <w:lang w:val="en-US" w:eastAsia="zh-CN"/>
              </w:rPr>
            </w:pPr>
          </w:p>
          <w:p w14:paraId="0D9662BD">
            <w:pPr>
              <w:spacing w:line="320" w:lineRule="exact"/>
              <w:jc w:val="center"/>
              <w:rPr>
                <w:rFonts w:hint="eastAsia" w:ascii="仿宋_GB2312" w:hAnsi="仿宋_GB2312" w:eastAsia="仿宋_GB2312" w:cs="仿宋_GB2312"/>
                <w:b/>
                <w:bCs/>
                <w:sz w:val="21"/>
                <w:szCs w:val="21"/>
                <w:lang w:val="en-US" w:eastAsia="zh-CN"/>
              </w:rPr>
            </w:pPr>
          </w:p>
          <w:p w14:paraId="53291E53">
            <w:pPr>
              <w:spacing w:line="320" w:lineRule="exact"/>
              <w:jc w:val="center"/>
              <w:rPr>
                <w:rFonts w:hint="eastAsia" w:ascii="仿宋_GB2312" w:hAnsi="仿宋_GB2312" w:eastAsia="仿宋_GB2312" w:cs="仿宋_GB2312"/>
                <w:b/>
                <w:bCs/>
                <w:sz w:val="21"/>
                <w:szCs w:val="21"/>
                <w:lang w:val="en-US" w:eastAsia="zh-CN"/>
              </w:rPr>
            </w:pPr>
          </w:p>
          <w:p w14:paraId="53CFEE69">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1A960DFC">
            <w:pPr>
              <w:spacing w:line="320" w:lineRule="exact"/>
              <w:jc w:val="both"/>
              <w:rPr>
                <w:rFonts w:hint="eastAsia" w:ascii="仿宋_GB2312" w:hAnsi="仿宋_GB2312" w:eastAsia="仿宋_GB2312" w:cs="仿宋_GB2312"/>
                <w:b/>
                <w:bCs/>
                <w:sz w:val="21"/>
                <w:szCs w:val="21"/>
                <w:lang w:val="en-US" w:eastAsia="zh-CN"/>
              </w:rPr>
            </w:pPr>
          </w:p>
          <w:p w14:paraId="12C59973">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2FB778BF">
            <w:pPr>
              <w:spacing w:line="320" w:lineRule="exact"/>
              <w:jc w:val="both"/>
              <w:rPr>
                <w:rFonts w:hint="eastAsia" w:ascii="仿宋_GB2312" w:hAnsi="仿宋_GB2312" w:eastAsia="仿宋_GB2312" w:cs="仿宋_GB2312"/>
                <w:b/>
                <w:bCs/>
                <w:sz w:val="21"/>
                <w:szCs w:val="21"/>
                <w:lang w:val="en-US" w:eastAsia="zh-CN"/>
              </w:rPr>
            </w:pPr>
          </w:p>
          <w:p w14:paraId="62D6C3F0">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0B40863F">
            <w:pPr>
              <w:spacing w:line="320" w:lineRule="exact"/>
              <w:jc w:val="both"/>
              <w:rPr>
                <w:rFonts w:hint="eastAsia" w:ascii="仿宋_GB2312" w:hAnsi="仿宋_GB2312" w:eastAsia="仿宋_GB2312" w:cs="仿宋_GB2312"/>
                <w:b/>
                <w:bCs/>
                <w:sz w:val="21"/>
                <w:szCs w:val="21"/>
                <w:lang w:val="en-US" w:eastAsia="zh-CN"/>
              </w:rPr>
            </w:pPr>
          </w:p>
          <w:p w14:paraId="6B55A671">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5CE651D5">
            <w:pPr>
              <w:spacing w:line="320" w:lineRule="exact"/>
              <w:jc w:val="center"/>
              <w:rPr>
                <w:rFonts w:hint="eastAsia" w:ascii="仿宋_GB2312" w:hAnsi="仿宋_GB2312" w:eastAsia="仿宋_GB2312" w:cs="仿宋_GB2312"/>
                <w:b/>
                <w:bCs/>
                <w:sz w:val="21"/>
                <w:szCs w:val="21"/>
                <w:lang w:val="en-US" w:eastAsia="zh-CN"/>
              </w:rPr>
            </w:pPr>
          </w:p>
          <w:p w14:paraId="536888D2">
            <w:pPr>
              <w:spacing w:line="320" w:lineRule="exact"/>
              <w:jc w:val="center"/>
              <w:rPr>
                <w:rFonts w:hint="eastAsia" w:ascii="仿宋_GB2312" w:hAnsi="仿宋_GB2312" w:eastAsia="仿宋_GB2312" w:cs="仿宋_GB2312"/>
                <w:b/>
                <w:bCs/>
                <w:sz w:val="21"/>
                <w:szCs w:val="21"/>
                <w:lang w:val="en-US" w:eastAsia="zh-CN"/>
              </w:rPr>
            </w:pPr>
          </w:p>
          <w:p w14:paraId="5C5D81A2">
            <w:pPr>
              <w:spacing w:line="320" w:lineRule="exact"/>
              <w:jc w:val="center"/>
              <w:rPr>
                <w:rFonts w:hint="eastAsia" w:ascii="仿宋_GB2312" w:hAnsi="仿宋_GB2312" w:eastAsia="仿宋_GB2312" w:cs="仿宋_GB2312"/>
                <w:b/>
                <w:bCs/>
                <w:sz w:val="21"/>
                <w:szCs w:val="21"/>
                <w:lang w:val="en-US" w:eastAsia="zh-CN"/>
              </w:rPr>
            </w:pPr>
          </w:p>
          <w:p w14:paraId="48D34A20">
            <w:pPr>
              <w:spacing w:line="320" w:lineRule="exact"/>
              <w:jc w:val="center"/>
              <w:rPr>
                <w:rFonts w:hint="eastAsia" w:ascii="仿宋_GB2312" w:hAnsi="仿宋_GB2312" w:eastAsia="仿宋_GB2312" w:cs="仿宋_GB2312"/>
                <w:b/>
                <w:bCs/>
                <w:sz w:val="21"/>
                <w:szCs w:val="21"/>
                <w:lang w:val="en-US" w:eastAsia="zh-CN"/>
              </w:rPr>
            </w:pPr>
          </w:p>
          <w:p w14:paraId="0C7DBDB7">
            <w:pPr>
              <w:spacing w:line="320" w:lineRule="exact"/>
              <w:jc w:val="center"/>
              <w:rPr>
                <w:rFonts w:hint="eastAsia" w:ascii="仿宋_GB2312" w:hAnsi="仿宋_GB2312" w:eastAsia="仿宋_GB2312" w:cs="仿宋_GB2312"/>
                <w:b/>
                <w:bCs/>
                <w:sz w:val="21"/>
                <w:szCs w:val="21"/>
                <w:lang w:val="en-US" w:eastAsia="zh-CN"/>
              </w:rPr>
            </w:pPr>
          </w:p>
          <w:p w14:paraId="3654BF4B">
            <w:pPr>
              <w:spacing w:line="320" w:lineRule="exact"/>
              <w:jc w:val="center"/>
              <w:rPr>
                <w:rFonts w:hint="eastAsia" w:ascii="仿宋_GB2312" w:hAnsi="仿宋_GB2312" w:eastAsia="仿宋_GB2312" w:cs="仿宋_GB2312"/>
                <w:b/>
                <w:bCs/>
                <w:sz w:val="21"/>
                <w:szCs w:val="21"/>
                <w:lang w:val="en-US" w:eastAsia="zh-CN"/>
              </w:rPr>
            </w:pPr>
          </w:p>
          <w:p w14:paraId="1AC6CAB6">
            <w:pPr>
              <w:spacing w:line="320" w:lineRule="exact"/>
              <w:jc w:val="center"/>
              <w:rPr>
                <w:rFonts w:hint="eastAsia" w:ascii="仿宋_GB2312" w:hAnsi="仿宋_GB2312" w:eastAsia="仿宋_GB2312" w:cs="仿宋_GB2312"/>
                <w:b/>
                <w:bCs/>
                <w:sz w:val="21"/>
                <w:szCs w:val="21"/>
                <w:lang w:val="en-US" w:eastAsia="zh-CN"/>
              </w:rPr>
            </w:pPr>
          </w:p>
          <w:p w14:paraId="787049B3">
            <w:pPr>
              <w:spacing w:line="320" w:lineRule="exact"/>
              <w:jc w:val="center"/>
              <w:rPr>
                <w:rFonts w:hint="eastAsia" w:ascii="仿宋_GB2312" w:hAnsi="仿宋_GB2312" w:eastAsia="仿宋_GB2312" w:cs="仿宋_GB2312"/>
                <w:b/>
                <w:bCs/>
                <w:sz w:val="21"/>
                <w:szCs w:val="21"/>
                <w:lang w:val="en-US" w:eastAsia="zh-CN"/>
              </w:rPr>
            </w:pPr>
          </w:p>
          <w:p w14:paraId="2243B7BC">
            <w:pPr>
              <w:spacing w:line="320" w:lineRule="exact"/>
              <w:jc w:val="center"/>
              <w:rPr>
                <w:rFonts w:hint="eastAsia" w:ascii="仿宋_GB2312" w:hAnsi="仿宋_GB2312" w:eastAsia="仿宋_GB2312" w:cs="仿宋_GB2312"/>
                <w:b/>
                <w:bCs/>
                <w:sz w:val="21"/>
                <w:szCs w:val="21"/>
                <w:lang w:val="en-US" w:eastAsia="zh-CN"/>
              </w:rPr>
            </w:pPr>
          </w:p>
          <w:p w14:paraId="705BC9D4">
            <w:pPr>
              <w:spacing w:line="320" w:lineRule="exact"/>
              <w:jc w:val="center"/>
              <w:rPr>
                <w:rFonts w:hint="eastAsia" w:ascii="仿宋_GB2312" w:hAnsi="仿宋_GB2312" w:eastAsia="仿宋_GB2312" w:cs="仿宋_GB2312"/>
                <w:b/>
                <w:bCs/>
                <w:sz w:val="21"/>
                <w:szCs w:val="21"/>
                <w:lang w:val="en-US" w:eastAsia="zh-CN"/>
              </w:rPr>
            </w:pPr>
          </w:p>
          <w:p w14:paraId="64737471">
            <w:pPr>
              <w:spacing w:line="320" w:lineRule="exact"/>
              <w:jc w:val="center"/>
              <w:rPr>
                <w:rFonts w:hint="eastAsia" w:ascii="仿宋_GB2312" w:hAnsi="仿宋_GB2312" w:eastAsia="仿宋_GB2312" w:cs="仿宋_GB2312"/>
                <w:b/>
                <w:bCs/>
                <w:sz w:val="21"/>
                <w:szCs w:val="21"/>
                <w:lang w:val="en-US" w:eastAsia="zh-CN"/>
              </w:rPr>
            </w:pPr>
          </w:p>
          <w:p w14:paraId="68306A98">
            <w:pPr>
              <w:spacing w:line="320" w:lineRule="exact"/>
              <w:jc w:val="center"/>
              <w:rPr>
                <w:rFonts w:hint="eastAsia" w:ascii="仿宋_GB2312" w:hAnsi="仿宋_GB2312" w:eastAsia="仿宋_GB2312" w:cs="仿宋_GB2312"/>
                <w:b/>
                <w:bCs/>
                <w:sz w:val="21"/>
                <w:szCs w:val="21"/>
                <w:lang w:val="en-US" w:eastAsia="zh-CN"/>
              </w:rPr>
            </w:pPr>
          </w:p>
          <w:p w14:paraId="7E9BD523">
            <w:pPr>
              <w:spacing w:line="320" w:lineRule="exact"/>
              <w:jc w:val="center"/>
              <w:rPr>
                <w:rFonts w:hint="eastAsia" w:ascii="仿宋_GB2312" w:hAnsi="仿宋_GB2312" w:eastAsia="仿宋_GB2312" w:cs="仿宋_GB2312"/>
                <w:b/>
                <w:bCs/>
                <w:sz w:val="21"/>
                <w:szCs w:val="21"/>
                <w:lang w:val="en-US" w:eastAsia="zh-CN"/>
              </w:rPr>
            </w:pPr>
          </w:p>
          <w:p w14:paraId="5B7B1602">
            <w:pPr>
              <w:spacing w:line="320" w:lineRule="exact"/>
              <w:jc w:val="center"/>
              <w:rPr>
                <w:rFonts w:hint="eastAsia" w:ascii="仿宋_GB2312" w:hAnsi="仿宋_GB2312" w:eastAsia="仿宋_GB2312" w:cs="仿宋_GB2312"/>
                <w:b/>
                <w:bCs/>
                <w:sz w:val="21"/>
                <w:szCs w:val="21"/>
                <w:lang w:val="en-US" w:eastAsia="zh-CN"/>
              </w:rPr>
            </w:pPr>
          </w:p>
          <w:p w14:paraId="67B09F5A">
            <w:pPr>
              <w:spacing w:line="320" w:lineRule="exact"/>
              <w:jc w:val="center"/>
              <w:rPr>
                <w:rFonts w:hint="eastAsia" w:ascii="仿宋_GB2312" w:hAnsi="仿宋_GB2312" w:eastAsia="仿宋_GB2312" w:cs="仿宋_GB2312"/>
                <w:b/>
                <w:bCs/>
                <w:sz w:val="21"/>
                <w:szCs w:val="21"/>
                <w:lang w:val="en-US" w:eastAsia="zh-CN"/>
              </w:rPr>
            </w:pPr>
          </w:p>
          <w:p w14:paraId="5A3ADE47">
            <w:pPr>
              <w:spacing w:line="320" w:lineRule="exact"/>
              <w:jc w:val="center"/>
              <w:rPr>
                <w:rFonts w:hint="eastAsia" w:ascii="仿宋_GB2312" w:hAnsi="仿宋_GB2312" w:eastAsia="仿宋_GB2312" w:cs="仿宋_GB2312"/>
                <w:b/>
                <w:bCs/>
                <w:sz w:val="21"/>
                <w:szCs w:val="21"/>
                <w:lang w:val="en-US" w:eastAsia="zh-CN"/>
              </w:rPr>
            </w:pPr>
          </w:p>
          <w:p w14:paraId="429020AB">
            <w:pPr>
              <w:spacing w:line="320" w:lineRule="exact"/>
              <w:jc w:val="center"/>
              <w:rPr>
                <w:rFonts w:hint="eastAsia" w:ascii="仿宋_GB2312" w:hAnsi="仿宋_GB2312" w:eastAsia="仿宋_GB2312" w:cs="仿宋_GB2312"/>
                <w:b/>
                <w:bCs/>
                <w:sz w:val="21"/>
                <w:szCs w:val="21"/>
                <w:lang w:val="en-US" w:eastAsia="zh-CN"/>
              </w:rPr>
            </w:pPr>
          </w:p>
          <w:p w14:paraId="2ABBD063">
            <w:pPr>
              <w:spacing w:line="320" w:lineRule="exact"/>
              <w:jc w:val="center"/>
              <w:rPr>
                <w:rFonts w:hint="eastAsia" w:ascii="仿宋_GB2312" w:hAnsi="仿宋_GB2312" w:eastAsia="仿宋_GB2312" w:cs="仿宋_GB2312"/>
                <w:b/>
                <w:bCs/>
                <w:sz w:val="21"/>
                <w:szCs w:val="21"/>
                <w:lang w:val="en-US" w:eastAsia="zh-CN"/>
              </w:rPr>
            </w:pPr>
          </w:p>
          <w:p w14:paraId="6E549AB3">
            <w:pPr>
              <w:spacing w:line="320" w:lineRule="exact"/>
              <w:jc w:val="center"/>
              <w:rPr>
                <w:rFonts w:hint="eastAsia" w:ascii="仿宋_GB2312" w:hAnsi="仿宋_GB2312" w:eastAsia="仿宋_GB2312" w:cs="仿宋_GB2312"/>
                <w:b/>
                <w:bCs/>
                <w:sz w:val="21"/>
                <w:szCs w:val="21"/>
                <w:lang w:val="en-US" w:eastAsia="zh-CN"/>
              </w:rPr>
            </w:pPr>
          </w:p>
          <w:p w14:paraId="67949BB1">
            <w:pPr>
              <w:spacing w:line="320" w:lineRule="exact"/>
              <w:jc w:val="center"/>
              <w:rPr>
                <w:rFonts w:hint="eastAsia" w:ascii="仿宋_GB2312" w:hAnsi="仿宋_GB2312" w:eastAsia="仿宋_GB2312" w:cs="仿宋_GB2312"/>
                <w:b/>
                <w:bCs/>
                <w:sz w:val="21"/>
                <w:szCs w:val="21"/>
                <w:lang w:val="en-US" w:eastAsia="zh-CN"/>
              </w:rPr>
            </w:pPr>
          </w:p>
          <w:p w14:paraId="5E593F37">
            <w:pPr>
              <w:spacing w:line="320" w:lineRule="exact"/>
              <w:jc w:val="center"/>
              <w:rPr>
                <w:rFonts w:hint="eastAsia" w:ascii="仿宋_GB2312" w:hAnsi="仿宋_GB2312" w:eastAsia="仿宋_GB2312" w:cs="仿宋_GB2312"/>
                <w:b/>
                <w:bCs/>
                <w:sz w:val="21"/>
                <w:szCs w:val="21"/>
                <w:lang w:val="en-US" w:eastAsia="zh-CN"/>
              </w:rPr>
            </w:pPr>
          </w:p>
          <w:p w14:paraId="24DEDAAC">
            <w:pPr>
              <w:spacing w:line="320" w:lineRule="exact"/>
              <w:jc w:val="center"/>
              <w:rPr>
                <w:rFonts w:hint="eastAsia" w:ascii="仿宋_GB2312" w:hAnsi="仿宋_GB2312" w:eastAsia="仿宋_GB2312" w:cs="仿宋_GB2312"/>
                <w:b/>
                <w:bCs/>
                <w:sz w:val="21"/>
                <w:szCs w:val="21"/>
                <w:lang w:val="en-US" w:eastAsia="zh-CN"/>
              </w:rPr>
            </w:pPr>
          </w:p>
          <w:p w14:paraId="0148E785">
            <w:pPr>
              <w:spacing w:line="320" w:lineRule="exact"/>
              <w:jc w:val="center"/>
              <w:rPr>
                <w:rFonts w:hint="eastAsia" w:ascii="仿宋_GB2312" w:hAnsi="仿宋_GB2312" w:eastAsia="仿宋_GB2312" w:cs="仿宋_GB2312"/>
                <w:b/>
                <w:bCs/>
                <w:sz w:val="21"/>
                <w:szCs w:val="21"/>
                <w:lang w:val="en-US" w:eastAsia="zh-CN"/>
              </w:rPr>
            </w:pPr>
          </w:p>
          <w:p w14:paraId="072B2502">
            <w:pPr>
              <w:spacing w:line="320" w:lineRule="exact"/>
              <w:jc w:val="center"/>
              <w:rPr>
                <w:rFonts w:hint="eastAsia" w:ascii="仿宋_GB2312" w:hAnsi="仿宋_GB2312" w:eastAsia="仿宋_GB2312" w:cs="仿宋_GB2312"/>
                <w:b/>
                <w:bCs/>
                <w:sz w:val="21"/>
                <w:szCs w:val="21"/>
                <w:lang w:val="en-US" w:eastAsia="zh-CN"/>
              </w:rPr>
            </w:pPr>
          </w:p>
          <w:p w14:paraId="274C24A2">
            <w:pPr>
              <w:spacing w:line="320" w:lineRule="exact"/>
              <w:jc w:val="center"/>
              <w:rPr>
                <w:rFonts w:hint="eastAsia" w:ascii="仿宋_GB2312" w:hAnsi="仿宋_GB2312" w:eastAsia="仿宋_GB2312" w:cs="仿宋_GB2312"/>
                <w:b/>
                <w:bCs/>
                <w:sz w:val="21"/>
                <w:szCs w:val="21"/>
                <w:lang w:val="en-US" w:eastAsia="zh-CN"/>
              </w:rPr>
            </w:pPr>
          </w:p>
          <w:p w14:paraId="0F21B16A">
            <w:pPr>
              <w:spacing w:line="320" w:lineRule="exact"/>
              <w:jc w:val="center"/>
              <w:rPr>
                <w:rFonts w:hint="eastAsia" w:ascii="仿宋_GB2312" w:hAnsi="仿宋_GB2312" w:eastAsia="仿宋_GB2312" w:cs="仿宋_GB2312"/>
                <w:b/>
                <w:bCs/>
                <w:sz w:val="21"/>
                <w:szCs w:val="21"/>
                <w:lang w:val="en-US" w:eastAsia="zh-CN"/>
              </w:rPr>
            </w:pPr>
          </w:p>
          <w:p w14:paraId="17284C09">
            <w:pPr>
              <w:spacing w:line="320" w:lineRule="exact"/>
              <w:jc w:val="center"/>
              <w:rPr>
                <w:rFonts w:hint="eastAsia" w:ascii="仿宋_GB2312" w:hAnsi="仿宋_GB2312" w:eastAsia="仿宋_GB2312" w:cs="仿宋_GB2312"/>
                <w:b/>
                <w:bCs/>
                <w:sz w:val="21"/>
                <w:szCs w:val="21"/>
                <w:lang w:val="en-US" w:eastAsia="zh-CN"/>
              </w:rPr>
            </w:pPr>
          </w:p>
          <w:p w14:paraId="73FB622F">
            <w:pPr>
              <w:spacing w:line="320" w:lineRule="exact"/>
              <w:jc w:val="center"/>
              <w:rPr>
                <w:rFonts w:hint="eastAsia" w:ascii="仿宋_GB2312" w:hAnsi="仿宋_GB2312" w:eastAsia="仿宋_GB2312" w:cs="仿宋_GB2312"/>
                <w:b/>
                <w:bCs/>
                <w:sz w:val="21"/>
                <w:szCs w:val="21"/>
                <w:lang w:val="en-US" w:eastAsia="zh-CN"/>
              </w:rPr>
            </w:pPr>
          </w:p>
          <w:p w14:paraId="309AF9A8">
            <w:pPr>
              <w:spacing w:line="320" w:lineRule="exact"/>
              <w:jc w:val="center"/>
              <w:rPr>
                <w:rFonts w:hint="eastAsia" w:ascii="仿宋_GB2312" w:hAnsi="仿宋_GB2312" w:eastAsia="仿宋_GB2312" w:cs="仿宋_GB2312"/>
                <w:b/>
                <w:bCs/>
                <w:sz w:val="21"/>
                <w:szCs w:val="21"/>
                <w:lang w:val="en-US" w:eastAsia="zh-CN"/>
              </w:rPr>
            </w:pPr>
          </w:p>
          <w:p w14:paraId="622E0DE9">
            <w:pPr>
              <w:spacing w:line="320" w:lineRule="exact"/>
              <w:jc w:val="center"/>
              <w:rPr>
                <w:rFonts w:hint="eastAsia" w:ascii="仿宋_GB2312" w:hAnsi="仿宋_GB2312" w:eastAsia="仿宋_GB2312" w:cs="仿宋_GB2312"/>
                <w:b/>
                <w:bCs/>
                <w:sz w:val="21"/>
                <w:szCs w:val="21"/>
                <w:lang w:val="en-US" w:eastAsia="zh-CN"/>
              </w:rPr>
            </w:pPr>
          </w:p>
          <w:p w14:paraId="3B1B4930">
            <w:pPr>
              <w:spacing w:line="320" w:lineRule="exact"/>
              <w:jc w:val="center"/>
              <w:rPr>
                <w:rFonts w:hint="eastAsia" w:ascii="仿宋_GB2312" w:hAnsi="仿宋_GB2312" w:eastAsia="仿宋_GB2312" w:cs="仿宋_GB2312"/>
                <w:b/>
                <w:bCs/>
                <w:sz w:val="21"/>
                <w:szCs w:val="21"/>
                <w:lang w:val="en-US" w:eastAsia="zh-CN"/>
              </w:rPr>
            </w:pPr>
          </w:p>
          <w:p w14:paraId="4FB31D7D">
            <w:pPr>
              <w:spacing w:line="320" w:lineRule="exact"/>
              <w:jc w:val="center"/>
              <w:rPr>
                <w:rFonts w:hint="eastAsia" w:ascii="仿宋_GB2312" w:hAnsi="仿宋_GB2312" w:eastAsia="仿宋_GB2312" w:cs="仿宋_GB2312"/>
                <w:b/>
                <w:bCs/>
                <w:sz w:val="21"/>
                <w:szCs w:val="21"/>
                <w:lang w:val="en-US" w:eastAsia="zh-CN"/>
              </w:rPr>
            </w:pPr>
          </w:p>
          <w:p w14:paraId="13D714B2">
            <w:pPr>
              <w:spacing w:line="320" w:lineRule="exact"/>
              <w:jc w:val="center"/>
              <w:rPr>
                <w:rFonts w:hint="eastAsia" w:ascii="仿宋_GB2312" w:hAnsi="仿宋_GB2312" w:eastAsia="仿宋_GB2312" w:cs="仿宋_GB2312"/>
                <w:b/>
                <w:bCs/>
                <w:sz w:val="21"/>
                <w:szCs w:val="21"/>
                <w:lang w:val="en-US" w:eastAsia="zh-CN"/>
              </w:rPr>
            </w:pPr>
          </w:p>
          <w:p w14:paraId="73027AE7">
            <w:pPr>
              <w:spacing w:line="320" w:lineRule="exact"/>
              <w:jc w:val="center"/>
              <w:rPr>
                <w:rFonts w:hint="eastAsia" w:ascii="仿宋_GB2312" w:hAnsi="仿宋_GB2312" w:eastAsia="仿宋_GB2312" w:cs="仿宋_GB2312"/>
                <w:b/>
                <w:bCs/>
                <w:sz w:val="21"/>
                <w:szCs w:val="21"/>
                <w:lang w:val="en-US" w:eastAsia="zh-CN"/>
              </w:rPr>
            </w:pPr>
          </w:p>
          <w:p w14:paraId="497F864A">
            <w:pPr>
              <w:spacing w:line="320" w:lineRule="exact"/>
              <w:jc w:val="center"/>
              <w:rPr>
                <w:rFonts w:hint="eastAsia" w:ascii="仿宋_GB2312" w:hAnsi="仿宋_GB2312" w:eastAsia="仿宋_GB2312" w:cs="仿宋_GB2312"/>
                <w:b/>
                <w:bCs/>
                <w:sz w:val="21"/>
                <w:szCs w:val="21"/>
                <w:lang w:val="en-US" w:eastAsia="zh-CN"/>
              </w:rPr>
            </w:pPr>
          </w:p>
          <w:p w14:paraId="4BBAE3C6">
            <w:pPr>
              <w:spacing w:line="320" w:lineRule="exact"/>
              <w:jc w:val="center"/>
              <w:rPr>
                <w:rFonts w:hint="eastAsia" w:ascii="仿宋_GB2312" w:hAnsi="仿宋_GB2312" w:eastAsia="仿宋_GB2312" w:cs="仿宋_GB2312"/>
                <w:b/>
                <w:bCs/>
                <w:sz w:val="21"/>
                <w:szCs w:val="21"/>
                <w:lang w:val="en-US" w:eastAsia="zh-CN"/>
              </w:rPr>
            </w:pPr>
          </w:p>
          <w:p w14:paraId="0510E773">
            <w:pPr>
              <w:spacing w:line="320" w:lineRule="exact"/>
              <w:jc w:val="center"/>
              <w:rPr>
                <w:rFonts w:hint="eastAsia" w:ascii="仿宋_GB2312" w:hAnsi="仿宋_GB2312" w:eastAsia="仿宋_GB2312" w:cs="仿宋_GB2312"/>
                <w:b/>
                <w:bCs/>
                <w:sz w:val="21"/>
                <w:szCs w:val="21"/>
                <w:lang w:val="en-US" w:eastAsia="zh-CN"/>
              </w:rPr>
            </w:pPr>
          </w:p>
          <w:p w14:paraId="0368BD72">
            <w:pPr>
              <w:spacing w:line="320" w:lineRule="exact"/>
              <w:jc w:val="center"/>
              <w:rPr>
                <w:rFonts w:hint="eastAsia" w:ascii="仿宋_GB2312" w:hAnsi="仿宋_GB2312" w:eastAsia="仿宋_GB2312" w:cs="仿宋_GB2312"/>
                <w:b/>
                <w:bCs/>
                <w:sz w:val="21"/>
                <w:szCs w:val="21"/>
                <w:lang w:val="en-US" w:eastAsia="zh-CN"/>
              </w:rPr>
            </w:pPr>
          </w:p>
          <w:p w14:paraId="7216142E">
            <w:pPr>
              <w:spacing w:line="320" w:lineRule="exact"/>
              <w:jc w:val="center"/>
              <w:rPr>
                <w:rFonts w:hint="eastAsia" w:ascii="仿宋_GB2312" w:hAnsi="仿宋_GB2312" w:eastAsia="仿宋_GB2312" w:cs="仿宋_GB2312"/>
                <w:b/>
                <w:bCs/>
                <w:sz w:val="21"/>
                <w:szCs w:val="21"/>
                <w:lang w:val="en-US" w:eastAsia="zh-CN"/>
              </w:rPr>
            </w:pPr>
          </w:p>
          <w:p w14:paraId="6BD56F7E">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6B7ED3A9">
            <w:pPr>
              <w:spacing w:line="320" w:lineRule="exact"/>
              <w:jc w:val="both"/>
              <w:rPr>
                <w:rFonts w:hint="eastAsia" w:ascii="仿宋_GB2312" w:hAnsi="仿宋_GB2312" w:eastAsia="仿宋_GB2312" w:cs="仿宋_GB2312"/>
                <w:b/>
                <w:bCs/>
                <w:sz w:val="21"/>
                <w:szCs w:val="21"/>
                <w:lang w:val="en-US" w:eastAsia="zh-CN"/>
              </w:rPr>
            </w:pPr>
          </w:p>
          <w:p w14:paraId="2571CBDF">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133FFBA0">
            <w:pPr>
              <w:spacing w:line="320" w:lineRule="exact"/>
              <w:jc w:val="both"/>
              <w:rPr>
                <w:rFonts w:hint="eastAsia" w:ascii="仿宋_GB2312" w:hAnsi="仿宋_GB2312" w:eastAsia="仿宋_GB2312" w:cs="仿宋_GB2312"/>
                <w:b/>
                <w:bCs/>
                <w:sz w:val="21"/>
                <w:szCs w:val="21"/>
                <w:lang w:val="en-US" w:eastAsia="zh-CN"/>
              </w:rPr>
            </w:pPr>
          </w:p>
          <w:p w14:paraId="6B79D098">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3E5BD6F7">
            <w:pPr>
              <w:spacing w:line="320" w:lineRule="exact"/>
              <w:jc w:val="both"/>
              <w:rPr>
                <w:rFonts w:hint="eastAsia" w:ascii="仿宋_GB2312" w:hAnsi="仿宋_GB2312" w:eastAsia="仿宋_GB2312" w:cs="仿宋_GB2312"/>
                <w:b/>
                <w:bCs/>
                <w:sz w:val="21"/>
                <w:szCs w:val="21"/>
                <w:lang w:val="en-US" w:eastAsia="zh-CN"/>
              </w:rPr>
            </w:pPr>
          </w:p>
          <w:p w14:paraId="55F3C81D">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49F846FE">
            <w:pPr>
              <w:spacing w:line="320" w:lineRule="exact"/>
              <w:jc w:val="center"/>
              <w:rPr>
                <w:rFonts w:hint="eastAsia" w:ascii="仿宋_GB2312" w:hAnsi="仿宋_GB2312" w:eastAsia="仿宋_GB2312" w:cs="仿宋_GB2312"/>
                <w:b/>
                <w:bCs/>
                <w:sz w:val="21"/>
                <w:szCs w:val="21"/>
                <w:lang w:val="en-US" w:eastAsia="zh-CN"/>
              </w:rPr>
            </w:pPr>
          </w:p>
          <w:p w14:paraId="07E6D57C">
            <w:pPr>
              <w:spacing w:line="320" w:lineRule="exact"/>
              <w:jc w:val="center"/>
              <w:rPr>
                <w:rFonts w:hint="eastAsia" w:ascii="仿宋_GB2312" w:hAnsi="仿宋_GB2312" w:eastAsia="仿宋_GB2312" w:cs="仿宋_GB2312"/>
                <w:b/>
                <w:bCs/>
                <w:sz w:val="21"/>
                <w:szCs w:val="21"/>
                <w:lang w:val="en-US" w:eastAsia="zh-CN"/>
              </w:rPr>
            </w:pPr>
          </w:p>
          <w:p w14:paraId="6953A29B">
            <w:pPr>
              <w:spacing w:line="320" w:lineRule="exact"/>
              <w:jc w:val="center"/>
              <w:rPr>
                <w:rFonts w:hint="eastAsia" w:ascii="仿宋_GB2312" w:hAnsi="仿宋_GB2312" w:eastAsia="仿宋_GB2312" w:cs="仿宋_GB2312"/>
                <w:b/>
                <w:bCs/>
                <w:sz w:val="21"/>
                <w:szCs w:val="21"/>
                <w:lang w:val="en-US" w:eastAsia="zh-CN"/>
              </w:rPr>
            </w:pPr>
          </w:p>
          <w:p w14:paraId="22825CB9">
            <w:pPr>
              <w:spacing w:line="320" w:lineRule="exact"/>
              <w:jc w:val="center"/>
              <w:rPr>
                <w:rFonts w:hint="eastAsia" w:ascii="仿宋_GB2312" w:hAnsi="仿宋_GB2312" w:eastAsia="仿宋_GB2312" w:cs="仿宋_GB2312"/>
                <w:b/>
                <w:bCs/>
                <w:sz w:val="21"/>
                <w:szCs w:val="21"/>
                <w:lang w:val="en-US" w:eastAsia="zh-CN"/>
              </w:rPr>
            </w:pPr>
          </w:p>
          <w:p w14:paraId="5594F00F">
            <w:pPr>
              <w:spacing w:line="320" w:lineRule="exact"/>
              <w:jc w:val="center"/>
              <w:rPr>
                <w:rFonts w:hint="eastAsia" w:ascii="仿宋_GB2312" w:hAnsi="仿宋_GB2312" w:eastAsia="仿宋_GB2312" w:cs="仿宋_GB2312"/>
                <w:b/>
                <w:bCs/>
                <w:sz w:val="21"/>
                <w:szCs w:val="21"/>
                <w:lang w:val="en-US" w:eastAsia="zh-CN"/>
              </w:rPr>
            </w:pPr>
          </w:p>
          <w:p w14:paraId="168B7DEF">
            <w:pPr>
              <w:spacing w:line="320" w:lineRule="exact"/>
              <w:jc w:val="center"/>
              <w:rPr>
                <w:rFonts w:hint="eastAsia" w:ascii="仿宋_GB2312" w:hAnsi="仿宋_GB2312" w:eastAsia="仿宋_GB2312" w:cs="仿宋_GB2312"/>
                <w:b/>
                <w:bCs/>
                <w:sz w:val="21"/>
                <w:szCs w:val="21"/>
                <w:lang w:val="en-US" w:eastAsia="zh-CN"/>
              </w:rPr>
            </w:pPr>
          </w:p>
          <w:p w14:paraId="5448E16B">
            <w:pPr>
              <w:spacing w:line="320" w:lineRule="exact"/>
              <w:jc w:val="center"/>
              <w:rPr>
                <w:rFonts w:hint="eastAsia" w:ascii="仿宋_GB2312" w:hAnsi="仿宋_GB2312" w:eastAsia="仿宋_GB2312" w:cs="仿宋_GB2312"/>
                <w:b/>
                <w:bCs/>
                <w:sz w:val="21"/>
                <w:szCs w:val="21"/>
                <w:lang w:val="en-US" w:eastAsia="zh-CN"/>
              </w:rPr>
            </w:pPr>
          </w:p>
          <w:p w14:paraId="248C501C">
            <w:pPr>
              <w:spacing w:line="320" w:lineRule="exact"/>
              <w:jc w:val="center"/>
              <w:rPr>
                <w:rFonts w:hint="eastAsia" w:ascii="仿宋_GB2312" w:hAnsi="仿宋_GB2312" w:eastAsia="仿宋_GB2312" w:cs="仿宋_GB2312"/>
                <w:b/>
                <w:bCs/>
                <w:sz w:val="21"/>
                <w:szCs w:val="21"/>
                <w:lang w:val="en-US" w:eastAsia="zh-CN"/>
              </w:rPr>
            </w:pPr>
          </w:p>
          <w:p w14:paraId="573E3A69">
            <w:pPr>
              <w:spacing w:line="320" w:lineRule="exact"/>
              <w:jc w:val="center"/>
              <w:rPr>
                <w:rFonts w:hint="eastAsia" w:ascii="仿宋_GB2312" w:hAnsi="仿宋_GB2312" w:eastAsia="仿宋_GB2312" w:cs="仿宋_GB2312"/>
                <w:b/>
                <w:bCs/>
                <w:sz w:val="21"/>
                <w:szCs w:val="21"/>
                <w:lang w:val="en-US" w:eastAsia="zh-CN"/>
              </w:rPr>
            </w:pPr>
          </w:p>
          <w:p w14:paraId="2A12FE7A">
            <w:pPr>
              <w:spacing w:line="320" w:lineRule="exact"/>
              <w:jc w:val="center"/>
              <w:rPr>
                <w:rFonts w:hint="eastAsia" w:ascii="仿宋_GB2312" w:hAnsi="仿宋_GB2312" w:eastAsia="仿宋_GB2312" w:cs="仿宋_GB2312"/>
                <w:b/>
                <w:bCs/>
                <w:sz w:val="21"/>
                <w:szCs w:val="21"/>
                <w:lang w:val="en-US" w:eastAsia="zh-CN"/>
              </w:rPr>
            </w:pPr>
          </w:p>
          <w:p w14:paraId="4B4229AE">
            <w:pPr>
              <w:spacing w:line="320" w:lineRule="exact"/>
              <w:jc w:val="center"/>
              <w:rPr>
                <w:rFonts w:hint="eastAsia" w:ascii="仿宋_GB2312" w:hAnsi="仿宋_GB2312" w:eastAsia="仿宋_GB2312" w:cs="仿宋_GB2312"/>
                <w:b/>
                <w:bCs/>
                <w:sz w:val="21"/>
                <w:szCs w:val="21"/>
                <w:lang w:val="en-US" w:eastAsia="zh-CN"/>
              </w:rPr>
            </w:pPr>
          </w:p>
          <w:p w14:paraId="2E5CBD7D">
            <w:pPr>
              <w:spacing w:line="320" w:lineRule="exact"/>
              <w:jc w:val="center"/>
              <w:rPr>
                <w:rFonts w:hint="eastAsia" w:ascii="仿宋_GB2312" w:hAnsi="仿宋_GB2312" w:eastAsia="仿宋_GB2312" w:cs="仿宋_GB2312"/>
                <w:b/>
                <w:bCs/>
                <w:sz w:val="21"/>
                <w:szCs w:val="21"/>
                <w:lang w:val="en-US" w:eastAsia="zh-CN"/>
              </w:rPr>
            </w:pPr>
          </w:p>
          <w:p w14:paraId="4C130F02">
            <w:pPr>
              <w:spacing w:line="320" w:lineRule="exact"/>
              <w:jc w:val="center"/>
              <w:rPr>
                <w:rFonts w:hint="eastAsia" w:ascii="仿宋_GB2312" w:hAnsi="仿宋_GB2312" w:eastAsia="仿宋_GB2312" w:cs="仿宋_GB2312"/>
                <w:b/>
                <w:bCs/>
                <w:sz w:val="21"/>
                <w:szCs w:val="21"/>
                <w:lang w:val="en-US" w:eastAsia="zh-CN"/>
              </w:rPr>
            </w:pPr>
          </w:p>
          <w:p w14:paraId="2DFB8394">
            <w:pPr>
              <w:spacing w:line="320" w:lineRule="exact"/>
              <w:jc w:val="center"/>
              <w:rPr>
                <w:rFonts w:hint="eastAsia" w:ascii="仿宋_GB2312" w:hAnsi="仿宋_GB2312" w:eastAsia="仿宋_GB2312" w:cs="仿宋_GB2312"/>
                <w:b/>
                <w:bCs/>
                <w:sz w:val="21"/>
                <w:szCs w:val="21"/>
                <w:lang w:val="en-US" w:eastAsia="zh-CN"/>
              </w:rPr>
            </w:pPr>
          </w:p>
          <w:p w14:paraId="3B243561">
            <w:pPr>
              <w:spacing w:line="320" w:lineRule="exact"/>
              <w:jc w:val="center"/>
              <w:rPr>
                <w:rFonts w:hint="eastAsia" w:ascii="仿宋_GB2312" w:hAnsi="仿宋_GB2312" w:eastAsia="仿宋_GB2312" w:cs="仿宋_GB2312"/>
                <w:b/>
                <w:bCs/>
                <w:sz w:val="21"/>
                <w:szCs w:val="21"/>
                <w:lang w:val="en-US" w:eastAsia="zh-CN"/>
              </w:rPr>
            </w:pPr>
          </w:p>
          <w:p w14:paraId="588A7C74">
            <w:pPr>
              <w:spacing w:line="320" w:lineRule="exact"/>
              <w:jc w:val="center"/>
              <w:rPr>
                <w:rFonts w:hint="eastAsia" w:ascii="仿宋_GB2312" w:hAnsi="仿宋_GB2312" w:eastAsia="仿宋_GB2312" w:cs="仿宋_GB2312"/>
                <w:b/>
                <w:bCs/>
                <w:sz w:val="21"/>
                <w:szCs w:val="21"/>
                <w:lang w:val="en-US" w:eastAsia="zh-CN"/>
              </w:rPr>
            </w:pPr>
          </w:p>
          <w:p w14:paraId="534E6FE8">
            <w:pPr>
              <w:spacing w:line="320" w:lineRule="exact"/>
              <w:jc w:val="center"/>
              <w:rPr>
                <w:rFonts w:hint="eastAsia" w:ascii="仿宋_GB2312" w:hAnsi="仿宋_GB2312" w:eastAsia="仿宋_GB2312" w:cs="仿宋_GB2312"/>
                <w:b/>
                <w:bCs/>
                <w:sz w:val="21"/>
                <w:szCs w:val="21"/>
                <w:lang w:val="en-US" w:eastAsia="zh-CN"/>
              </w:rPr>
            </w:pPr>
          </w:p>
          <w:p w14:paraId="13367A6A">
            <w:pPr>
              <w:spacing w:line="320" w:lineRule="exact"/>
              <w:jc w:val="center"/>
              <w:rPr>
                <w:rFonts w:hint="eastAsia" w:ascii="仿宋_GB2312" w:hAnsi="仿宋_GB2312" w:eastAsia="仿宋_GB2312" w:cs="仿宋_GB2312"/>
                <w:b/>
                <w:bCs/>
                <w:sz w:val="21"/>
                <w:szCs w:val="21"/>
                <w:lang w:val="en-US" w:eastAsia="zh-CN"/>
              </w:rPr>
            </w:pPr>
          </w:p>
          <w:p w14:paraId="7E965D25">
            <w:pPr>
              <w:spacing w:line="320" w:lineRule="exact"/>
              <w:jc w:val="center"/>
              <w:rPr>
                <w:rFonts w:hint="eastAsia" w:ascii="仿宋_GB2312" w:hAnsi="仿宋_GB2312" w:eastAsia="仿宋_GB2312" w:cs="仿宋_GB2312"/>
                <w:b/>
                <w:bCs/>
                <w:sz w:val="21"/>
                <w:szCs w:val="21"/>
                <w:lang w:val="en-US" w:eastAsia="zh-CN"/>
              </w:rPr>
            </w:pPr>
          </w:p>
          <w:p w14:paraId="49652A87">
            <w:pPr>
              <w:spacing w:line="320" w:lineRule="exact"/>
              <w:jc w:val="center"/>
              <w:rPr>
                <w:rFonts w:hint="eastAsia" w:ascii="仿宋_GB2312" w:hAnsi="仿宋_GB2312" w:eastAsia="仿宋_GB2312" w:cs="仿宋_GB2312"/>
                <w:b/>
                <w:bCs/>
                <w:sz w:val="21"/>
                <w:szCs w:val="21"/>
                <w:lang w:val="en-US" w:eastAsia="zh-CN"/>
              </w:rPr>
            </w:pPr>
          </w:p>
          <w:p w14:paraId="252524EE">
            <w:pPr>
              <w:spacing w:line="320" w:lineRule="exact"/>
              <w:jc w:val="center"/>
              <w:rPr>
                <w:rFonts w:hint="eastAsia" w:ascii="仿宋_GB2312" w:hAnsi="仿宋_GB2312" w:eastAsia="仿宋_GB2312" w:cs="仿宋_GB2312"/>
                <w:b/>
                <w:bCs/>
                <w:sz w:val="21"/>
                <w:szCs w:val="21"/>
                <w:lang w:val="en-US" w:eastAsia="zh-CN"/>
              </w:rPr>
            </w:pPr>
          </w:p>
          <w:p w14:paraId="00429608">
            <w:pPr>
              <w:spacing w:line="320" w:lineRule="exact"/>
              <w:jc w:val="center"/>
              <w:rPr>
                <w:rFonts w:hint="eastAsia" w:ascii="仿宋_GB2312" w:hAnsi="仿宋_GB2312" w:eastAsia="仿宋_GB2312" w:cs="仿宋_GB2312"/>
                <w:b/>
                <w:bCs/>
                <w:sz w:val="21"/>
                <w:szCs w:val="21"/>
                <w:lang w:val="en-US" w:eastAsia="zh-CN"/>
              </w:rPr>
            </w:pPr>
          </w:p>
          <w:p w14:paraId="187B2C8E">
            <w:pPr>
              <w:spacing w:line="320" w:lineRule="exact"/>
              <w:jc w:val="center"/>
              <w:rPr>
                <w:rFonts w:hint="eastAsia" w:ascii="仿宋_GB2312" w:hAnsi="仿宋_GB2312" w:eastAsia="仿宋_GB2312" w:cs="仿宋_GB2312"/>
                <w:b/>
                <w:bCs/>
                <w:sz w:val="21"/>
                <w:szCs w:val="21"/>
                <w:lang w:val="en-US" w:eastAsia="zh-CN"/>
              </w:rPr>
            </w:pPr>
          </w:p>
          <w:p w14:paraId="467034C3">
            <w:pPr>
              <w:spacing w:line="320" w:lineRule="exact"/>
              <w:jc w:val="center"/>
              <w:rPr>
                <w:rFonts w:hint="eastAsia" w:ascii="仿宋_GB2312" w:hAnsi="仿宋_GB2312" w:eastAsia="仿宋_GB2312" w:cs="仿宋_GB2312"/>
                <w:b/>
                <w:bCs/>
                <w:sz w:val="21"/>
                <w:szCs w:val="21"/>
                <w:lang w:val="en-US" w:eastAsia="zh-CN"/>
              </w:rPr>
            </w:pPr>
          </w:p>
          <w:p w14:paraId="2C68F78B">
            <w:pPr>
              <w:spacing w:line="320" w:lineRule="exact"/>
              <w:jc w:val="center"/>
              <w:rPr>
                <w:rFonts w:hint="eastAsia" w:ascii="仿宋_GB2312" w:hAnsi="仿宋_GB2312" w:eastAsia="仿宋_GB2312" w:cs="仿宋_GB2312"/>
                <w:b/>
                <w:bCs/>
                <w:sz w:val="21"/>
                <w:szCs w:val="21"/>
                <w:lang w:val="en-US" w:eastAsia="zh-CN"/>
              </w:rPr>
            </w:pPr>
          </w:p>
          <w:p w14:paraId="35F9B2D2">
            <w:pPr>
              <w:spacing w:line="320" w:lineRule="exact"/>
              <w:jc w:val="center"/>
              <w:rPr>
                <w:rFonts w:hint="eastAsia" w:ascii="仿宋_GB2312" w:hAnsi="仿宋_GB2312" w:eastAsia="仿宋_GB2312" w:cs="仿宋_GB2312"/>
                <w:b/>
                <w:bCs/>
                <w:sz w:val="21"/>
                <w:szCs w:val="21"/>
                <w:lang w:val="en-US" w:eastAsia="zh-CN"/>
              </w:rPr>
            </w:pPr>
          </w:p>
          <w:p w14:paraId="5FC335FC">
            <w:pPr>
              <w:spacing w:line="320" w:lineRule="exact"/>
              <w:jc w:val="center"/>
              <w:rPr>
                <w:rFonts w:hint="eastAsia" w:ascii="仿宋_GB2312" w:hAnsi="仿宋_GB2312" w:eastAsia="仿宋_GB2312" w:cs="仿宋_GB2312"/>
                <w:b/>
                <w:bCs/>
                <w:sz w:val="21"/>
                <w:szCs w:val="21"/>
                <w:lang w:val="en-US" w:eastAsia="zh-CN"/>
              </w:rPr>
            </w:pPr>
          </w:p>
          <w:p w14:paraId="04C5D2EF">
            <w:pPr>
              <w:spacing w:line="320" w:lineRule="exact"/>
              <w:jc w:val="center"/>
              <w:rPr>
                <w:rFonts w:hint="eastAsia" w:ascii="仿宋_GB2312" w:hAnsi="仿宋_GB2312" w:eastAsia="仿宋_GB2312" w:cs="仿宋_GB2312"/>
                <w:b/>
                <w:bCs/>
                <w:sz w:val="21"/>
                <w:szCs w:val="21"/>
                <w:lang w:val="en-US" w:eastAsia="zh-CN"/>
              </w:rPr>
            </w:pPr>
          </w:p>
          <w:p w14:paraId="7DC49955">
            <w:pPr>
              <w:spacing w:line="320" w:lineRule="exact"/>
              <w:jc w:val="center"/>
              <w:rPr>
                <w:rFonts w:hint="eastAsia" w:ascii="仿宋_GB2312" w:hAnsi="仿宋_GB2312" w:eastAsia="仿宋_GB2312" w:cs="仿宋_GB2312"/>
                <w:b/>
                <w:bCs/>
                <w:sz w:val="21"/>
                <w:szCs w:val="21"/>
                <w:lang w:val="en-US" w:eastAsia="zh-CN"/>
              </w:rPr>
            </w:pPr>
          </w:p>
          <w:p w14:paraId="61C19A3E">
            <w:pPr>
              <w:spacing w:line="320" w:lineRule="exact"/>
              <w:jc w:val="center"/>
              <w:rPr>
                <w:rFonts w:hint="eastAsia" w:ascii="仿宋_GB2312" w:hAnsi="仿宋_GB2312" w:eastAsia="仿宋_GB2312" w:cs="仿宋_GB2312"/>
                <w:b/>
                <w:bCs/>
                <w:sz w:val="21"/>
                <w:szCs w:val="21"/>
                <w:lang w:val="en-US" w:eastAsia="zh-CN"/>
              </w:rPr>
            </w:pPr>
          </w:p>
          <w:p w14:paraId="58124C96">
            <w:pPr>
              <w:spacing w:line="320" w:lineRule="exact"/>
              <w:jc w:val="center"/>
              <w:rPr>
                <w:rFonts w:hint="eastAsia" w:ascii="仿宋_GB2312" w:hAnsi="仿宋_GB2312" w:eastAsia="仿宋_GB2312" w:cs="仿宋_GB2312"/>
                <w:b/>
                <w:bCs/>
                <w:sz w:val="21"/>
                <w:szCs w:val="21"/>
                <w:lang w:val="en-US" w:eastAsia="zh-CN"/>
              </w:rPr>
            </w:pPr>
          </w:p>
          <w:p w14:paraId="7EB66EEE">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3C79F528">
            <w:pPr>
              <w:spacing w:line="320" w:lineRule="exact"/>
              <w:jc w:val="both"/>
              <w:rPr>
                <w:rFonts w:hint="eastAsia" w:ascii="仿宋_GB2312" w:hAnsi="仿宋_GB2312" w:eastAsia="仿宋_GB2312" w:cs="仿宋_GB2312"/>
                <w:b/>
                <w:bCs/>
                <w:sz w:val="21"/>
                <w:szCs w:val="21"/>
                <w:lang w:val="en-US" w:eastAsia="zh-CN"/>
              </w:rPr>
            </w:pPr>
          </w:p>
          <w:p w14:paraId="72B23615">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54387371">
            <w:pPr>
              <w:spacing w:line="320" w:lineRule="exact"/>
              <w:jc w:val="both"/>
              <w:rPr>
                <w:rFonts w:hint="eastAsia" w:ascii="仿宋_GB2312" w:hAnsi="仿宋_GB2312" w:eastAsia="仿宋_GB2312" w:cs="仿宋_GB2312"/>
                <w:b/>
                <w:bCs/>
                <w:sz w:val="21"/>
                <w:szCs w:val="21"/>
                <w:lang w:val="en-US" w:eastAsia="zh-CN"/>
              </w:rPr>
            </w:pPr>
          </w:p>
          <w:p w14:paraId="7B4757A2">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19C81227">
            <w:pPr>
              <w:spacing w:line="320" w:lineRule="exact"/>
              <w:jc w:val="both"/>
              <w:rPr>
                <w:rFonts w:hint="eastAsia" w:ascii="仿宋_GB2312" w:hAnsi="仿宋_GB2312" w:eastAsia="仿宋_GB2312" w:cs="仿宋_GB2312"/>
                <w:b/>
                <w:bCs/>
                <w:sz w:val="21"/>
                <w:szCs w:val="21"/>
                <w:lang w:val="en-US" w:eastAsia="zh-CN"/>
              </w:rPr>
            </w:pPr>
          </w:p>
          <w:p w14:paraId="654375FA">
            <w:pPr>
              <w:spacing w:line="3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标</w:t>
            </w:r>
          </w:p>
        </w:tc>
        <w:tc>
          <w:tcPr>
            <w:tcW w:w="317" w:type="dxa"/>
            <w:noWrap w:val="0"/>
            <w:vAlign w:val="center"/>
          </w:tcPr>
          <w:p w14:paraId="4B4A63D0">
            <w:pPr>
              <w:autoSpaceDN w:val="0"/>
              <w:spacing w:line="32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
                <w:bCs/>
                <w:color w:val="000000"/>
                <w:sz w:val="21"/>
                <w:szCs w:val="21"/>
                <w:lang w:val="en-US" w:eastAsia="zh-CN"/>
              </w:rPr>
              <w:t>一级指标</w:t>
            </w:r>
          </w:p>
        </w:tc>
        <w:tc>
          <w:tcPr>
            <w:tcW w:w="483" w:type="dxa"/>
            <w:gridSpan w:val="2"/>
            <w:noWrap w:val="0"/>
            <w:vAlign w:val="center"/>
          </w:tcPr>
          <w:p w14:paraId="52CC2938">
            <w:pPr>
              <w:autoSpaceDN w:val="0"/>
              <w:spacing w:line="320" w:lineRule="exact"/>
              <w:jc w:val="both"/>
              <w:textAlignment w:val="center"/>
              <w:rPr>
                <w:rFonts w:hint="default" w:ascii="仿宋_GB2312" w:hAnsi="仿宋_GB2312" w:eastAsia="仿宋_GB2312" w:cs="仿宋_GB2312"/>
                <w:b/>
                <w:bCs/>
                <w:color w:val="000000"/>
                <w:kern w:val="2"/>
                <w:sz w:val="21"/>
                <w:szCs w:val="21"/>
                <w:lang w:val="en-US" w:eastAsia="zh-CN" w:bidi="ar-SA"/>
              </w:rPr>
            </w:pPr>
            <w:r>
              <w:rPr>
                <w:rFonts w:hint="eastAsia" w:ascii="仿宋_GB2312" w:hAnsi="仿宋_GB2312" w:eastAsia="仿宋_GB2312" w:cs="仿宋_GB2312"/>
                <w:b/>
                <w:bCs/>
                <w:color w:val="000000"/>
                <w:sz w:val="21"/>
                <w:szCs w:val="21"/>
                <w:lang w:val="en-US" w:eastAsia="zh-CN"/>
              </w:rPr>
              <w:t>二级指标</w:t>
            </w:r>
          </w:p>
        </w:tc>
        <w:tc>
          <w:tcPr>
            <w:tcW w:w="3592" w:type="dxa"/>
            <w:gridSpan w:val="9"/>
            <w:noWrap w:val="0"/>
            <w:vAlign w:val="center"/>
          </w:tcPr>
          <w:p w14:paraId="6C786279">
            <w:pPr>
              <w:autoSpaceDN w:val="0"/>
              <w:spacing w:line="320" w:lineRule="exact"/>
              <w:ind w:firstLine="723" w:firstLineChars="300"/>
              <w:jc w:val="left"/>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预期目标（年度绩效目标）</w:t>
            </w:r>
          </w:p>
        </w:tc>
        <w:tc>
          <w:tcPr>
            <w:tcW w:w="5041" w:type="dxa"/>
            <w:gridSpan w:val="13"/>
            <w:noWrap w:val="0"/>
            <w:vAlign w:val="center"/>
          </w:tcPr>
          <w:p w14:paraId="06B12FE2">
            <w:pPr>
              <w:autoSpaceDN w:val="0"/>
              <w:spacing w:line="320" w:lineRule="exact"/>
              <w:ind w:firstLine="1687" w:firstLineChars="700"/>
              <w:jc w:val="left"/>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实际完成情况</w:t>
            </w:r>
          </w:p>
        </w:tc>
      </w:tr>
      <w:tr w14:paraId="53A73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968" w:hRule="atLeast"/>
          <w:jc w:val="center"/>
        </w:trPr>
        <w:tc>
          <w:tcPr>
            <w:tcW w:w="541" w:type="dxa"/>
            <w:vMerge w:val="continue"/>
            <w:noWrap w:val="0"/>
            <w:vAlign w:val="center"/>
          </w:tcPr>
          <w:p w14:paraId="5B32274C">
            <w:pPr>
              <w:spacing w:line="320" w:lineRule="exact"/>
              <w:rPr>
                <w:rFonts w:hint="default" w:ascii="仿宋_GB2312" w:hAnsi="仿宋_GB2312" w:eastAsia="仿宋_GB2312" w:cs="仿宋_GB2312"/>
                <w:sz w:val="24"/>
                <w:lang w:val="en-US" w:eastAsia="zh-CN"/>
              </w:rPr>
            </w:pPr>
          </w:p>
        </w:tc>
        <w:tc>
          <w:tcPr>
            <w:tcW w:w="317" w:type="dxa"/>
            <w:vMerge w:val="restart"/>
            <w:noWrap w:val="0"/>
            <w:vAlign w:val="center"/>
          </w:tcPr>
          <w:p w14:paraId="2423695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BD63CC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E36B4A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DCABBE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33F791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BE34F5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FCB737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FD2B40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87F13C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9FD12CA">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0B4FD63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522E89C">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43021CA5">
            <w:pPr>
              <w:autoSpaceDN w:val="0"/>
              <w:spacing w:line="320" w:lineRule="exact"/>
              <w:jc w:val="center"/>
              <w:rPr>
                <w:rFonts w:hint="eastAsia" w:ascii="仿宋_GB2312" w:hAnsi="仿宋_GB2312" w:eastAsia="仿宋_GB2312" w:cs="仿宋_GB2312"/>
                <w:b/>
                <w:bCs/>
                <w:color w:val="000000"/>
                <w:sz w:val="21"/>
                <w:szCs w:val="21"/>
              </w:rPr>
            </w:pPr>
          </w:p>
          <w:p w14:paraId="11D988FE">
            <w:pPr>
              <w:autoSpaceDN w:val="0"/>
              <w:spacing w:line="32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7F4776EA">
            <w:pPr>
              <w:autoSpaceDN w:val="0"/>
              <w:spacing w:line="320" w:lineRule="exact"/>
              <w:jc w:val="center"/>
              <w:rPr>
                <w:rFonts w:hint="eastAsia" w:ascii="仿宋_GB2312" w:hAnsi="仿宋_GB2312" w:eastAsia="仿宋_GB2312" w:cs="仿宋_GB2312"/>
                <w:b/>
                <w:bCs/>
                <w:color w:val="000000"/>
                <w:sz w:val="21"/>
                <w:szCs w:val="21"/>
              </w:rPr>
            </w:pPr>
          </w:p>
          <w:p w14:paraId="1ADFF881">
            <w:pPr>
              <w:autoSpaceDN w:val="0"/>
              <w:spacing w:line="32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6A187243">
            <w:pPr>
              <w:autoSpaceDN w:val="0"/>
              <w:spacing w:line="320" w:lineRule="exact"/>
              <w:jc w:val="center"/>
              <w:rPr>
                <w:rFonts w:hint="eastAsia" w:ascii="仿宋_GB2312" w:hAnsi="仿宋_GB2312" w:eastAsia="仿宋_GB2312" w:cs="仿宋_GB2312"/>
                <w:b/>
                <w:bCs/>
                <w:color w:val="000000"/>
                <w:sz w:val="21"/>
                <w:szCs w:val="21"/>
              </w:rPr>
            </w:pPr>
          </w:p>
          <w:p w14:paraId="5FE67ABF">
            <w:pPr>
              <w:autoSpaceDN w:val="0"/>
              <w:spacing w:line="320" w:lineRule="exact"/>
              <w:jc w:val="center"/>
              <w:rPr>
                <w:rFonts w:hint="eastAsia" w:ascii="仿宋_GB2312" w:hAnsi="仿宋_GB2312" w:eastAsia="仿宋_GB2312" w:cs="仿宋_GB2312"/>
                <w:b/>
                <w:bCs/>
                <w:color w:val="000000"/>
                <w:sz w:val="21"/>
                <w:szCs w:val="21"/>
              </w:rPr>
            </w:pPr>
          </w:p>
          <w:p w14:paraId="12B51034">
            <w:pPr>
              <w:autoSpaceDN w:val="0"/>
              <w:spacing w:line="320" w:lineRule="exact"/>
              <w:jc w:val="center"/>
              <w:rPr>
                <w:rFonts w:hint="eastAsia" w:ascii="仿宋_GB2312" w:hAnsi="仿宋_GB2312" w:eastAsia="仿宋_GB2312" w:cs="仿宋_GB2312"/>
                <w:b/>
                <w:bCs/>
                <w:color w:val="000000"/>
                <w:sz w:val="21"/>
                <w:szCs w:val="21"/>
              </w:rPr>
            </w:pPr>
          </w:p>
          <w:p w14:paraId="46E7744A">
            <w:pPr>
              <w:autoSpaceDN w:val="0"/>
              <w:spacing w:line="320" w:lineRule="exact"/>
              <w:jc w:val="center"/>
              <w:rPr>
                <w:rFonts w:hint="eastAsia" w:ascii="仿宋_GB2312" w:hAnsi="仿宋_GB2312" w:eastAsia="仿宋_GB2312" w:cs="仿宋_GB2312"/>
                <w:b/>
                <w:bCs/>
                <w:color w:val="000000"/>
                <w:sz w:val="21"/>
                <w:szCs w:val="21"/>
              </w:rPr>
            </w:pPr>
          </w:p>
          <w:p w14:paraId="067930C2">
            <w:pPr>
              <w:autoSpaceDN w:val="0"/>
              <w:spacing w:line="320" w:lineRule="exact"/>
              <w:jc w:val="center"/>
              <w:rPr>
                <w:rFonts w:hint="eastAsia" w:ascii="仿宋_GB2312" w:hAnsi="仿宋_GB2312" w:eastAsia="仿宋_GB2312" w:cs="仿宋_GB2312"/>
                <w:b/>
                <w:bCs/>
                <w:color w:val="000000"/>
                <w:sz w:val="21"/>
                <w:szCs w:val="21"/>
              </w:rPr>
            </w:pPr>
          </w:p>
          <w:p w14:paraId="6B0D66D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8A56F2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F4EEFA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578FA8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BBED1D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696C98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763F3A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344D37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C8526B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20A820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D2DD4D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951324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DBDDA7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C7BA64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5611CA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A9F2C7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644D44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AEE8A0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1CB1F2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B3992A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34DF0B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C5A8B6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4C50B8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0E9E68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C85D56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0E1283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DA92C0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F64388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D12EDF5">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083B8EE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3F3D752">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2B0D06EA">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180EEF7A">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409FB61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B97EF08">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14:paraId="6C35342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838973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85D145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EC682F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CBE138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16FBF8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D550A5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1F17FE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C48E25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4CC85C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77EBA4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796B3D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8B1430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82F742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F127D8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A600EB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2CDD3B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1217D7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EE655E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CAC432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0E30B7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BD9C2C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8DE7C8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3C496C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6DA13B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403232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99DB67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C8321B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744F07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E343FE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110486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CAAE0A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8C3830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34F77E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69D90F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AC3ECCE">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3E99B4D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4F9F618">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2C1B3803">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31965BBF">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62705CC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45D1BE8">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14:paraId="54EA5D6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2F824D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BD0379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E8851B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0E4E02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B0E7BE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2C8AE6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492783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47B0A9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46FA1F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3AA293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D3595F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C5634D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94B835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84BAD4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59477D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53D755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D5330B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5E7E68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7E735E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769882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CB2847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060B04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F98438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660768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7FE20A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C0C194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ED94C7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1E57B6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4AF4EC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7A1401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A1D078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1ABC0B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C0928A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E95953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C7F766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CD3832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D36CE1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3205F2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37C2F71">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64578A5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FC82B70">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063DB196">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2F1A6E72">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768C776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86FFA6A">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14:paraId="1133C8B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A6AC25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A23A6D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B9B9A6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C33D6D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73CB41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566D5E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80C2FF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EFA92A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46A1B2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1D0CB3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D0B6FB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D65385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7C66EF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F94572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45FFA5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434D83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C74C61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791894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06BBFC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0DCFD9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357F5A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17505A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8018DD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B947EB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E278F4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9D27DD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D8A321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6756C5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A2C137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114B46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B97069A">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7546BB2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C948752">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2211F5B0">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21C3CAE3">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183D77E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34F0E5D">
            <w:pPr>
              <w:autoSpaceDN w:val="0"/>
              <w:spacing w:line="3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标</w:t>
            </w:r>
          </w:p>
        </w:tc>
        <w:tc>
          <w:tcPr>
            <w:tcW w:w="483" w:type="dxa"/>
            <w:gridSpan w:val="2"/>
            <w:noWrap w:val="0"/>
            <w:vAlign w:val="center"/>
          </w:tcPr>
          <w:p w14:paraId="4AF6DF6C">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2900FB1A">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14FF8B6">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18D83D8B">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A95E48F">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5452CF3A">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0A363940">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18E47288">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2A04FA58">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5CB0F22">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7C269418">
            <w:pPr>
              <w:autoSpaceDN w:val="0"/>
              <w:spacing w:line="320" w:lineRule="exact"/>
              <w:jc w:val="both"/>
              <w:textAlignment w:val="center"/>
              <w:rPr>
                <w:rFonts w:hint="eastAsia" w:ascii="仿宋_GB2312" w:hAnsi="仿宋_GB2312" w:eastAsia="仿宋_GB2312" w:cs="仿宋_GB2312"/>
                <w:b/>
                <w:bCs/>
                <w:color w:val="000000"/>
                <w:sz w:val="21"/>
                <w:szCs w:val="21"/>
              </w:rPr>
            </w:pPr>
          </w:p>
          <w:p w14:paraId="54B58A12">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2A864A67">
            <w:pPr>
              <w:autoSpaceDN w:val="0"/>
              <w:spacing w:line="320" w:lineRule="exact"/>
              <w:jc w:val="both"/>
              <w:textAlignment w:val="center"/>
              <w:rPr>
                <w:rFonts w:hint="eastAsia" w:ascii="仿宋_GB2312" w:hAnsi="仿宋_GB2312" w:eastAsia="仿宋_GB2312" w:cs="仿宋_GB2312"/>
                <w:b/>
                <w:bCs/>
                <w:color w:val="000000"/>
                <w:sz w:val="21"/>
                <w:szCs w:val="21"/>
              </w:rPr>
            </w:pPr>
          </w:p>
          <w:p w14:paraId="75625338">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738F3436">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06CA56F6">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449549CD">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2DAEC89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14:paraId="413B973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56182E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04B2F2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685354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11F5CB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E86637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E7D5D9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0CCB97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62F118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857B45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EF22A5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C2AB6E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726CC7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96D16E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14E5BB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3DCF52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B1FE9D8">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BE2D628">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E7154AB">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5670AE47">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20A2A2B4">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E5D2ABE">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50B8723">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E39C28E">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6B792BE5">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01D59C40">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496AF2E">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0815CE88">
            <w:pPr>
              <w:autoSpaceDN w:val="0"/>
              <w:spacing w:line="320" w:lineRule="exact"/>
              <w:jc w:val="both"/>
              <w:textAlignment w:val="center"/>
              <w:rPr>
                <w:rFonts w:hint="eastAsia" w:ascii="仿宋_GB2312" w:hAnsi="仿宋_GB2312" w:eastAsia="仿宋_GB2312" w:cs="仿宋_GB2312"/>
                <w:b/>
                <w:bCs/>
                <w:color w:val="000000"/>
                <w:sz w:val="21"/>
                <w:szCs w:val="21"/>
              </w:rPr>
            </w:pPr>
          </w:p>
          <w:p w14:paraId="54F0639D">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3DBA0F33">
            <w:pPr>
              <w:autoSpaceDN w:val="0"/>
              <w:spacing w:line="320" w:lineRule="exact"/>
              <w:jc w:val="both"/>
              <w:textAlignment w:val="center"/>
              <w:rPr>
                <w:rFonts w:hint="eastAsia" w:ascii="仿宋_GB2312" w:hAnsi="仿宋_GB2312" w:eastAsia="仿宋_GB2312" w:cs="仿宋_GB2312"/>
                <w:b/>
                <w:bCs/>
                <w:color w:val="000000"/>
                <w:sz w:val="21"/>
                <w:szCs w:val="21"/>
              </w:rPr>
            </w:pPr>
          </w:p>
          <w:p w14:paraId="6E518AD8">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3FF83758">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A06D492">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59412F43">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21870E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14:paraId="5FF24AB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66D4138">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1038B3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EB9C39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1FBCB5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439F6C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03F979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636B7E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A45C13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4EA21C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F8D8C3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377D7A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94BE1F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2CD629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97A655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FEA71B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9E6BBA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2EA81A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BCDCF3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9185D2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B4CF09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53604D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67FE20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DDDBF9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72845C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AECC67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FC0945D">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6DEAD41C">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5362000">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1E7BA4A6">
            <w:pPr>
              <w:autoSpaceDN w:val="0"/>
              <w:spacing w:line="320" w:lineRule="exact"/>
              <w:jc w:val="both"/>
              <w:textAlignment w:val="center"/>
              <w:rPr>
                <w:rFonts w:hint="eastAsia" w:ascii="仿宋_GB2312" w:hAnsi="仿宋_GB2312" w:eastAsia="仿宋_GB2312" w:cs="仿宋_GB2312"/>
                <w:b/>
                <w:bCs/>
                <w:color w:val="000000"/>
                <w:sz w:val="21"/>
                <w:szCs w:val="21"/>
              </w:rPr>
            </w:pPr>
          </w:p>
          <w:p w14:paraId="26006C09">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5FB58669">
            <w:pPr>
              <w:autoSpaceDN w:val="0"/>
              <w:spacing w:line="320" w:lineRule="exact"/>
              <w:jc w:val="both"/>
              <w:textAlignment w:val="center"/>
              <w:rPr>
                <w:rFonts w:hint="eastAsia" w:ascii="仿宋_GB2312" w:hAnsi="仿宋_GB2312" w:eastAsia="仿宋_GB2312" w:cs="仿宋_GB2312"/>
                <w:b/>
                <w:bCs/>
                <w:color w:val="000000"/>
                <w:sz w:val="21"/>
                <w:szCs w:val="21"/>
              </w:rPr>
            </w:pPr>
          </w:p>
          <w:p w14:paraId="7D0197F4">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5B0539C9">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9C9C0EB">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7CA67AF3">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14A4816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14:paraId="002E42D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D66169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EF79FD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F3EB88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D1007E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705852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413C31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3D02C3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2FC9ABB">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9D76AB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C18138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D403FB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5CA495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72BFDF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507C27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1A9A26B">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A5C8D8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68380F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BCABE8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1B735D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078DF2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379211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33A0C9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641838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F73916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CBE040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91EE30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118752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46344DB">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91DB36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BBC20B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BC0A39B">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457C4DA">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0D6A66C9">
            <w:pPr>
              <w:autoSpaceDN w:val="0"/>
              <w:spacing w:line="320" w:lineRule="exact"/>
              <w:jc w:val="both"/>
              <w:textAlignment w:val="center"/>
              <w:rPr>
                <w:rFonts w:hint="eastAsia" w:ascii="仿宋_GB2312" w:hAnsi="仿宋_GB2312" w:eastAsia="仿宋_GB2312" w:cs="仿宋_GB2312"/>
                <w:b/>
                <w:bCs/>
                <w:color w:val="000000"/>
                <w:sz w:val="21"/>
                <w:szCs w:val="21"/>
              </w:rPr>
            </w:pPr>
          </w:p>
          <w:p w14:paraId="5E8FEFD5">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587CC490">
            <w:pPr>
              <w:autoSpaceDN w:val="0"/>
              <w:spacing w:line="320" w:lineRule="exact"/>
              <w:jc w:val="both"/>
              <w:textAlignment w:val="center"/>
              <w:rPr>
                <w:rFonts w:hint="eastAsia" w:ascii="仿宋_GB2312" w:hAnsi="仿宋_GB2312" w:eastAsia="仿宋_GB2312" w:cs="仿宋_GB2312"/>
                <w:b/>
                <w:bCs/>
                <w:color w:val="000000"/>
                <w:sz w:val="21"/>
                <w:szCs w:val="21"/>
              </w:rPr>
            </w:pPr>
          </w:p>
          <w:p w14:paraId="61493D39">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54911050">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6B77AABA">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514EA396">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AB9661D">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tc>
        <w:tc>
          <w:tcPr>
            <w:tcW w:w="3592" w:type="dxa"/>
            <w:gridSpan w:val="9"/>
            <w:noWrap w:val="0"/>
            <w:vAlign w:val="center"/>
          </w:tcPr>
          <w:p w14:paraId="6AE58BCB">
            <w:pPr>
              <w:autoSpaceDN w:val="0"/>
              <w:spacing w:line="320" w:lineRule="exact"/>
              <w:ind w:firstLine="420" w:firstLineChars="200"/>
              <w:jc w:val="left"/>
              <w:textAlignment w:val="center"/>
              <w:rPr>
                <w:rFonts w:hint="eastAsia" w:ascii="仿宋_GB2312" w:hAnsi="仿宋_GB2312" w:eastAsia="仿宋_GB2312" w:cs="仿宋_GB2312"/>
                <w:b/>
                <w:bCs/>
                <w:color w:val="000000"/>
                <w:sz w:val="21"/>
                <w:szCs w:val="21"/>
                <w:lang w:val="en-US" w:eastAsia="zh-CN"/>
              </w:rPr>
            </w:pPr>
            <w:r>
              <w:rPr>
                <w:rFonts w:hint="eastAsia"/>
                <w:lang w:val="en-US" w:eastAsia="zh-CN"/>
              </w:rPr>
              <w:t>根</w:t>
            </w:r>
            <w:r>
              <w:rPr>
                <w:rFonts w:hint="eastAsia" w:ascii="仿宋_GB2312" w:hAnsi="仿宋_GB2312" w:eastAsia="仿宋_GB2312" w:cs="仿宋_GB2312"/>
                <w:color w:val="000000"/>
                <w:sz w:val="21"/>
                <w:szCs w:val="21"/>
                <w:lang w:val="en-US" w:eastAsia="zh-CN"/>
              </w:rPr>
              <w:t>据《2021年全市自然资源和规划工作报告》，2021年重点工作预期目标如下：</w:t>
            </w:r>
          </w:p>
          <w:p w14:paraId="26CF70D4">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3B17B893">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bCs/>
                <w:color w:val="000000"/>
                <w:sz w:val="21"/>
                <w:szCs w:val="21"/>
                <w:lang w:val="en-US" w:eastAsia="zh-CN"/>
              </w:rPr>
              <w:t>（一）规划编制与完善方面</w:t>
            </w:r>
          </w:p>
          <w:p w14:paraId="653F007B">
            <w:p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1、国土空间规划编制。统筹划定“三条控制线”，编制城市设计、村庄规划编制。</w:t>
            </w:r>
          </w:p>
          <w:p w14:paraId="2FDFBBEA">
            <w:pPr>
              <w:pStyle w:val="6"/>
              <w:ind w:left="0" w:leftChars="0" w:firstLine="0" w:firstLineChars="0"/>
              <w:rPr>
                <w:rFonts w:hint="eastAsia" w:ascii="仿宋_GB2312" w:hAnsi="仿宋_GB2312" w:eastAsia="仿宋_GB2312" w:cs="仿宋_GB2312"/>
                <w:color w:val="000000"/>
                <w:sz w:val="21"/>
                <w:szCs w:val="21"/>
                <w:lang w:val="en-US" w:eastAsia="zh-CN"/>
              </w:rPr>
            </w:pPr>
          </w:p>
          <w:p w14:paraId="44539940">
            <w:pPr>
              <w:pStyle w:val="6"/>
              <w:ind w:left="0" w:leftChars="0" w:firstLine="0" w:firstLineChars="0"/>
              <w:rPr>
                <w:rFonts w:hint="eastAsia" w:ascii="仿宋_GB2312" w:hAnsi="仿宋_GB2312" w:eastAsia="仿宋_GB2312" w:cs="仿宋_GB2312"/>
                <w:color w:val="000000"/>
                <w:sz w:val="21"/>
                <w:szCs w:val="21"/>
                <w:lang w:val="en-US" w:eastAsia="zh-CN"/>
              </w:rPr>
            </w:pPr>
          </w:p>
          <w:p w14:paraId="0D8C04C8">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3290C567">
            <w:pPr>
              <w:pStyle w:val="6"/>
              <w:numPr>
                <w:ilvl w:val="0"/>
                <w:numId w:val="0"/>
              </w:numPr>
              <w:rPr>
                <w:rFonts w:hint="eastAsia" w:ascii="仿宋_GB2312" w:hAnsi="仿宋_GB2312" w:eastAsia="仿宋_GB2312" w:cs="仿宋_GB2312"/>
                <w:color w:val="000000"/>
                <w:kern w:val="2"/>
                <w:sz w:val="21"/>
                <w:szCs w:val="21"/>
                <w:lang w:val="en-US" w:eastAsia="zh-CN" w:bidi="ar-SA"/>
              </w:rPr>
            </w:pPr>
          </w:p>
          <w:p w14:paraId="1E80CFC8">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163BAFA5">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19A726C1">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567A30ED">
            <w:pPr>
              <w:pStyle w:val="6"/>
              <w:numPr>
                <w:ilvl w:val="0"/>
                <w:numId w:val="0"/>
              </w:numPr>
              <w:ind w:firstLine="420" w:firstLineChars="200"/>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2、生态修复治理。做好修复工程项目申报及历史遗留矿山图斑核查，上报确认未修复历史遗留矿山683公顷，计划十四五期间修复约546公顷，拟实现修复率80%、</w:t>
            </w:r>
          </w:p>
          <w:p w14:paraId="0659F3B8">
            <w:pPr>
              <w:pStyle w:val="6"/>
              <w:numPr>
                <w:ilvl w:val="0"/>
                <w:numId w:val="0"/>
              </w:numPr>
              <w:ind w:firstLine="420" w:firstLineChars="200"/>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3、绿色矿山建设。编制专项规划；推进砂石土矿专项整治，完成了砂石土采矿权关闭目标。</w:t>
            </w:r>
          </w:p>
          <w:p w14:paraId="08467756">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421CE2F2">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3B770D24">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b/>
                <w:bCs/>
                <w:color w:val="000000"/>
                <w:sz w:val="21"/>
                <w:szCs w:val="21"/>
                <w:lang w:val="en-US" w:eastAsia="zh-CN"/>
              </w:rPr>
              <w:t>二）耕地保护、执法体系建设</w:t>
            </w:r>
            <w:r>
              <w:rPr>
                <w:rFonts w:hint="eastAsia" w:ascii="仿宋_GB2312" w:hAnsi="仿宋_GB2312" w:eastAsia="仿宋_GB2312" w:cs="仿宋_GB2312"/>
                <w:b/>
                <w:bCs/>
                <w:color w:val="000000"/>
                <w:sz w:val="21"/>
                <w:szCs w:val="21"/>
                <w:lang w:eastAsia="zh-CN"/>
              </w:rPr>
              <w:t>“三调”</w:t>
            </w:r>
            <w:r>
              <w:rPr>
                <w:rFonts w:hint="eastAsia" w:ascii="仿宋_GB2312" w:hAnsi="仿宋_GB2312" w:eastAsia="仿宋_GB2312" w:cs="仿宋_GB2312"/>
                <w:b/>
                <w:bCs/>
                <w:color w:val="000000"/>
                <w:sz w:val="21"/>
                <w:szCs w:val="21"/>
                <w:lang w:val="en-US" w:eastAsia="zh-CN"/>
              </w:rPr>
              <w:t>成果、农村乱占耕地建房问题整治方面</w:t>
            </w:r>
            <w:r>
              <w:rPr>
                <w:rFonts w:hint="eastAsia" w:ascii="仿宋_GB2312" w:hAnsi="仿宋_GB2312" w:eastAsia="仿宋_GB2312" w:cs="仿宋_GB2312"/>
                <w:color w:val="000000"/>
                <w:sz w:val="21"/>
                <w:szCs w:val="21"/>
                <w:lang w:eastAsia="zh-CN"/>
              </w:rPr>
              <w:t>。</w:t>
            </w:r>
          </w:p>
          <w:p w14:paraId="1452481D">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1、强化</w:t>
            </w:r>
            <w:r>
              <w:rPr>
                <w:rFonts w:hint="eastAsia" w:ascii="仿宋_GB2312" w:hAnsi="仿宋_GB2312" w:eastAsia="仿宋_GB2312" w:cs="仿宋_GB2312"/>
                <w:b w:val="0"/>
                <w:bCs w:val="0"/>
                <w:color w:val="000000"/>
                <w:sz w:val="21"/>
                <w:szCs w:val="21"/>
                <w:lang w:val="en-US" w:eastAsia="zh-CN"/>
              </w:rPr>
              <w:t>耕地保护。</w:t>
            </w:r>
            <w:r>
              <w:rPr>
                <w:rFonts w:hint="eastAsia" w:ascii="仿宋_GB2312" w:hAnsi="仿宋_GB2312" w:eastAsia="仿宋_GB2312" w:cs="仿宋_GB2312"/>
                <w:color w:val="000000"/>
                <w:sz w:val="21"/>
                <w:szCs w:val="21"/>
                <w:lang w:val="en-US" w:eastAsia="zh-CN"/>
              </w:rPr>
              <w:t>配合省整治局核实验收项目30个，确认增减挂钩项目4批次，做到占优补优、占水田补水田。</w:t>
            </w:r>
          </w:p>
          <w:p w14:paraId="16A7DEFC">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14:paraId="3B38B684">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14:paraId="2CE96146">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14:paraId="50E540E4">
            <w:pPr>
              <w:autoSpaceDN w:val="0"/>
              <w:spacing w:line="320" w:lineRule="exact"/>
              <w:ind w:firstLine="210" w:firstLineChars="100"/>
              <w:jc w:val="left"/>
              <w:textAlignment w:val="center"/>
              <w:rPr>
                <w:rFonts w:hint="eastAsia" w:ascii="仿宋_GB2312" w:hAnsi="仿宋_GB2312" w:eastAsia="仿宋_GB2312" w:cs="仿宋_GB2312"/>
                <w:b w:val="0"/>
                <w:bCs w:val="0"/>
                <w:color w:val="000000"/>
                <w:sz w:val="21"/>
                <w:szCs w:val="21"/>
                <w:lang w:val="en-US" w:eastAsia="zh-CN"/>
              </w:rPr>
            </w:pPr>
          </w:p>
          <w:p w14:paraId="07B437FF">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0026BC05">
            <w:pPr>
              <w:autoSpaceDN w:val="0"/>
              <w:spacing w:line="320" w:lineRule="exact"/>
              <w:ind w:firstLine="210" w:firstLineChars="100"/>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2、督查执法。抓实问题“回头看”，全市乱占耕地建房问题整改率达到100%。</w:t>
            </w:r>
          </w:p>
          <w:p w14:paraId="109857C7">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41B46081">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0FFAFC0F">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62410881">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34E5D116">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26B98A94">
            <w:pPr>
              <w:pStyle w:val="6"/>
              <w:ind w:left="0" w:leftChars="0" w:firstLine="0" w:firstLineChars="0"/>
              <w:rPr>
                <w:rFonts w:hint="eastAsia" w:ascii="仿宋_GB2312" w:hAnsi="仿宋_GB2312" w:eastAsia="仿宋_GB2312" w:cs="仿宋_GB2312"/>
                <w:b w:val="0"/>
                <w:bCs w:val="0"/>
                <w:color w:val="000000"/>
                <w:sz w:val="21"/>
                <w:szCs w:val="21"/>
                <w:lang w:val="en-US" w:eastAsia="zh-CN"/>
              </w:rPr>
            </w:pPr>
          </w:p>
          <w:p w14:paraId="69A3569C">
            <w:pPr>
              <w:pStyle w:val="6"/>
              <w:ind w:left="0" w:leftChars="0" w:firstLine="0" w:firstLineChars="0"/>
              <w:rPr>
                <w:rFonts w:hint="eastAsia" w:ascii="仿宋_GB2312" w:hAnsi="仿宋_GB2312" w:eastAsia="仿宋_GB2312" w:cs="仿宋_GB2312"/>
                <w:b w:val="0"/>
                <w:bCs w:val="0"/>
                <w:color w:val="000000"/>
                <w:sz w:val="21"/>
                <w:szCs w:val="21"/>
                <w:lang w:val="en-US" w:eastAsia="zh-CN"/>
              </w:rPr>
            </w:pPr>
          </w:p>
          <w:p w14:paraId="089F7458">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1A6FC32E">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color w:val="000000"/>
                <w:sz w:val="21"/>
                <w:szCs w:val="21"/>
                <w:lang w:val="en-US" w:eastAsia="zh-CN"/>
              </w:rPr>
              <w:t>3、资源调查工作。完成用地专项调查、农村空心房</w:t>
            </w:r>
            <w:r>
              <w:rPr>
                <w:rFonts w:hint="eastAsia" w:ascii="仿宋_GB2312" w:hAnsi="仿宋_GB2312" w:eastAsia="仿宋_GB2312" w:cs="仿宋_GB2312"/>
                <w:b w:val="0"/>
                <w:bCs w:val="0"/>
                <w:color w:val="000000"/>
                <w:sz w:val="21"/>
                <w:szCs w:val="21"/>
                <w:lang w:val="en-US" w:eastAsia="zh-CN"/>
              </w:rPr>
              <w:t>专项调查、年度国土变更调查等工作，成果上报省厅并通过省级核查。</w:t>
            </w:r>
          </w:p>
          <w:p w14:paraId="2E8E8F06">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1ACFE7F7">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（三）土地要素、优化营商环境、节约用地方面</w:t>
            </w:r>
          </w:p>
          <w:p w14:paraId="429108C2">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1、土地要素保障。重大项目顺利落地，全市清零验收121个土地依法征收项目，完成建设用地供应1099宗2811.02公顷，追缴往年欠缴土地出让金12.32亿元。</w:t>
            </w:r>
          </w:p>
          <w:p w14:paraId="32FC5A63">
            <w:pPr>
              <w:pStyle w:val="6"/>
              <w:ind w:left="0" w:leftChars="0" w:firstLine="0" w:firstLineChars="0"/>
              <w:rPr>
                <w:rFonts w:hint="eastAsia" w:ascii="仿宋_GB2312" w:hAnsi="仿宋_GB2312" w:eastAsia="仿宋_GB2312" w:cs="仿宋_GB2312"/>
                <w:color w:val="000000"/>
                <w:sz w:val="21"/>
                <w:szCs w:val="21"/>
                <w:lang w:val="en-US" w:eastAsia="zh-CN"/>
              </w:rPr>
            </w:pPr>
          </w:p>
          <w:p w14:paraId="02DCD434">
            <w:pPr>
              <w:pStyle w:val="6"/>
              <w:ind w:left="0" w:leftChars="0" w:firstLine="0" w:firstLineChars="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2、优化营商环境。核发建设用地规划许可36项，建设工程规划许可75项，“多测合一”改革实现全流程、全覆盖。2个试点项目顺利实施“拿地即开工”。</w:t>
            </w:r>
          </w:p>
          <w:p w14:paraId="65F7EACD">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5CE03ED8">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4B41CE24">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59D96CA9">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6D9D4170">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6CB45E13">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1ECF7EB9">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3、集约用地。完成省厅下达处置批而未供土地1357.57公顷，处置闲置土地781.95公顷任务；“摘帽”行动处置43宗，“净地”攻坚行动处置59宗“执法”行动34宗、处置率100%。</w:t>
            </w:r>
          </w:p>
          <w:p w14:paraId="0FC73880">
            <w:pPr>
              <w:pStyle w:val="6"/>
              <w:ind w:left="0" w:leftChars="0" w:firstLine="0" w:firstLineChars="0"/>
              <w:rPr>
                <w:rFonts w:hint="eastAsia" w:ascii="仿宋_GB2312" w:hAnsi="仿宋_GB2312" w:eastAsia="仿宋_GB2312" w:cs="仿宋_GB2312"/>
                <w:color w:val="000000"/>
                <w:sz w:val="21"/>
                <w:szCs w:val="21"/>
                <w:lang w:val="en-US" w:eastAsia="zh-CN"/>
              </w:rPr>
            </w:pPr>
          </w:p>
          <w:p w14:paraId="7719F920">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1A2366B9">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272C622D">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bCs/>
                <w:color w:val="000000"/>
                <w:sz w:val="21"/>
                <w:szCs w:val="21"/>
                <w:lang w:val="en-US" w:eastAsia="zh-CN"/>
              </w:rPr>
              <w:t>（四）地灾防治、不动产登记服务、信访问题化解及禁拆治违方面</w:t>
            </w:r>
          </w:p>
          <w:p w14:paraId="406CB31E">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1、地灾防治。全市共举办应急避险演练40次；持续保持地灾隐患点“零死亡”。</w:t>
            </w:r>
          </w:p>
          <w:p w14:paraId="1A9A3EF6">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2、提升不动产登记服务。建设不动产交易登记审核效率提升，最快“60分钟”出证；将不动登记“一窗办事”平台延伸；推行各类业务“网上办、掌上办、自助办”，实现了“数据多跑路，群众少跑腿”。</w:t>
            </w:r>
          </w:p>
          <w:p w14:paraId="43E11C23">
            <w:pPr>
              <w:numPr>
                <w:ilvl w:val="0"/>
                <w:numId w:val="0"/>
              </w:num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3、购房群众合法权益保护。全市87个房地产办证信访突出问题化解90%，做到了“交房即交证”改革工作全覆盖。</w:t>
            </w:r>
          </w:p>
          <w:p w14:paraId="3A3DAE44">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40038336">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4、完成禁拆治违整治行动。全市拆违200万㎡以上。</w:t>
            </w:r>
          </w:p>
          <w:p w14:paraId="3FD6434A">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2AFBA5DE">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0499240B">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04C0C203">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（五）深化机构改革、人才培养、信息化建设、信访维稳方面</w:t>
            </w:r>
          </w:p>
          <w:p w14:paraId="03D3BFB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1、深化机构改革。搞好部分单位职权下放、市规划设计院改制方面</w:t>
            </w:r>
          </w:p>
          <w:p w14:paraId="7A08CD05">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4012185E">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40E876DC">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2、人才培养。搞好选拔任用干部、岗位交流干部，完成调训、培训任务</w:t>
            </w:r>
          </w:p>
          <w:p w14:paraId="6A081E96">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32390D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4D822F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3370E4D9">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6B7BB8D4">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3、信息化建设。完成局政务平台综合办公及审批系统业务流程改造和国产化适配。</w:t>
            </w:r>
          </w:p>
          <w:p w14:paraId="6641631A">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0857ADB3">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1BE30F2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5857A9E9">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651EC070">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4、信访维稳。完成市级信访积案，接待群众来信来访，办理交办转办件，处置网络舆情事件件，办理建议提案。</w:t>
            </w:r>
          </w:p>
          <w:p w14:paraId="74F9C078">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33944EF6">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14:paraId="289A93E0">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4B8DBA8D">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（六）党建及廉政建设方面</w:t>
            </w:r>
          </w:p>
          <w:p w14:paraId="774CE6F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1、政治立场。组织党组中心组学习18次、市委巡察反馈问题整改率100%。</w:t>
            </w:r>
          </w:p>
          <w:p w14:paraId="38F3AF5A">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44FFB027">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2、巩固基层党建。开展“主题党日”活动，扎实推进“我为群众办实事”实践活动。组织开展宣讲比赛活动，评选表彰“一先两优”。</w:t>
            </w:r>
          </w:p>
          <w:p w14:paraId="265A0D0B">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726FDE4D">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07CEE23D">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3、意识形态。完善《岳阳市自然资源和规划局落实意识形态工作责任制》。加强了网络舆论管控，及时清理解散“僵尸”QQ工作群，推动“学习强国”平台深化应用。</w:t>
            </w:r>
          </w:p>
          <w:p w14:paraId="7A8906A5">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6A25E949">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0100642A">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10E38402">
            <w:pPr>
              <w:autoSpaceDN w:val="0"/>
              <w:spacing w:line="320" w:lineRule="exact"/>
              <w:jc w:val="left"/>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color w:val="000000"/>
                <w:sz w:val="21"/>
                <w:szCs w:val="21"/>
                <w:lang w:val="en-US" w:eastAsia="zh-CN"/>
              </w:rPr>
              <w:t>4、廉政建设。切实履行党风廉政建设主体责任和“一岗双责”，制定《2021年落实党风廉政建设责任制工作任务和分工意见》《2021年党风廉政建设和反腐败工作要点》，开展廉政谈话，观看廉政电视教育片2次，严格执纪问责。</w:t>
            </w:r>
          </w:p>
          <w:p w14:paraId="2562AEB5">
            <w:pPr>
              <w:autoSpaceDN w:val="0"/>
              <w:spacing w:line="320" w:lineRule="exact"/>
              <w:jc w:val="left"/>
              <w:textAlignment w:val="center"/>
              <w:rPr>
                <w:rFonts w:hint="eastAsia" w:ascii="仿宋_GB2312" w:hAnsi="仿宋_GB2312" w:eastAsia="仿宋_GB2312" w:cs="仿宋_GB2312"/>
                <w:b/>
                <w:bCs/>
                <w:color w:val="000000"/>
                <w:sz w:val="21"/>
                <w:szCs w:val="21"/>
                <w:lang w:eastAsia="zh-CN"/>
              </w:rPr>
            </w:pPr>
          </w:p>
          <w:p w14:paraId="477E89B8">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625C08BC">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38D82E93">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0981FCBB">
            <w:pPr>
              <w:pStyle w:val="2"/>
              <w:rPr>
                <w:rFonts w:hint="default" w:ascii="Times New Roman" w:hAnsi="Times New Roman" w:eastAsia="宋体" w:cs="Times New Roman"/>
                <w:kern w:val="2"/>
                <w:sz w:val="21"/>
                <w:szCs w:val="24"/>
                <w:lang w:val="en-US" w:eastAsia="zh-CN" w:bidi="ar-SA"/>
              </w:rPr>
            </w:pPr>
          </w:p>
        </w:tc>
        <w:tc>
          <w:tcPr>
            <w:tcW w:w="5041" w:type="dxa"/>
            <w:gridSpan w:val="13"/>
            <w:noWrap w:val="0"/>
            <w:vAlign w:val="center"/>
          </w:tcPr>
          <w:p w14:paraId="4D07AE06">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52220331">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1A260B7A">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3B4CB647">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71D912E9">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（一）全力</w:t>
            </w:r>
            <w:r>
              <w:rPr>
                <w:rFonts w:hint="eastAsia" w:ascii="仿宋_GB2312" w:hAnsi="仿宋_GB2312" w:eastAsia="仿宋_GB2312" w:cs="仿宋_GB2312"/>
                <w:b/>
                <w:bCs/>
                <w:color w:val="000000"/>
                <w:sz w:val="21"/>
                <w:szCs w:val="21"/>
                <w:lang w:eastAsia="zh-CN"/>
              </w:rPr>
              <w:t>编制</w:t>
            </w:r>
            <w:r>
              <w:rPr>
                <w:rFonts w:hint="eastAsia" w:ascii="仿宋_GB2312" w:hAnsi="仿宋_GB2312" w:eastAsia="仿宋_GB2312" w:cs="仿宋_GB2312"/>
                <w:b/>
                <w:bCs/>
                <w:color w:val="000000"/>
                <w:sz w:val="21"/>
                <w:szCs w:val="21"/>
                <w:lang w:val="en-US" w:eastAsia="zh-CN"/>
              </w:rPr>
              <w:t>好</w:t>
            </w:r>
            <w:r>
              <w:rPr>
                <w:rFonts w:hint="eastAsia" w:ascii="仿宋_GB2312" w:hAnsi="仿宋_GB2312" w:eastAsia="仿宋_GB2312" w:cs="仿宋_GB2312"/>
                <w:b/>
                <w:bCs/>
                <w:color w:val="000000"/>
                <w:sz w:val="21"/>
                <w:szCs w:val="21"/>
                <w:lang w:eastAsia="zh-CN"/>
              </w:rPr>
              <w:t>规划，</w:t>
            </w:r>
            <w:r>
              <w:rPr>
                <w:rFonts w:hint="eastAsia" w:ascii="仿宋_GB2312" w:hAnsi="仿宋_GB2312" w:eastAsia="仿宋_GB2312" w:cs="仿宋_GB2312"/>
                <w:b/>
                <w:bCs/>
                <w:color w:val="000000"/>
                <w:sz w:val="21"/>
                <w:szCs w:val="21"/>
                <w:lang w:val="en-US" w:eastAsia="zh-CN"/>
              </w:rPr>
              <w:t>推进城市建设与品质提升</w:t>
            </w:r>
            <w:r>
              <w:rPr>
                <w:rFonts w:hint="eastAsia" w:ascii="仿宋_GB2312" w:hAnsi="仿宋_GB2312" w:eastAsia="仿宋_GB2312" w:cs="仿宋_GB2312"/>
                <w:color w:val="000000"/>
                <w:sz w:val="21"/>
                <w:szCs w:val="21"/>
                <w:lang w:val="en-US" w:eastAsia="zh-CN"/>
              </w:rPr>
              <w:t>。         1、精心编制空间规划。统筹划定“三条控制线”，初步划定永久基本农田2956.1平方公里，生态保护红线3380.6平方公里，城镇开发边界664.5平方公里。</w:t>
            </w:r>
          </w:p>
          <w:p w14:paraId="4911EAB9">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开展了多类型、多专业的十大专题报告研究，启动了新一轮控规修编，建设了“多规合一”“一张图”平台；编制了《“一湖两岸”城市设计》，并作为湖南省唯一“城市设计”案例入选自然资源部建党100周年优秀案例评选。完成了461个村庄的基础调查、村域国土空间保护开发现状分析评价、初步方案咨询论证、规划方案村内公示等工作，全省国土空间优秀案例岳阳市获一等奖1个、二等奖1个、三等奖1个、优胜奖2个，我局被评为优秀组织单位。</w:t>
            </w:r>
          </w:p>
          <w:p w14:paraId="110D2EC5">
            <w:pPr>
              <w:pStyle w:val="6"/>
              <w:ind w:left="0" w:leftChars="0" w:firstLine="0" w:firstLineChars="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kern w:val="2"/>
                <w:sz w:val="21"/>
                <w:szCs w:val="21"/>
                <w:lang w:val="en-US" w:eastAsia="zh-CN" w:bidi="ar-SA"/>
              </w:rPr>
              <w:t>、着力生态修复治理。加快生态修复专项规划编制，推进了全域土地综合整治试点，做好修复工程项目申报及历史遗留矿山图斑核查，上报确认了未修复历史遗留矿山683公顷，计划十四五期间修复约546公顷，拟实现修复率80%</w:t>
            </w:r>
          </w:p>
          <w:p w14:paraId="38EEF1BF">
            <w:pPr>
              <w:pStyle w:val="6"/>
              <w:ind w:left="0" w:leftChars="0" w:firstLine="210" w:firstLineChars="1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加快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14:paraId="4E5C02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（二）严格保护耕地，落实基本国策。</w:t>
            </w:r>
          </w:p>
          <w:p w14:paraId="0FBA4601">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落实了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w:t>
            </w:r>
          </w:p>
          <w:p w14:paraId="7275DA39">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全面强化了督查执法，发现问题及时整改。抓实了“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14:paraId="031C2784">
            <w:pPr>
              <w:numPr>
                <w:ilvl w:val="0"/>
                <w:numId w:val="0"/>
              </w:numPr>
              <w:autoSpaceDN w:val="0"/>
              <w:spacing w:line="320" w:lineRule="exact"/>
              <w:ind w:firstLine="210" w:firstLineChars="100"/>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sz w:val="21"/>
                <w:szCs w:val="21"/>
                <w:lang w:val="en-US" w:eastAsia="zh-CN"/>
              </w:rPr>
              <w:t>3、做好资源调查工作。完成了耕地后备资源调查和规划划定、城镇低效用地专项调查、农村空心房</w:t>
            </w:r>
            <w:r>
              <w:rPr>
                <w:rFonts w:hint="eastAsia" w:ascii="仿宋_GB2312" w:hAnsi="仿宋_GB2312" w:eastAsia="仿宋_GB2312" w:cs="仿宋_GB2312"/>
                <w:b w:val="0"/>
                <w:bCs w:val="0"/>
                <w:color w:val="000000"/>
                <w:sz w:val="21"/>
                <w:szCs w:val="21"/>
                <w:lang w:val="en-US" w:eastAsia="zh-CN"/>
              </w:rPr>
              <w:t>专项调查、年度国土变更调查等工作，成果上报省厅并通过省级核查。</w:t>
            </w:r>
          </w:p>
          <w:p w14:paraId="0077F09F">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531156F6">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（三）科学配置要素，保障经济发展。</w:t>
            </w:r>
          </w:p>
          <w:p w14:paraId="79E49A34">
            <w:pPr>
              <w:numPr>
                <w:ilvl w:val="0"/>
                <w:numId w:val="0"/>
              </w:numPr>
              <w:autoSpaceDN w:val="0"/>
              <w:spacing w:line="320" w:lineRule="exact"/>
              <w:ind w:firstLine="211"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eastAsia="仿宋_GB2312"/>
                <w:b/>
                <w:bCs/>
                <w:sz w:val="21"/>
                <w:szCs w:val="21"/>
                <w:lang w:val="en-US" w:eastAsia="zh-CN"/>
              </w:rPr>
              <w:t>1</w:t>
            </w:r>
            <w:r>
              <w:rPr>
                <w:rFonts w:hint="eastAsia" w:ascii="仿宋_GB2312" w:hAnsi="仿宋_GB2312" w:eastAsia="仿宋_GB2312" w:cs="仿宋_GB2312"/>
                <w:color w:val="000000"/>
                <w:sz w:val="21"/>
                <w:szCs w:val="21"/>
                <w:lang w:val="en-US" w:eastAsia="zh-CN"/>
              </w:rPr>
              <w:t>、强化土地要素保障。落实“限期供地”“净地出让”，己内酰胺、市中心医院等一大批重大项目顺利落地，截至12月底，全市清零验收121个土地依法征收项目，其中市中心城区清零验收65个；全市新增建设用地项目或批次161个991.7公顷，完成建设用地供应1099宗2811.02公顷，实现土地价款282.62亿元，价款同比增长72.87%，追缴往年欠缴土地出让金12.32亿元。</w:t>
            </w:r>
          </w:p>
          <w:p w14:paraId="4F337EBA">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持续优化营商环境。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14:paraId="48F864B2">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落实集约节约用地。深入挖潜、盘活存量，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14:paraId="5113C69C">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14:paraId="7307D0E8">
            <w:pPr>
              <w:autoSpaceDN w:val="0"/>
              <w:spacing w:line="320" w:lineRule="exact"/>
              <w:ind w:firstLine="422"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（四）聚焦民生福祉，维护群众权益</w:t>
            </w:r>
            <w:r>
              <w:rPr>
                <w:rFonts w:hint="eastAsia" w:ascii="仿宋_GB2312" w:hAnsi="仿宋_GB2312" w:eastAsia="仿宋_GB2312" w:cs="仿宋_GB2312"/>
                <w:color w:val="000000"/>
                <w:sz w:val="21"/>
                <w:szCs w:val="21"/>
                <w:lang w:val="en-US" w:eastAsia="zh-CN"/>
              </w:rPr>
              <w:t>。</w:t>
            </w:r>
          </w:p>
          <w:p w14:paraId="65A99C62">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1、扎实开展地灾防治。积极开展防灾避险知识科普宣传和综合演练，全市共举办应急避险演练41次；坚持人防技防相结合，成功避险2起，持续保持地灾隐患点“零死亡”。</w:t>
            </w:r>
          </w:p>
          <w:p w14:paraId="0D42E15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14:paraId="53D1B24C">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14:paraId="747D9C1A">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14:paraId="2506EBB4">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76200BE0">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（五）强化基础支撑，提升软硬实力。</w:t>
            </w:r>
          </w:p>
          <w:p w14:paraId="4BA8F3B8">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深化机构改革。顺利推进南湖、经开、临港职权下放，市规划设计院成功改制为市规划勘测设计院有限公司，“三中心一支队”改革除支队外已完成三定方案批复和人员配置，做到了“思想不乱、队伍不散、工作不断”。</w:t>
            </w:r>
          </w:p>
          <w:p w14:paraId="1D08FD5C">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强化人才培养。选拔任用干部8人，岗位交流干部11人，职级晋升13人，其中90后干部2名，向市委组织部推荐正处实职干部2名、副处实职干部3名。争取了省委985硕士选调生2名，遴选公务员3名，通过“四海揽才”面向高校引入硕士研究生1名。共完成各类调训、培训任务208人次。</w:t>
            </w:r>
          </w:p>
          <w:p w14:paraId="6ABEF186">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3、推进信息化建设。推进市县一体化智慧岳阳时空信息云平台应用。全面更换国产电脑，完成局政务平台综合办公及审批系统业务流程改造和国产化适配。</w:t>
            </w:r>
          </w:p>
          <w:p w14:paraId="22652157">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3C8A7615">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3192E795">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B1F92F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D3FB55D">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抓实信访维稳。认真做好了重要会议期间信访维稳工作，完成市级信访积案“百日攻坚”4件，全年接待群众来信来访84件480余人次，办理国家信访局、省厅、市信访局交办转办件42件，处置网络舆情45件，办理建议提案37件。</w:t>
            </w:r>
          </w:p>
          <w:p w14:paraId="14A09DBF">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14:paraId="723123A4">
            <w:pPr>
              <w:autoSpaceDN w:val="0"/>
              <w:spacing w:line="320" w:lineRule="exact"/>
              <w:ind w:firstLine="422"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（六）坚持党建引领，筑牢廉洁底线</w:t>
            </w:r>
            <w:r>
              <w:rPr>
                <w:rFonts w:hint="eastAsia" w:ascii="仿宋_GB2312" w:hAnsi="仿宋_GB2312" w:eastAsia="仿宋_GB2312" w:cs="仿宋_GB2312"/>
                <w:color w:val="000000"/>
                <w:sz w:val="21"/>
                <w:szCs w:val="21"/>
                <w:lang w:val="en-US" w:eastAsia="zh-CN"/>
              </w:rPr>
              <w:t>。</w:t>
            </w:r>
          </w:p>
          <w:p w14:paraId="2547B39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1、站稳政治立场。深入贯彻落实十九届五中、六中全会、省第十二次党代会和市第八次党代会精神，扎实开展党史学习教育</w:t>
            </w:r>
            <w:bookmarkStart w:id="0" w:name="_GoBack"/>
            <w:bookmarkEnd w:id="0"/>
            <w:r>
              <w:rPr>
                <w:rFonts w:hint="eastAsia" w:ascii="仿宋_GB2312" w:hAnsi="仿宋_GB2312" w:eastAsia="仿宋_GB2312" w:cs="仿宋_GB2312"/>
                <w:color w:val="000000"/>
                <w:sz w:val="21"/>
                <w:szCs w:val="21"/>
                <w:lang w:val="en-US" w:eastAsia="zh-CN"/>
              </w:rPr>
              <w:t>，组织党组中心组学习18次。狠抓市委巡察反馈问题整改，全部整改到位。</w:t>
            </w:r>
          </w:p>
          <w:p w14:paraId="21867AB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巩固基层党建。严格落实“三会一课”制度，积极开展“主题党日”活动，扎实推进“我为群众办实事”实践活动。组织开展“革命英雄在我心中”“红色故事”微宣讲比赛活动等一系列庆祝建党100周年活动，颁发“光荣在党50年”纪念章8枚，评选表彰“一先两优”。</w:t>
            </w:r>
          </w:p>
          <w:p w14:paraId="50F0F30D">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狠抓意识形态。完善《岳阳市自然资源和规划局落实意识形态工作责任制》，健全意识形态工作队伍建设。加强了网络舆论管控，积极开展风险矛盾化解。强化宣传阵地建设，及时清理解散2个“僵尸”QQ工作群，开展重要节点宣传教育活动，推动“学习强国”平台深化应用。</w:t>
            </w:r>
          </w:p>
          <w:p w14:paraId="1BFFB49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5BE1949E">
            <w:pPr>
              <w:autoSpaceDN w:val="0"/>
              <w:spacing w:line="320" w:lineRule="exact"/>
              <w:ind w:firstLine="420" w:firstLineChars="200"/>
              <w:jc w:val="left"/>
              <w:textAlignment w:val="center"/>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1"/>
                <w:szCs w:val="21"/>
                <w:lang w:val="en-US" w:eastAsia="zh-CN"/>
              </w:rPr>
              <w:t>4、加强廉政建设。切实履行党风廉政建设主体责任和“一岗双责”，制定《2021年落实党风廉政建设责任制工作任务和分工意见》《2021年党风廉政建设和反腐败工作要点》。注重抓早抓小、提醒教育，开展廉政谈话18人次，观看廉政电视教育片2次。认真落实《整治违规吃喝隐形变异“十严禁”》要求，紧盯节假日关键时间节点，紧盯审批服务、公务接待、公车管理等重要环节，驰而不息纠“四风”。严格执纪问责，给予政务处分2人，党纪处分2人。</w:t>
            </w:r>
          </w:p>
        </w:tc>
      </w:tr>
      <w:tr w14:paraId="7751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5" w:hRule="atLeast"/>
          <w:jc w:val="center"/>
        </w:trPr>
        <w:tc>
          <w:tcPr>
            <w:tcW w:w="541" w:type="dxa"/>
            <w:vMerge w:val="continue"/>
            <w:noWrap w:val="0"/>
            <w:vAlign w:val="center"/>
          </w:tcPr>
          <w:p w14:paraId="758D091A">
            <w:pPr>
              <w:spacing w:line="320" w:lineRule="exact"/>
              <w:rPr>
                <w:rFonts w:hint="eastAsia" w:ascii="仿宋_GB2312" w:hAnsi="仿宋_GB2312" w:eastAsia="仿宋_GB2312" w:cs="仿宋_GB2312"/>
                <w:sz w:val="24"/>
              </w:rPr>
            </w:pPr>
          </w:p>
        </w:tc>
        <w:tc>
          <w:tcPr>
            <w:tcW w:w="317" w:type="dxa"/>
            <w:vMerge w:val="continue"/>
            <w:noWrap w:val="0"/>
            <w:vAlign w:val="center"/>
          </w:tcPr>
          <w:p w14:paraId="0E3B8E28">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14:paraId="69DF723C">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质</w:t>
            </w:r>
          </w:p>
          <w:p w14:paraId="454138C0">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p>
          <w:p w14:paraId="74C6333D">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4BF9A1F4">
            <w:pPr>
              <w:autoSpaceDN w:val="0"/>
              <w:spacing w:line="320" w:lineRule="exact"/>
              <w:jc w:val="both"/>
              <w:textAlignment w:val="center"/>
              <w:rPr>
                <w:rFonts w:hint="eastAsia" w:ascii="仿宋_GB2312" w:hAnsi="仿宋_GB2312" w:eastAsia="仿宋_GB2312" w:cs="仿宋_GB2312"/>
                <w:b/>
                <w:bCs/>
                <w:color w:val="000000"/>
                <w:sz w:val="21"/>
                <w:szCs w:val="21"/>
              </w:rPr>
            </w:pPr>
          </w:p>
          <w:p w14:paraId="6224433E">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21A842DC">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6F536FD7">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val="en-US" w:eastAsia="zh-CN"/>
              </w:rPr>
              <w:t xml:space="preserve"> </w:t>
            </w:r>
            <w:r>
              <w:rPr>
                <w:rFonts w:hint="eastAsia" w:ascii="仿宋_GB2312" w:hAnsi="仿宋_GB2312" w:eastAsia="仿宋_GB2312" w:cs="仿宋_GB2312"/>
                <w:b/>
                <w:bCs/>
                <w:color w:val="000000"/>
                <w:sz w:val="21"/>
                <w:szCs w:val="21"/>
              </w:rPr>
              <w:t>标</w:t>
            </w:r>
          </w:p>
        </w:tc>
        <w:tc>
          <w:tcPr>
            <w:tcW w:w="3592" w:type="dxa"/>
            <w:gridSpan w:val="9"/>
            <w:noWrap w:val="0"/>
            <w:vAlign w:val="top"/>
          </w:tcPr>
          <w:p w14:paraId="05108313">
            <w:pPr>
              <w:numPr>
                <w:ilvl w:val="0"/>
                <w:numId w:val="0"/>
              </w:num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p>
          <w:p w14:paraId="2F066CD6">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（一）耕地保有量达到省标准</w:t>
            </w:r>
            <w:r>
              <w:rPr>
                <w:rFonts w:hint="eastAsia" w:ascii="仿宋_GB2312" w:hAnsi="仿宋_GB2312" w:eastAsia="仿宋_GB2312" w:cs="仿宋_GB2312"/>
                <w:b w:val="0"/>
                <w:bCs w:val="0"/>
                <w:color w:val="000000"/>
                <w:sz w:val="21"/>
                <w:szCs w:val="21"/>
                <w:lang w:val="en-US" w:eastAsia="zh-CN"/>
              </w:rPr>
              <w:t>。</w:t>
            </w:r>
          </w:p>
          <w:p w14:paraId="4E33C830">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2392BAB3">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0A02DF78">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6F7BE6E3">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4043E6AE">
            <w:pPr>
              <w:numPr>
                <w:ilvl w:val="0"/>
                <w:numId w:val="0"/>
              </w:num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w:t>
            </w:r>
            <w:r>
              <w:rPr>
                <w:rFonts w:hint="eastAsia" w:ascii="仿宋_GB2312" w:hAnsi="仿宋_GB2312" w:eastAsia="仿宋_GB2312" w:cs="仿宋_GB2312"/>
                <w:b/>
                <w:bCs/>
                <w:color w:val="000000"/>
                <w:sz w:val="21"/>
                <w:szCs w:val="21"/>
                <w:lang w:val="en-US" w:eastAsia="zh-CN"/>
              </w:rPr>
              <w:t>编制国土空间规划成果通过上级部门及专家审查通过。</w:t>
            </w:r>
          </w:p>
          <w:p w14:paraId="109FF88F">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7C661E00">
            <w:pPr>
              <w:autoSpaceDN w:val="0"/>
              <w:spacing w:line="32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（三）完成督查整改问题100%，违建别墅问题无新增。</w:t>
            </w:r>
          </w:p>
          <w:p w14:paraId="5C091B68">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7DFAA34D">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w:t>
            </w:r>
            <w:r>
              <w:rPr>
                <w:rFonts w:hint="eastAsia" w:ascii="仿宋_GB2312" w:hAnsi="仿宋_GB2312" w:eastAsia="仿宋_GB2312" w:cs="仿宋_GB2312"/>
                <w:b/>
                <w:bCs/>
                <w:color w:val="000000"/>
                <w:sz w:val="21"/>
                <w:szCs w:val="21"/>
                <w:lang w:val="en-US" w:eastAsia="zh-CN"/>
              </w:rPr>
              <w:t>四）持续保持地质灾害隐患点“零死亡”“最多跑一次”改革落实到位，优化营商环境专项巡察整改率100%</w:t>
            </w:r>
            <w:r>
              <w:rPr>
                <w:rFonts w:hint="eastAsia" w:ascii="仿宋_GB2312" w:hAnsi="仿宋_GB2312" w:eastAsia="仿宋_GB2312" w:cs="仿宋_GB2312"/>
                <w:b w:val="0"/>
                <w:bCs w:val="0"/>
                <w:color w:val="000000"/>
                <w:sz w:val="21"/>
                <w:szCs w:val="21"/>
                <w:lang w:val="en-US" w:eastAsia="zh-CN"/>
              </w:rPr>
              <w:t>。</w:t>
            </w:r>
          </w:p>
          <w:p w14:paraId="68408CB4">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47E9E501">
            <w:p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（五）违法行为查处整改率合格，上级部门约谈和问责为0次</w:t>
            </w:r>
          </w:p>
          <w:p w14:paraId="45B82077">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7E4D573F">
            <w:pPr>
              <w:autoSpaceDN w:val="0"/>
              <w:spacing w:line="32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（六）重点项目跟踪服务落地率100%</w:t>
            </w:r>
            <w:r>
              <w:rPr>
                <w:rFonts w:hint="eastAsia" w:ascii="仿宋_GB2312" w:hAnsi="仿宋_GB2312" w:eastAsia="仿宋_GB2312" w:cs="仿宋_GB2312"/>
                <w:b w:val="0"/>
                <w:bCs w:val="0"/>
                <w:color w:val="000000"/>
                <w:sz w:val="21"/>
                <w:szCs w:val="21"/>
                <w:lang w:val="en-US" w:eastAsia="zh-CN"/>
              </w:rPr>
              <w:t>。</w:t>
            </w:r>
          </w:p>
        </w:tc>
        <w:tc>
          <w:tcPr>
            <w:tcW w:w="5041" w:type="dxa"/>
            <w:gridSpan w:val="13"/>
            <w:noWrap w:val="0"/>
            <w:vAlign w:val="center"/>
          </w:tcPr>
          <w:p w14:paraId="1FFD6BB0">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6CDB92E8">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w:t>
            </w:r>
            <w:r>
              <w:rPr>
                <w:rFonts w:hint="eastAsia" w:ascii="仿宋_GB2312" w:hAnsi="仿宋_GB2312" w:eastAsia="仿宋_GB2312" w:cs="仿宋_GB2312"/>
                <w:color w:val="000000"/>
                <w:sz w:val="21"/>
                <w:szCs w:val="21"/>
                <w:lang w:val="en-US" w:eastAsia="zh-CN"/>
              </w:rPr>
              <w:t>省厅确认农用地开发项目40个707.83公顷，确认增减挂项目4批次99.74公顷，确保了新增耕田一亩不假，全市耕地面积523.36亩，是全省上一轮规划唯一耕地保有量达标的市。我市耕地保护工作获得省政府真抓实干督查激励先进。</w:t>
            </w:r>
          </w:p>
          <w:p w14:paraId="7CF7582A">
            <w:pPr>
              <w:autoSpaceDN w:val="0"/>
              <w:spacing w:line="320" w:lineRule="exact"/>
              <w:jc w:val="left"/>
              <w:textAlignment w:val="center"/>
              <w:rPr>
                <w:rFonts w:hint="default"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w:t>
            </w:r>
            <w:r>
              <w:rPr>
                <w:rFonts w:hint="eastAsia" w:ascii="仿宋_GB2312" w:hAnsi="仿宋_GB2312" w:eastAsia="仿宋_GB2312" w:cs="仿宋_GB2312"/>
                <w:b w:val="0"/>
                <w:bCs w:val="0"/>
                <w:color w:val="000000"/>
                <w:sz w:val="21"/>
                <w:szCs w:val="21"/>
                <w:lang w:val="en-US" w:eastAsia="zh-CN"/>
              </w:rPr>
              <w:t>岳阳市</w:t>
            </w:r>
            <w:r>
              <w:rPr>
                <w:rFonts w:hint="eastAsia" w:ascii="仿宋_GB2312" w:hAnsi="仿宋_GB2312" w:eastAsia="仿宋_GB2312" w:cs="仿宋_GB2312"/>
                <w:color w:val="000000"/>
                <w:sz w:val="21"/>
                <w:szCs w:val="21"/>
                <w:lang w:val="en-US" w:eastAsia="zh-CN"/>
              </w:rPr>
              <w:t>获得全省国土空间优秀案例一等奖1个、二等奖1个、三等奖1个、优胜奖2个。、</w:t>
            </w:r>
          </w:p>
          <w:p w14:paraId="66378454">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26B0FCF1">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w:t>
            </w:r>
            <w:r>
              <w:rPr>
                <w:rFonts w:hint="eastAsia" w:ascii="仿宋_GB2312" w:hAnsi="仿宋_GB2312" w:eastAsia="仿宋_GB2312" w:cs="仿宋_GB2312"/>
                <w:b w:val="0"/>
                <w:bCs w:val="0"/>
                <w:color w:val="000000"/>
                <w:sz w:val="21"/>
                <w:szCs w:val="21"/>
                <w:lang w:val="en-US" w:eastAsia="zh-CN"/>
              </w:rPr>
              <w:t>完成督查整改问题100%，违建别墅问题无新增。</w:t>
            </w:r>
          </w:p>
          <w:p w14:paraId="15B02DD5">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7DFE848B">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425A6425">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w:t>
            </w:r>
            <w:r>
              <w:rPr>
                <w:rFonts w:hint="eastAsia" w:ascii="仿宋_GB2312" w:hAnsi="仿宋_GB2312" w:eastAsia="仿宋_GB2312" w:cs="仿宋_GB2312"/>
                <w:color w:val="000000"/>
                <w:sz w:val="21"/>
                <w:szCs w:val="21"/>
                <w:lang w:val="en-US" w:eastAsia="zh-CN"/>
              </w:rPr>
              <w:t>地质灾害隐患点持续保持“零死亡”，“最多跑一次”均落实到位，优化营商环境专项巡察整改，18项整改问题，销号17项，建议移交1项，整改率100%</w:t>
            </w:r>
          </w:p>
          <w:p w14:paraId="2A963C6A">
            <w:pPr>
              <w:autoSpaceDN w:val="0"/>
              <w:spacing w:line="320" w:lineRule="exact"/>
              <w:jc w:val="both"/>
              <w:textAlignment w:val="center"/>
              <w:rPr>
                <w:rFonts w:hint="eastAsia" w:ascii="仿宋_GB2312" w:hAnsi="仿宋_GB2312" w:eastAsia="仿宋_GB2312" w:cs="仿宋_GB2312"/>
                <w:color w:val="000000"/>
                <w:sz w:val="21"/>
                <w:szCs w:val="21"/>
                <w:lang w:val="en-US" w:eastAsia="zh-CN"/>
              </w:rPr>
            </w:pPr>
          </w:p>
          <w:p w14:paraId="5855CA8A">
            <w:pPr>
              <w:autoSpaceDN w:val="0"/>
              <w:spacing w:line="320" w:lineRule="exact"/>
              <w:jc w:val="both"/>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（五）</w:t>
            </w:r>
            <w:r>
              <w:rPr>
                <w:rFonts w:hint="eastAsia" w:ascii="仿宋_GB2312" w:hAnsi="仿宋_GB2312" w:eastAsia="仿宋_GB2312" w:cs="仿宋_GB2312"/>
                <w:b w:val="0"/>
                <w:bCs w:val="0"/>
                <w:color w:val="000000"/>
                <w:sz w:val="21"/>
                <w:szCs w:val="21"/>
                <w:lang w:val="en-US" w:eastAsia="zh-CN"/>
              </w:rPr>
              <w:t>违</w:t>
            </w:r>
            <w:r>
              <w:rPr>
                <w:rFonts w:hint="eastAsia" w:ascii="仿宋_GB2312" w:hAnsi="仿宋_GB2312" w:eastAsia="仿宋_GB2312" w:cs="仿宋_GB2312"/>
                <w:color w:val="000000"/>
                <w:sz w:val="21"/>
                <w:szCs w:val="21"/>
                <w:lang w:val="en-US" w:eastAsia="zh-CN"/>
              </w:rPr>
              <w:t>法行为查处整改率100%。</w:t>
            </w:r>
            <w:r>
              <w:rPr>
                <w:rFonts w:hint="eastAsia" w:ascii="仿宋_GB2312" w:hAnsi="仿宋_GB2312" w:eastAsia="仿宋_GB2312" w:cs="仿宋_GB2312"/>
                <w:b w:val="0"/>
                <w:bCs w:val="0"/>
                <w:color w:val="000000"/>
                <w:sz w:val="21"/>
                <w:szCs w:val="21"/>
                <w:lang w:val="en-US" w:eastAsia="zh-CN"/>
              </w:rPr>
              <w:t>，上级部门约谈和问责为0次，</w:t>
            </w:r>
            <w:r>
              <w:rPr>
                <w:rFonts w:hint="eastAsia" w:ascii="仿宋_GB2312" w:hAnsi="仿宋_GB2312" w:eastAsia="仿宋_GB2312" w:cs="仿宋_GB2312"/>
                <w:color w:val="000000"/>
                <w:sz w:val="21"/>
                <w:szCs w:val="21"/>
                <w:lang w:val="en-US" w:eastAsia="zh-CN"/>
              </w:rPr>
              <w:t>本年度未出现被自然资源部或省政府约谈或问责事项。</w:t>
            </w:r>
          </w:p>
          <w:p w14:paraId="22507527">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w:t>
            </w:r>
            <w:r>
              <w:rPr>
                <w:rFonts w:hint="eastAsia" w:ascii="仿宋_GB2312" w:hAnsi="仿宋_GB2312" w:eastAsia="仿宋_GB2312" w:cs="仿宋_GB2312"/>
                <w:color w:val="000000"/>
                <w:sz w:val="21"/>
                <w:szCs w:val="21"/>
                <w:lang w:val="en-US" w:eastAsia="zh-CN"/>
              </w:rPr>
              <w:t>省市重点项目落地率100%，有效解决了项目“落地难、落地慢”的问题。</w:t>
            </w:r>
          </w:p>
        </w:tc>
      </w:tr>
      <w:tr w14:paraId="4076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9" w:hRule="atLeast"/>
          <w:jc w:val="center"/>
        </w:trPr>
        <w:tc>
          <w:tcPr>
            <w:tcW w:w="541" w:type="dxa"/>
            <w:vMerge w:val="continue"/>
            <w:noWrap w:val="0"/>
            <w:vAlign w:val="center"/>
          </w:tcPr>
          <w:p w14:paraId="40B97C99">
            <w:pPr>
              <w:spacing w:line="320" w:lineRule="exact"/>
              <w:rPr>
                <w:rFonts w:hint="eastAsia" w:ascii="仿宋_GB2312" w:hAnsi="仿宋_GB2312" w:eastAsia="仿宋_GB2312" w:cs="仿宋_GB2312"/>
                <w:sz w:val="24"/>
              </w:rPr>
            </w:pPr>
          </w:p>
        </w:tc>
        <w:tc>
          <w:tcPr>
            <w:tcW w:w="317" w:type="dxa"/>
            <w:vMerge w:val="continue"/>
            <w:noWrap w:val="0"/>
            <w:vAlign w:val="center"/>
          </w:tcPr>
          <w:p w14:paraId="6A9B548A">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14:paraId="5DC06656">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时效指标</w:t>
            </w:r>
          </w:p>
        </w:tc>
        <w:tc>
          <w:tcPr>
            <w:tcW w:w="3592" w:type="dxa"/>
            <w:gridSpan w:val="9"/>
            <w:noWrap w:val="0"/>
            <w:vAlign w:val="center"/>
          </w:tcPr>
          <w:p w14:paraId="24292038">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（一）优化营商环境，审批日期缩短10个工作日。</w:t>
            </w:r>
            <w:r>
              <w:rPr>
                <w:rFonts w:hint="eastAsia" w:ascii="仿宋_GB2312" w:hAnsi="仿宋_GB2312" w:eastAsia="仿宋_GB2312" w:cs="仿宋_GB2312"/>
                <w:color w:val="000000"/>
                <w:sz w:val="21"/>
                <w:szCs w:val="21"/>
                <w:lang w:val="en-US" w:eastAsia="zh-CN"/>
              </w:rPr>
              <w:t>不动产登记60分钟出证。</w:t>
            </w:r>
          </w:p>
          <w:p w14:paraId="599D9E78">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（二）所有来信来访及时答复</w:t>
            </w:r>
          </w:p>
          <w:p w14:paraId="1B387F42">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（三）在规定时限内腾地、供地和完成整改、销号等任务</w:t>
            </w:r>
          </w:p>
        </w:tc>
        <w:tc>
          <w:tcPr>
            <w:tcW w:w="5041" w:type="dxa"/>
            <w:gridSpan w:val="13"/>
            <w:noWrap w:val="0"/>
            <w:vAlign w:val="center"/>
          </w:tcPr>
          <w:p w14:paraId="05F4F67F">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w:t>
            </w:r>
            <w:r>
              <w:rPr>
                <w:rFonts w:hint="eastAsia" w:ascii="仿宋_GB2312" w:hAnsi="仿宋_GB2312" w:eastAsia="仿宋_GB2312" w:cs="仿宋_GB2312"/>
                <w:color w:val="000000"/>
                <w:sz w:val="21"/>
                <w:szCs w:val="21"/>
                <w:lang w:val="en-US" w:eastAsia="zh-CN"/>
              </w:rPr>
              <w:t>规划和用地审批从原来的40个工作日缩短至10个工作日，不动产登记并成功试点“交房即交证”“交地即交证”。</w:t>
            </w:r>
          </w:p>
          <w:p w14:paraId="2DD6DB89">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w:t>
            </w:r>
            <w:r>
              <w:rPr>
                <w:rFonts w:hint="eastAsia" w:ascii="仿宋_GB2312" w:hAnsi="仿宋_GB2312" w:eastAsia="仿宋_GB2312" w:cs="仿宋_GB2312"/>
                <w:color w:val="000000"/>
                <w:sz w:val="21"/>
                <w:szCs w:val="21"/>
                <w:lang w:val="en-US" w:eastAsia="zh-CN"/>
              </w:rPr>
              <w:t>来信来访在规定期限内及时答复</w:t>
            </w:r>
          </w:p>
          <w:p w14:paraId="30F73D89">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w:t>
            </w:r>
            <w:r>
              <w:rPr>
                <w:rFonts w:hint="eastAsia" w:ascii="仿宋_GB2312" w:hAnsi="仿宋_GB2312" w:eastAsia="仿宋_GB2312" w:cs="仿宋_GB2312"/>
                <w:color w:val="000000"/>
                <w:sz w:val="21"/>
                <w:szCs w:val="21"/>
                <w:lang w:val="en-US" w:eastAsia="zh-CN"/>
              </w:rPr>
              <w:t>各项任务在规定期限内完成。</w:t>
            </w:r>
          </w:p>
        </w:tc>
      </w:tr>
      <w:tr w14:paraId="72FD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1" w:hRule="atLeast"/>
          <w:jc w:val="center"/>
        </w:trPr>
        <w:tc>
          <w:tcPr>
            <w:tcW w:w="541" w:type="dxa"/>
            <w:vMerge w:val="continue"/>
            <w:noWrap w:val="0"/>
            <w:vAlign w:val="center"/>
          </w:tcPr>
          <w:p w14:paraId="06D8FBD9">
            <w:pPr>
              <w:spacing w:line="320" w:lineRule="exact"/>
              <w:rPr>
                <w:rFonts w:hint="eastAsia" w:ascii="仿宋_GB2312" w:hAnsi="仿宋_GB2312" w:eastAsia="仿宋_GB2312" w:cs="仿宋_GB2312"/>
                <w:sz w:val="24"/>
              </w:rPr>
            </w:pPr>
          </w:p>
        </w:tc>
        <w:tc>
          <w:tcPr>
            <w:tcW w:w="317" w:type="dxa"/>
            <w:vMerge w:val="continue"/>
            <w:noWrap w:val="0"/>
            <w:vAlign w:val="center"/>
          </w:tcPr>
          <w:p w14:paraId="22DD9CDD">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14:paraId="25075D13">
            <w:pPr>
              <w:autoSpaceDN w:val="0"/>
              <w:spacing w:line="320" w:lineRule="exact"/>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成本指标</w:t>
            </w:r>
          </w:p>
        </w:tc>
        <w:tc>
          <w:tcPr>
            <w:tcW w:w="3592" w:type="dxa"/>
            <w:gridSpan w:val="9"/>
            <w:noWrap w:val="0"/>
            <w:vAlign w:val="center"/>
          </w:tcPr>
          <w:p w14:paraId="44EFA184">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lang w:val="en-US" w:eastAsia="zh-CN"/>
              </w:rPr>
              <w:t>（</w:t>
            </w:r>
            <w:r>
              <w:rPr>
                <w:rFonts w:hint="eastAsia" w:ascii="仿宋_GB2312" w:hAnsi="仿宋_GB2312" w:eastAsia="仿宋_GB2312" w:cs="仿宋_GB2312"/>
                <w:b w:val="0"/>
                <w:bCs w:val="0"/>
                <w:color w:val="000000"/>
                <w:sz w:val="21"/>
                <w:szCs w:val="21"/>
                <w:lang w:val="en-US" w:eastAsia="zh-CN"/>
              </w:rPr>
              <w:t>一）全度预算资金控制额</w:t>
            </w:r>
          </w:p>
          <w:p w14:paraId="38034C5B">
            <w:pPr>
              <w:autoSpaceDN w:val="0"/>
              <w:spacing w:line="320" w:lineRule="exact"/>
              <w:jc w:val="left"/>
              <w:textAlignment w:val="center"/>
              <w:rPr>
                <w:rFonts w:hint="default"/>
                <w:lang w:val="en-US" w:eastAsia="zh-CN"/>
              </w:rPr>
            </w:pPr>
            <w:r>
              <w:rPr>
                <w:rFonts w:hint="eastAsia" w:ascii="仿宋_GB2312" w:hAnsi="仿宋_GB2312" w:eastAsia="仿宋_GB2312" w:cs="仿宋_GB2312"/>
                <w:b w:val="0"/>
                <w:bCs w:val="0"/>
                <w:color w:val="000000"/>
                <w:sz w:val="21"/>
                <w:szCs w:val="21"/>
                <w:lang w:val="en-US" w:eastAsia="zh-CN"/>
              </w:rPr>
              <w:t>（二）项目资金控制额</w:t>
            </w:r>
          </w:p>
        </w:tc>
        <w:tc>
          <w:tcPr>
            <w:tcW w:w="5041" w:type="dxa"/>
            <w:gridSpan w:val="13"/>
            <w:noWrap w:val="0"/>
            <w:vAlign w:val="center"/>
          </w:tcPr>
          <w:p w14:paraId="6DCBDEEF">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（一）基本支出控制在预算内</w:t>
            </w:r>
          </w:p>
          <w:p w14:paraId="2A86B231">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（二）项目资金支出控制在合同价款内</w:t>
            </w:r>
          </w:p>
          <w:p w14:paraId="5F6C0F0D">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p>
        </w:tc>
      </w:tr>
      <w:tr w14:paraId="217FA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2" w:hRule="atLeast"/>
          <w:jc w:val="center"/>
        </w:trPr>
        <w:tc>
          <w:tcPr>
            <w:tcW w:w="541" w:type="dxa"/>
            <w:vMerge w:val="continue"/>
            <w:noWrap w:val="0"/>
            <w:vAlign w:val="center"/>
          </w:tcPr>
          <w:p w14:paraId="72C49D1B">
            <w:pPr>
              <w:spacing w:line="320" w:lineRule="exact"/>
              <w:rPr>
                <w:rFonts w:hint="eastAsia" w:ascii="仿宋_GB2312" w:hAnsi="仿宋_GB2312" w:eastAsia="仿宋_GB2312" w:cs="仿宋_GB2312"/>
                <w:sz w:val="24"/>
              </w:rPr>
            </w:pPr>
          </w:p>
        </w:tc>
        <w:tc>
          <w:tcPr>
            <w:tcW w:w="317" w:type="dxa"/>
            <w:vMerge w:val="restart"/>
            <w:noWrap w:val="0"/>
            <w:vAlign w:val="center"/>
          </w:tcPr>
          <w:p w14:paraId="4751C0EC">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效益目标</w:t>
            </w:r>
          </w:p>
          <w:p w14:paraId="150CF40F">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（预期实现的效益</w:t>
            </w:r>
            <w:r>
              <w:rPr>
                <w:rFonts w:hint="eastAsia" w:ascii="仿宋_GB2312" w:hAnsi="仿宋_GB2312" w:eastAsia="仿宋_GB2312" w:cs="仿宋_GB2312"/>
                <w:color w:val="000000"/>
                <w:sz w:val="21"/>
                <w:szCs w:val="21"/>
              </w:rPr>
              <w:t>）</w:t>
            </w:r>
          </w:p>
        </w:tc>
        <w:tc>
          <w:tcPr>
            <w:tcW w:w="483" w:type="dxa"/>
            <w:gridSpan w:val="2"/>
            <w:noWrap w:val="0"/>
            <w:vAlign w:val="center"/>
          </w:tcPr>
          <w:p w14:paraId="7D599C80">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社会效益</w:t>
            </w:r>
          </w:p>
        </w:tc>
        <w:tc>
          <w:tcPr>
            <w:tcW w:w="3592" w:type="dxa"/>
            <w:gridSpan w:val="9"/>
            <w:noWrap w:val="0"/>
            <w:vAlign w:val="center"/>
          </w:tcPr>
          <w:p w14:paraId="415EF4CE">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（一）规划编制成果助力推动了乡村振兴，为未来城市发展提供战略引领。</w:t>
            </w:r>
          </w:p>
          <w:p w14:paraId="31EC446E">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3C5A136">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F51DC3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3B13A3F9">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3F91F0D3">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7DCF3EBC">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2E06241">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111D9589">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highlight w:val="none"/>
                <w:lang w:val="en-US" w:eastAsia="zh-CN"/>
              </w:rPr>
              <w:t>（二）</w:t>
            </w:r>
            <w:r>
              <w:rPr>
                <w:rFonts w:hint="eastAsia" w:ascii="仿宋_GB2312" w:hAnsi="仿宋_GB2312" w:eastAsia="仿宋_GB2312" w:cs="仿宋_GB2312"/>
                <w:b w:val="0"/>
                <w:bCs w:val="0"/>
                <w:color w:val="000000"/>
                <w:sz w:val="21"/>
                <w:szCs w:val="21"/>
                <w:lang w:val="en-US" w:eastAsia="zh-CN"/>
              </w:rPr>
              <w:t>盘活存量土地，提高土地开发利用水平</w:t>
            </w:r>
          </w:p>
          <w:p w14:paraId="4B50648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34814E5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00247D3F">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033016DD">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86DC9D9">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6709716A">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09F8CA3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（三）保障购房群众合法权益。</w:t>
            </w:r>
          </w:p>
          <w:p w14:paraId="58AC1BA7">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1E480AA4">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7A248666">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5D6522AF">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37CE5CBF">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（四）为老百姓提供合法合规、便民利民的不动产登记服务。</w:t>
            </w:r>
          </w:p>
          <w:p w14:paraId="361CCDBF">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724D2F43">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48A7EC96">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（五）切实维护和保障群众利益</w:t>
            </w:r>
          </w:p>
        </w:tc>
        <w:tc>
          <w:tcPr>
            <w:tcW w:w="5041" w:type="dxa"/>
            <w:gridSpan w:val="13"/>
            <w:noWrap w:val="0"/>
            <w:vAlign w:val="center"/>
          </w:tcPr>
          <w:p w14:paraId="47DBBAC6">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全面完成全市“多规合一”实用性村庄规划编制，经批准的村庄规划，作为核发乡村建设规划许可证的法定依据。在编制规划过程中注重保留特色、传承文化、提高质量，统筹城乡发展，原则上实现城镇开发边界外村庄规划应编尽编，有力助推乡村振兴。合理确定城市新增建设用地规模，为未来发展提供战略引领。同时，还要认真科学的做好规划编制过渡时期中重大产业项目的合理调规工作。</w:t>
            </w:r>
          </w:p>
          <w:p w14:paraId="0B124DE9">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推进土地要素市场化配置和二级市场平台建设，建立完善政府引导、市场参与的城镇低效用地再开发政策体系，推进自然资源节约集约示范县创建，探索总结节约集约用地好做法、好经验。落实闲置土地“三清单三行动”管理，加大批而未供、闲置土地处置力度，积极盘活存量土地，提高土地开发利用水平。</w:t>
            </w:r>
          </w:p>
          <w:p w14:paraId="731389DE">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7496C1F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全市87个房地产办证信访突出问题化解82个，化解率94.25%，各县市区均出台了《新建商品房“交房即交证”改革工作方案》，并选取了开发项目进行改革试点，做到了“交房即交证”改革工作全覆盖，保障购房群众合法权益。</w:t>
            </w:r>
          </w:p>
          <w:p w14:paraId="7EDFBA04">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（四）推进“互联网+不动产登记”，深化“一窗受理”“60分钟出证”，大力推广“交房即交证”改革，为老百姓提供合法合规、便民利民的不动产登记服务。</w:t>
            </w:r>
          </w:p>
          <w:p w14:paraId="18F5A75A">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260D01E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五）一是强化地质灾害防治。加强地灾隐患点排查，强化地灾监测预警，严格落实动态管理和定期通报，坚持和完善群测群防、值班值守、巡查排查、预警预报等工作制度，全面提升全系统地质灾害预警预报能力，切实提高农村群众地质灾害自我防范意识。</w:t>
            </w:r>
          </w:p>
          <w:p w14:paraId="113BC6F1">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p>
        </w:tc>
      </w:tr>
      <w:tr w14:paraId="2C0EA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6" w:hRule="atLeast"/>
          <w:jc w:val="center"/>
        </w:trPr>
        <w:tc>
          <w:tcPr>
            <w:tcW w:w="541" w:type="dxa"/>
            <w:vMerge w:val="continue"/>
            <w:noWrap w:val="0"/>
            <w:vAlign w:val="center"/>
          </w:tcPr>
          <w:p w14:paraId="52DBDE5B">
            <w:pPr>
              <w:spacing w:line="320" w:lineRule="exact"/>
              <w:rPr>
                <w:rFonts w:hint="eastAsia" w:ascii="仿宋_GB2312" w:hAnsi="仿宋_GB2312" w:eastAsia="仿宋_GB2312" w:cs="仿宋_GB2312"/>
                <w:sz w:val="24"/>
              </w:rPr>
            </w:pPr>
          </w:p>
        </w:tc>
        <w:tc>
          <w:tcPr>
            <w:tcW w:w="317" w:type="dxa"/>
            <w:vMerge w:val="continue"/>
            <w:noWrap w:val="0"/>
            <w:vAlign w:val="center"/>
          </w:tcPr>
          <w:p w14:paraId="68E6F271">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14:paraId="517391BB">
            <w:pPr>
              <w:autoSpaceDN w:val="0"/>
              <w:spacing w:line="320" w:lineRule="exact"/>
              <w:jc w:val="center"/>
              <w:textAlignment w:val="center"/>
              <w:rPr>
                <w:rFonts w:hint="eastAsia" w:ascii="仿宋_GB2312" w:hAnsi="仿宋_GB2312" w:eastAsia="仿宋_GB2312" w:cs="仿宋_GB2312"/>
                <w:b/>
                <w:bCs/>
                <w:color w:val="000000"/>
                <w:spacing w:val="-6"/>
                <w:sz w:val="21"/>
                <w:szCs w:val="21"/>
              </w:rPr>
            </w:pPr>
            <w:r>
              <w:rPr>
                <w:rFonts w:hint="eastAsia" w:ascii="仿宋_GB2312" w:hAnsi="仿宋_GB2312" w:eastAsia="仿宋_GB2312" w:cs="仿宋_GB2312"/>
                <w:b/>
                <w:bCs/>
                <w:color w:val="000000"/>
                <w:spacing w:val="-6"/>
                <w:sz w:val="21"/>
                <w:szCs w:val="21"/>
              </w:rPr>
              <w:t>经济效益</w:t>
            </w:r>
          </w:p>
        </w:tc>
        <w:tc>
          <w:tcPr>
            <w:tcW w:w="3592" w:type="dxa"/>
            <w:gridSpan w:val="9"/>
            <w:noWrap w:val="0"/>
            <w:vAlign w:val="center"/>
          </w:tcPr>
          <w:p w14:paraId="6D3EC8D7">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（一）土地收入支撑地方债务化解</w:t>
            </w:r>
          </w:p>
          <w:p w14:paraId="397E1A7C">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(二）追缴往年欠缴土地出让金</w:t>
            </w:r>
          </w:p>
          <w:p w14:paraId="1F17F0E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（三）实现非税收入任务17155万元.</w:t>
            </w:r>
          </w:p>
        </w:tc>
        <w:tc>
          <w:tcPr>
            <w:tcW w:w="5041" w:type="dxa"/>
            <w:gridSpan w:val="13"/>
            <w:noWrap w:val="0"/>
            <w:vAlign w:val="center"/>
          </w:tcPr>
          <w:p w14:paraId="1D8B794F">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（一）全市实现土地价款282.62亿元，价款同比增长72.87%,支撑地方债务化解资金</w:t>
            </w:r>
          </w:p>
          <w:p w14:paraId="072FDDFC">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（二）追缴往年欠缴土地出让金12.32亿元</w:t>
            </w:r>
          </w:p>
          <w:p w14:paraId="14D8B4F2">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（三）完成非税收入17155万元。</w:t>
            </w:r>
          </w:p>
        </w:tc>
      </w:tr>
      <w:tr w14:paraId="3C46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86" w:hRule="atLeast"/>
          <w:jc w:val="center"/>
        </w:trPr>
        <w:tc>
          <w:tcPr>
            <w:tcW w:w="541" w:type="dxa"/>
            <w:vMerge w:val="continue"/>
            <w:noWrap w:val="0"/>
            <w:vAlign w:val="center"/>
          </w:tcPr>
          <w:p w14:paraId="206A3B27">
            <w:pPr>
              <w:spacing w:line="320" w:lineRule="exact"/>
              <w:rPr>
                <w:rFonts w:hint="eastAsia" w:ascii="仿宋_GB2312" w:hAnsi="仿宋_GB2312" w:eastAsia="仿宋_GB2312" w:cs="仿宋_GB2312"/>
                <w:sz w:val="24"/>
              </w:rPr>
            </w:pPr>
          </w:p>
        </w:tc>
        <w:tc>
          <w:tcPr>
            <w:tcW w:w="317" w:type="dxa"/>
            <w:vMerge w:val="continue"/>
            <w:noWrap w:val="0"/>
            <w:vAlign w:val="center"/>
          </w:tcPr>
          <w:p w14:paraId="7700E48B">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14:paraId="5FDBF79E">
            <w:pPr>
              <w:autoSpaceDN w:val="0"/>
              <w:spacing w:line="320" w:lineRule="exact"/>
              <w:jc w:val="center"/>
              <w:textAlignment w:val="center"/>
              <w:rPr>
                <w:rFonts w:hint="eastAsia" w:ascii="仿宋_GB2312" w:hAnsi="仿宋_GB2312" w:eastAsia="仿宋_GB2312" w:cs="仿宋_GB2312"/>
                <w:b/>
                <w:bCs/>
                <w:color w:val="000000"/>
                <w:spacing w:val="-6"/>
                <w:sz w:val="21"/>
                <w:szCs w:val="21"/>
              </w:rPr>
            </w:pPr>
            <w:r>
              <w:rPr>
                <w:rFonts w:hint="eastAsia" w:ascii="仿宋_GB2312" w:hAnsi="仿宋_GB2312" w:eastAsia="仿宋_GB2312" w:cs="仿宋_GB2312"/>
                <w:b/>
                <w:bCs/>
                <w:color w:val="000000"/>
                <w:spacing w:val="-6"/>
                <w:sz w:val="21"/>
                <w:szCs w:val="21"/>
                <w:lang w:eastAsia="zh-CN"/>
              </w:rPr>
              <w:t>环境</w:t>
            </w:r>
            <w:r>
              <w:rPr>
                <w:rFonts w:hint="eastAsia" w:ascii="仿宋_GB2312" w:hAnsi="仿宋_GB2312" w:eastAsia="仿宋_GB2312" w:cs="仿宋_GB2312"/>
                <w:b/>
                <w:bCs/>
                <w:color w:val="000000"/>
                <w:spacing w:val="-6"/>
                <w:sz w:val="21"/>
                <w:szCs w:val="21"/>
              </w:rPr>
              <w:t>效益</w:t>
            </w:r>
          </w:p>
        </w:tc>
        <w:tc>
          <w:tcPr>
            <w:tcW w:w="3592" w:type="dxa"/>
            <w:gridSpan w:val="9"/>
            <w:noWrap w:val="0"/>
            <w:vAlign w:val="top"/>
          </w:tcPr>
          <w:p w14:paraId="1B5651FA">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（一）加快生态修复治理</w:t>
            </w:r>
          </w:p>
          <w:p w14:paraId="7D241646">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2B578E40">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224C940E">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（二）加快绿色矿山建设。</w:t>
            </w:r>
          </w:p>
          <w:p w14:paraId="70581338">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49106EC5">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3AD5125C">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1A69195C">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186F0A5E">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（三）有效防止和减少水土流失，增强防洪抗灾能力。</w:t>
            </w:r>
          </w:p>
          <w:p w14:paraId="6A6C0C1F">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tc>
        <w:tc>
          <w:tcPr>
            <w:tcW w:w="5041" w:type="dxa"/>
            <w:gridSpan w:val="13"/>
            <w:noWrap w:val="0"/>
            <w:vAlign w:val="top"/>
          </w:tcPr>
          <w:p w14:paraId="74424AEB">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（一）开展历史遗留矿山图斑核查，上报确认未修复历史遗留矿山683公顷，计划十四五期间修复约546公顷，拟实现修复率80%。通过生态修复治理、增加绿化面积。</w:t>
            </w:r>
          </w:p>
          <w:p w14:paraId="7B98EC2C">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eastAsia="仿宋_GB2312"/>
                <w:sz w:val="28"/>
                <w:szCs w:val="28"/>
                <w:lang w:val="en-US" w:eastAsia="zh-CN"/>
              </w:rPr>
              <w:t>（</w:t>
            </w:r>
            <w:r>
              <w:rPr>
                <w:rFonts w:hint="eastAsia" w:ascii="仿宋_GB2312" w:hAnsi="仿宋_GB2312" w:eastAsia="仿宋_GB2312" w:cs="仿宋_GB2312"/>
                <w:b w:val="0"/>
                <w:bCs w:val="0"/>
                <w:color w:val="000000"/>
                <w:sz w:val="21"/>
                <w:szCs w:val="21"/>
                <w:lang w:val="en-US" w:eastAsia="zh-CN"/>
              </w:rPr>
              <w:t>二）推进砂石土矿专项整治，完成了砂石土采矿权关闭目标，全市砂石土采矿权规划数64个，现保有42个；绿色矿山建设卓有成效，全市已建成14个绿色矿山，其中国家级4个，省级10个。</w:t>
            </w:r>
          </w:p>
          <w:p w14:paraId="61E3A42B">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3EF6C9EE">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（三）通过土地综合整治，改变预计项目区道路泥泞现状，疏通排水沟、改善排灌不畅，提高抵抗自然灾害能力，实现农村田园化生态景观。</w:t>
            </w:r>
          </w:p>
        </w:tc>
      </w:tr>
      <w:tr w14:paraId="50F4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6" w:hRule="atLeast"/>
          <w:jc w:val="center"/>
        </w:trPr>
        <w:tc>
          <w:tcPr>
            <w:tcW w:w="541" w:type="dxa"/>
            <w:vMerge w:val="continue"/>
            <w:noWrap w:val="0"/>
            <w:vAlign w:val="center"/>
          </w:tcPr>
          <w:p w14:paraId="329B550C">
            <w:pPr>
              <w:spacing w:line="320" w:lineRule="exact"/>
              <w:rPr>
                <w:rFonts w:hint="eastAsia" w:ascii="仿宋_GB2312" w:hAnsi="仿宋_GB2312" w:eastAsia="仿宋_GB2312" w:cs="仿宋_GB2312"/>
                <w:sz w:val="24"/>
              </w:rPr>
            </w:pPr>
          </w:p>
        </w:tc>
        <w:tc>
          <w:tcPr>
            <w:tcW w:w="317" w:type="dxa"/>
            <w:vMerge w:val="continue"/>
            <w:noWrap w:val="0"/>
            <w:vAlign w:val="center"/>
          </w:tcPr>
          <w:p w14:paraId="6E0069F8">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14:paraId="25418F6A">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仿宋_GB2312" w:hAnsi="仿宋_GB2312" w:eastAsia="仿宋_GB2312" w:cs="仿宋_GB2312"/>
                <w:color w:val="000000"/>
                <w:spacing w:val="-6"/>
                <w:sz w:val="20"/>
                <w:szCs w:val="20"/>
              </w:rPr>
            </w:pPr>
            <w:r>
              <w:rPr>
                <w:rFonts w:hint="eastAsia" w:ascii="仿宋_GB2312" w:hAnsi="仿宋_GB2312" w:eastAsia="仿宋_GB2312" w:cs="仿宋_GB2312"/>
                <w:b/>
                <w:bCs/>
                <w:color w:val="000000"/>
                <w:spacing w:val="-6"/>
                <w:sz w:val="20"/>
                <w:szCs w:val="20"/>
              </w:rPr>
              <w:t>社会公众或服务对象满意度</w:t>
            </w:r>
          </w:p>
        </w:tc>
        <w:tc>
          <w:tcPr>
            <w:tcW w:w="3592" w:type="dxa"/>
            <w:gridSpan w:val="9"/>
            <w:noWrap w:val="0"/>
            <w:vAlign w:val="center"/>
          </w:tcPr>
          <w:p w14:paraId="2FDC434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0"/>
                <w:szCs w:val="20"/>
                <w:lang w:val="en-US" w:eastAsia="zh-CN"/>
              </w:rPr>
            </w:pPr>
            <w:r>
              <w:rPr>
                <w:rFonts w:hint="eastAsia" w:ascii="宋体" w:hAnsi="宋体" w:cs="宋体"/>
                <w:b w:val="0"/>
                <w:bCs w:val="0"/>
                <w:color w:val="auto"/>
                <w:spacing w:val="-6"/>
                <w:sz w:val="16"/>
                <w:szCs w:val="16"/>
                <w:highlight w:val="none"/>
                <w:lang w:val="en-US" w:eastAsia="zh-CN"/>
              </w:rPr>
              <w:t>议</w:t>
            </w:r>
            <w:r>
              <w:rPr>
                <w:rFonts w:hint="eastAsia" w:ascii="仿宋_GB2312" w:hAnsi="仿宋_GB2312" w:eastAsia="仿宋_GB2312" w:cs="仿宋_GB2312"/>
                <w:b w:val="0"/>
                <w:bCs w:val="0"/>
                <w:color w:val="000000"/>
                <w:sz w:val="20"/>
                <w:szCs w:val="20"/>
                <w:lang w:val="en-US" w:eastAsia="zh-CN"/>
              </w:rPr>
              <w:t>案回复满意率95%以上</w:t>
            </w:r>
          </w:p>
          <w:p w14:paraId="406A0ED3">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b w:val="0"/>
                <w:bCs w:val="0"/>
                <w:color w:val="auto"/>
                <w:spacing w:val="-6"/>
                <w:sz w:val="16"/>
                <w:szCs w:val="16"/>
                <w:highlight w:val="none"/>
                <w:lang w:val="en-US" w:eastAsia="zh-CN"/>
              </w:rPr>
            </w:pPr>
            <w:r>
              <w:rPr>
                <w:rFonts w:hint="eastAsia" w:ascii="仿宋_GB2312" w:hAnsi="仿宋_GB2312" w:eastAsia="仿宋_GB2312" w:cs="仿宋_GB2312"/>
                <w:b w:val="0"/>
                <w:bCs w:val="0"/>
                <w:color w:val="000000"/>
                <w:sz w:val="20"/>
                <w:szCs w:val="20"/>
                <w:lang w:val="en-US" w:eastAsia="zh-CN"/>
              </w:rPr>
              <w:t>信访办结回复满意率90%以上</w:t>
            </w:r>
          </w:p>
        </w:tc>
        <w:tc>
          <w:tcPr>
            <w:tcW w:w="5041" w:type="dxa"/>
            <w:gridSpan w:val="13"/>
            <w:noWrap w:val="0"/>
            <w:vAlign w:val="center"/>
          </w:tcPr>
          <w:p w14:paraId="53389002">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0"/>
                <w:szCs w:val="20"/>
                <w:lang w:val="en-US" w:eastAsia="zh-CN"/>
              </w:rPr>
            </w:pPr>
            <w:r>
              <w:rPr>
                <w:rFonts w:hint="eastAsia" w:ascii="宋体" w:hAnsi="宋体" w:cs="宋体"/>
                <w:b w:val="0"/>
                <w:bCs w:val="0"/>
                <w:color w:val="auto"/>
                <w:spacing w:val="-6"/>
                <w:sz w:val="16"/>
                <w:szCs w:val="16"/>
                <w:highlight w:val="none"/>
                <w:lang w:val="en-US" w:eastAsia="zh-CN"/>
              </w:rPr>
              <w:t>议</w:t>
            </w:r>
            <w:r>
              <w:rPr>
                <w:rFonts w:hint="eastAsia" w:ascii="仿宋_GB2312" w:hAnsi="仿宋_GB2312" w:eastAsia="仿宋_GB2312" w:cs="仿宋_GB2312"/>
                <w:b w:val="0"/>
                <w:bCs w:val="0"/>
                <w:color w:val="000000"/>
                <w:sz w:val="20"/>
                <w:szCs w:val="20"/>
                <w:lang w:val="en-US" w:eastAsia="zh-CN"/>
              </w:rPr>
              <w:t>案回复满意率达95%以上</w:t>
            </w:r>
          </w:p>
          <w:p w14:paraId="0EF126F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宋体" w:hAnsi="宋体" w:eastAsia="宋体" w:cs="宋体"/>
                <w:b w:val="0"/>
                <w:bCs w:val="0"/>
                <w:color w:val="auto"/>
                <w:spacing w:val="-6"/>
                <w:sz w:val="16"/>
                <w:szCs w:val="16"/>
                <w:highlight w:val="none"/>
                <w:lang w:val="en-US" w:eastAsia="zh-CN"/>
              </w:rPr>
            </w:pPr>
            <w:r>
              <w:rPr>
                <w:rFonts w:hint="eastAsia" w:ascii="仿宋_GB2312" w:hAnsi="仿宋_GB2312" w:eastAsia="仿宋_GB2312" w:cs="仿宋_GB2312"/>
                <w:b w:val="0"/>
                <w:bCs w:val="0"/>
                <w:color w:val="000000"/>
                <w:sz w:val="20"/>
                <w:szCs w:val="20"/>
                <w:lang w:val="en-US" w:eastAsia="zh-CN"/>
              </w:rPr>
              <w:t>信访办结回复满意率达90%以上</w:t>
            </w:r>
          </w:p>
        </w:tc>
      </w:tr>
      <w:tr w14:paraId="7A849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13" w:hRule="atLeast"/>
          <w:jc w:val="center"/>
        </w:trPr>
        <w:tc>
          <w:tcPr>
            <w:tcW w:w="541" w:type="dxa"/>
            <w:noWrap w:val="0"/>
            <w:vAlign w:val="center"/>
          </w:tcPr>
          <w:p w14:paraId="4525BB68">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绩效自评</w:t>
            </w:r>
          </w:p>
          <w:p w14:paraId="4715AE82">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综合得分</w:t>
            </w:r>
          </w:p>
        </w:tc>
        <w:tc>
          <w:tcPr>
            <w:tcW w:w="9256" w:type="dxa"/>
            <w:gridSpan w:val="24"/>
            <w:noWrap w:val="0"/>
            <w:vAlign w:val="center"/>
          </w:tcPr>
          <w:p w14:paraId="44025F08">
            <w:pPr>
              <w:autoSpaceDN w:val="0"/>
              <w:spacing w:line="40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94分</w:t>
            </w:r>
          </w:p>
        </w:tc>
      </w:tr>
      <w:tr w14:paraId="5C7A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11" w:hRule="atLeast"/>
          <w:jc w:val="center"/>
        </w:trPr>
        <w:tc>
          <w:tcPr>
            <w:tcW w:w="541" w:type="dxa"/>
            <w:noWrap w:val="0"/>
            <w:vAlign w:val="center"/>
          </w:tcPr>
          <w:p w14:paraId="2B91BE95">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评价等次</w:t>
            </w:r>
          </w:p>
        </w:tc>
        <w:tc>
          <w:tcPr>
            <w:tcW w:w="9256" w:type="dxa"/>
            <w:gridSpan w:val="24"/>
            <w:noWrap w:val="0"/>
            <w:vAlign w:val="center"/>
          </w:tcPr>
          <w:p w14:paraId="2B014A1F">
            <w:pPr>
              <w:autoSpaceDN w:val="0"/>
              <w:spacing w:line="4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优秀</w:t>
            </w:r>
          </w:p>
        </w:tc>
      </w:tr>
      <w:tr w14:paraId="58542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3" w:hRule="atLeast"/>
          <w:jc w:val="center"/>
        </w:trPr>
        <w:tc>
          <w:tcPr>
            <w:tcW w:w="9797" w:type="dxa"/>
            <w:gridSpan w:val="25"/>
            <w:noWrap w:val="0"/>
            <w:vAlign w:val="center"/>
          </w:tcPr>
          <w:p w14:paraId="43B24CC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w:t>
            </w:r>
            <w:r>
              <w:rPr>
                <w:rFonts w:hint="eastAsia" w:ascii="黑体" w:hAnsi="黑体" w:eastAsia="黑体" w:cs="黑体"/>
                <w:color w:val="000000"/>
                <w:sz w:val="28"/>
                <w:szCs w:val="28"/>
                <w:highlight w:val="none"/>
              </w:rPr>
              <w:t>评价人员</w:t>
            </w:r>
          </w:p>
        </w:tc>
      </w:tr>
      <w:tr w14:paraId="4655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585" w:hRule="atLeast"/>
          <w:jc w:val="center"/>
        </w:trPr>
        <w:tc>
          <w:tcPr>
            <w:tcW w:w="541" w:type="dxa"/>
            <w:noWrap w:val="0"/>
            <w:vAlign w:val="center"/>
          </w:tcPr>
          <w:p w14:paraId="4E91FE3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800" w:type="dxa"/>
            <w:gridSpan w:val="3"/>
            <w:noWrap w:val="0"/>
            <w:vAlign w:val="center"/>
          </w:tcPr>
          <w:p w14:paraId="1761E6A4">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6430" w:type="dxa"/>
            <w:gridSpan w:val="18"/>
            <w:noWrap w:val="0"/>
            <w:vAlign w:val="center"/>
          </w:tcPr>
          <w:p w14:paraId="3848E1F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2026" w:type="dxa"/>
            <w:gridSpan w:val="3"/>
            <w:noWrap w:val="0"/>
            <w:vAlign w:val="center"/>
          </w:tcPr>
          <w:p w14:paraId="79A9101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14:paraId="44AB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07" w:hRule="atLeast"/>
          <w:jc w:val="center"/>
        </w:trPr>
        <w:tc>
          <w:tcPr>
            <w:tcW w:w="541" w:type="dxa"/>
            <w:noWrap w:val="0"/>
            <w:vAlign w:val="center"/>
          </w:tcPr>
          <w:p w14:paraId="256E6784">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张煌</w:t>
            </w:r>
          </w:p>
        </w:tc>
        <w:tc>
          <w:tcPr>
            <w:tcW w:w="800" w:type="dxa"/>
            <w:gridSpan w:val="3"/>
            <w:noWrap w:val="0"/>
            <w:vAlign w:val="center"/>
          </w:tcPr>
          <w:p w14:paraId="1BA5AD22">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副支队长</w:t>
            </w:r>
          </w:p>
        </w:tc>
        <w:tc>
          <w:tcPr>
            <w:tcW w:w="6430" w:type="dxa"/>
            <w:gridSpan w:val="18"/>
            <w:noWrap w:val="0"/>
            <w:vAlign w:val="center"/>
          </w:tcPr>
          <w:p w14:paraId="5AEC0A4E">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执法支队</w:t>
            </w:r>
          </w:p>
        </w:tc>
        <w:tc>
          <w:tcPr>
            <w:tcW w:w="2026" w:type="dxa"/>
            <w:gridSpan w:val="3"/>
            <w:noWrap w:val="0"/>
            <w:vAlign w:val="center"/>
          </w:tcPr>
          <w:p w14:paraId="496A704B">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45842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89" w:hRule="atLeast"/>
          <w:jc w:val="center"/>
        </w:trPr>
        <w:tc>
          <w:tcPr>
            <w:tcW w:w="541" w:type="dxa"/>
            <w:noWrap w:val="0"/>
            <w:vAlign w:val="center"/>
          </w:tcPr>
          <w:p w14:paraId="4A729ABD">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黄利平</w:t>
            </w:r>
          </w:p>
        </w:tc>
        <w:tc>
          <w:tcPr>
            <w:tcW w:w="800" w:type="dxa"/>
            <w:gridSpan w:val="3"/>
            <w:noWrap w:val="0"/>
            <w:vAlign w:val="center"/>
          </w:tcPr>
          <w:p w14:paraId="2882BDCB">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35AA75DA">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耕保科</w:t>
            </w:r>
          </w:p>
        </w:tc>
        <w:tc>
          <w:tcPr>
            <w:tcW w:w="2026" w:type="dxa"/>
            <w:gridSpan w:val="3"/>
            <w:noWrap w:val="0"/>
            <w:vAlign w:val="center"/>
          </w:tcPr>
          <w:p w14:paraId="6EB60808">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6074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88" w:hRule="atLeast"/>
          <w:jc w:val="center"/>
        </w:trPr>
        <w:tc>
          <w:tcPr>
            <w:tcW w:w="541" w:type="dxa"/>
            <w:noWrap w:val="0"/>
            <w:vAlign w:val="center"/>
          </w:tcPr>
          <w:p w14:paraId="732C51BF">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刘理珩</w:t>
            </w:r>
          </w:p>
        </w:tc>
        <w:tc>
          <w:tcPr>
            <w:tcW w:w="800" w:type="dxa"/>
            <w:gridSpan w:val="3"/>
            <w:noWrap w:val="0"/>
            <w:vAlign w:val="center"/>
          </w:tcPr>
          <w:p w14:paraId="317E9B56">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789C290D">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用途管制科</w:t>
            </w:r>
          </w:p>
        </w:tc>
        <w:tc>
          <w:tcPr>
            <w:tcW w:w="2026" w:type="dxa"/>
            <w:gridSpan w:val="3"/>
            <w:noWrap w:val="0"/>
            <w:vAlign w:val="center"/>
          </w:tcPr>
          <w:p w14:paraId="75C24361">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7AFF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573" w:hRule="atLeast"/>
          <w:jc w:val="center"/>
        </w:trPr>
        <w:tc>
          <w:tcPr>
            <w:tcW w:w="541" w:type="dxa"/>
            <w:noWrap w:val="0"/>
            <w:vAlign w:val="center"/>
          </w:tcPr>
          <w:p w14:paraId="189968C9">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蒋超</w:t>
            </w:r>
          </w:p>
        </w:tc>
        <w:tc>
          <w:tcPr>
            <w:tcW w:w="800" w:type="dxa"/>
            <w:gridSpan w:val="3"/>
            <w:noWrap w:val="0"/>
            <w:vAlign w:val="center"/>
          </w:tcPr>
          <w:p w14:paraId="1DA3597E">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374ADB77">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规划一科</w:t>
            </w:r>
          </w:p>
        </w:tc>
        <w:tc>
          <w:tcPr>
            <w:tcW w:w="2026" w:type="dxa"/>
            <w:gridSpan w:val="3"/>
            <w:noWrap w:val="0"/>
            <w:vAlign w:val="center"/>
          </w:tcPr>
          <w:p w14:paraId="47F58118">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6A1CF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22" w:hRule="atLeast"/>
          <w:jc w:val="center"/>
        </w:trPr>
        <w:tc>
          <w:tcPr>
            <w:tcW w:w="541" w:type="dxa"/>
            <w:noWrap w:val="0"/>
            <w:vAlign w:val="center"/>
          </w:tcPr>
          <w:p w14:paraId="635415AE">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康笑</w:t>
            </w:r>
          </w:p>
        </w:tc>
        <w:tc>
          <w:tcPr>
            <w:tcW w:w="800" w:type="dxa"/>
            <w:gridSpan w:val="3"/>
            <w:noWrap w:val="0"/>
            <w:vAlign w:val="center"/>
          </w:tcPr>
          <w:p w14:paraId="012909A9">
            <w:pPr>
              <w:autoSpaceDN w:val="0"/>
              <w:spacing w:line="4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35645C1C">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地环科</w:t>
            </w:r>
          </w:p>
        </w:tc>
        <w:tc>
          <w:tcPr>
            <w:tcW w:w="2026" w:type="dxa"/>
            <w:gridSpan w:val="3"/>
            <w:noWrap w:val="0"/>
            <w:vAlign w:val="center"/>
          </w:tcPr>
          <w:p w14:paraId="2C0E7355">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09C7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57" w:hRule="atLeast"/>
          <w:jc w:val="center"/>
        </w:trPr>
        <w:tc>
          <w:tcPr>
            <w:tcW w:w="541" w:type="dxa"/>
            <w:noWrap w:val="0"/>
            <w:vAlign w:val="center"/>
          </w:tcPr>
          <w:p w14:paraId="048C2C92">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宋建世</w:t>
            </w:r>
          </w:p>
        </w:tc>
        <w:tc>
          <w:tcPr>
            <w:tcW w:w="800" w:type="dxa"/>
            <w:gridSpan w:val="3"/>
            <w:noWrap w:val="0"/>
            <w:vAlign w:val="center"/>
          </w:tcPr>
          <w:p w14:paraId="603E4AF4">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5A12529A">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矿管科</w:t>
            </w:r>
          </w:p>
        </w:tc>
        <w:tc>
          <w:tcPr>
            <w:tcW w:w="2026" w:type="dxa"/>
            <w:gridSpan w:val="3"/>
            <w:noWrap w:val="0"/>
            <w:vAlign w:val="center"/>
          </w:tcPr>
          <w:p w14:paraId="3E6F720B">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6EA7D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15" w:hRule="atLeast"/>
          <w:jc w:val="center"/>
        </w:trPr>
        <w:tc>
          <w:tcPr>
            <w:tcW w:w="541" w:type="dxa"/>
            <w:noWrap w:val="0"/>
            <w:vAlign w:val="center"/>
          </w:tcPr>
          <w:p w14:paraId="08970821">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廖伟</w:t>
            </w:r>
          </w:p>
        </w:tc>
        <w:tc>
          <w:tcPr>
            <w:tcW w:w="800" w:type="dxa"/>
            <w:gridSpan w:val="3"/>
            <w:noWrap w:val="0"/>
            <w:vAlign w:val="center"/>
          </w:tcPr>
          <w:p w14:paraId="709CFF24">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492721E0">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测绘科</w:t>
            </w:r>
          </w:p>
        </w:tc>
        <w:tc>
          <w:tcPr>
            <w:tcW w:w="2026" w:type="dxa"/>
            <w:gridSpan w:val="3"/>
            <w:noWrap w:val="0"/>
            <w:vAlign w:val="center"/>
          </w:tcPr>
          <w:p w14:paraId="6F751FF0">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56D5B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0" w:hRule="atLeast"/>
          <w:jc w:val="center"/>
        </w:trPr>
        <w:tc>
          <w:tcPr>
            <w:tcW w:w="541" w:type="dxa"/>
            <w:noWrap w:val="0"/>
            <w:vAlign w:val="center"/>
          </w:tcPr>
          <w:p w14:paraId="21EAC4E5">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李拓</w:t>
            </w:r>
          </w:p>
        </w:tc>
        <w:tc>
          <w:tcPr>
            <w:tcW w:w="800" w:type="dxa"/>
            <w:gridSpan w:val="3"/>
            <w:noWrap w:val="0"/>
            <w:vAlign w:val="center"/>
          </w:tcPr>
          <w:p w14:paraId="3C355EAE">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14:paraId="2D15B105">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人事科</w:t>
            </w:r>
          </w:p>
        </w:tc>
        <w:tc>
          <w:tcPr>
            <w:tcW w:w="2026" w:type="dxa"/>
            <w:gridSpan w:val="3"/>
            <w:noWrap w:val="0"/>
            <w:vAlign w:val="center"/>
          </w:tcPr>
          <w:p w14:paraId="4133FB0A">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1C45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8" w:hRule="atLeast"/>
          <w:jc w:val="center"/>
        </w:trPr>
        <w:tc>
          <w:tcPr>
            <w:tcW w:w="541" w:type="dxa"/>
            <w:noWrap w:val="0"/>
            <w:vAlign w:val="center"/>
          </w:tcPr>
          <w:p w14:paraId="46DA5234">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葛韬</w:t>
            </w:r>
          </w:p>
        </w:tc>
        <w:tc>
          <w:tcPr>
            <w:tcW w:w="800" w:type="dxa"/>
            <w:gridSpan w:val="3"/>
            <w:noWrap w:val="0"/>
            <w:vAlign w:val="center"/>
          </w:tcPr>
          <w:p w14:paraId="65DD394A">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14:paraId="015A46BA">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监察室</w:t>
            </w:r>
          </w:p>
        </w:tc>
        <w:tc>
          <w:tcPr>
            <w:tcW w:w="2026" w:type="dxa"/>
            <w:gridSpan w:val="3"/>
            <w:noWrap w:val="0"/>
            <w:vAlign w:val="center"/>
          </w:tcPr>
          <w:p w14:paraId="6ED37973">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2DDD1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344" w:hRule="atLeast"/>
          <w:jc w:val="center"/>
        </w:trPr>
        <w:tc>
          <w:tcPr>
            <w:tcW w:w="541" w:type="dxa"/>
            <w:noWrap w:val="0"/>
            <w:vAlign w:val="center"/>
          </w:tcPr>
          <w:p w14:paraId="0D38F991">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熊勇华</w:t>
            </w:r>
          </w:p>
        </w:tc>
        <w:tc>
          <w:tcPr>
            <w:tcW w:w="800" w:type="dxa"/>
            <w:gridSpan w:val="3"/>
            <w:noWrap w:val="0"/>
            <w:vAlign w:val="center"/>
          </w:tcPr>
          <w:p w14:paraId="589902A6">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副主任</w:t>
            </w:r>
          </w:p>
        </w:tc>
        <w:tc>
          <w:tcPr>
            <w:tcW w:w="6430" w:type="dxa"/>
            <w:gridSpan w:val="18"/>
            <w:noWrap w:val="0"/>
            <w:vAlign w:val="center"/>
          </w:tcPr>
          <w:p w14:paraId="5AE98868">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信息中心</w:t>
            </w:r>
          </w:p>
        </w:tc>
        <w:tc>
          <w:tcPr>
            <w:tcW w:w="2026" w:type="dxa"/>
            <w:gridSpan w:val="3"/>
            <w:noWrap w:val="0"/>
            <w:vAlign w:val="center"/>
          </w:tcPr>
          <w:p w14:paraId="2D2CF430">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3211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72" w:hRule="atLeast"/>
          <w:jc w:val="center"/>
        </w:trPr>
        <w:tc>
          <w:tcPr>
            <w:tcW w:w="541" w:type="dxa"/>
            <w:noWrap w:val="0"/>
            <w:vAlign w:val="center"/>
          </w:tcPr>
          <w:p w14:paraId="6806110A">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姜帅平</w:t>
            </w:r>
          </w:p>
        </w:tc>
        <w:tc>
          <w:tcPr>
            <w:tcW w:w="800" w:type="dxa"/>
            <w:gridSpan w:val="3"/>
            <w:noWrap w:val="0"/>
            <w:vAlign w:val="center"/>
          </w:tcPr>
          <w:p w14:paraId="422267D9">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14:paraId="412BE0C9">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办公室</w:t>
            </w:r>
          </w:p>
        </w:tc>
        <w:tc>
          <w:tcPr>
            <w:tcW w:w="2026" w:type="dxa"/>
            <w:gridSpan w:val="3"/>
            <w:noWrap w:val="0"/>
            <w:vAlign w:val="center"/>
          </w:tcPr>
          <w:p w14:paraId="37BC0026">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6DB79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457" w:hRule="atLeast"/>
          <w:jc w:val="center"/>
        </w:trPr>
        <w:tc>
          <w:tcPr>
            <w:tcW w:w="541" w:type="dxa"/>
            <w:noWrap w:val="0"/>
            <w:vAlign w:val="center"/>
          </w:tcPr>
          <w:p w14:paraId="1DEA5239">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张立明</w:t>
            </w:r>
          </w:p>
        </w:tc>
        <w:tc>
          <w:tcPr>
            <w:tcW w:w="800" w:type="dxa"/>
            <w:gridSpan w:val="3"/>
            <w:noWrap w:val="0"/>
            <w:vAlign w:val="center"/>
          </w:tcPr>
          <w:p w14:paraId="25788D63">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副科长</w:t>
            </w:r>
          </w:p>
        </w:tc>
        <w:tc>
          <w:tcPr>
            <w:tcW w:w="6430" w:type="dxa"/>
            <w:gridSpan w:val="18"/>
            <w:noWrap w:val="0"/>
            <w:vAlign w:val="center"/>
          </w:tcPr>
          <w:p w14:paraId="245A7295">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确权登记科</w:t>
            </w:r>
          </w:p>
        </w:tc>
        <w:tc>
          <w:tcPr>
            <w:tcW w:w="2026" w:type="dxa"/>
            <w:gridSpan w:val="3"/>
            <w:noWrap w:val="0"/>
            <w:vAlign w:val="center"/>
          </w:tcPr>
          <w:p w14:paraId="19DE6148">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7E18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79" w:hRule="atLeast"/>
          <w:jc w:val="center"/>
        </w:trPr>
        <w:tc>
          <w:tcPr>
            <w:tcW w:w="541" w:type="dxa"/>
            <w:noWrap w:val="0"/>
            <w:vAlign w:val="center"/>
          </w:tcPr>
          <w:p w14:paraId="15452A88">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周红霞</w:t>
            </w:r>
          </w:p>
        </w:tc>
        <w:tc>
          <w:tcPr>
            <w:tcW w:w="800" w:type="dxa"/>
            <w:gridSpan w:val="3"/>
            <w:noWrap w:val="0"/>
            <w:vAlign w:val="center"/>
          </w:tcPr>
          <w:p w14:paraId="03A97F11">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副科长</w:t>
            </w:r>
          </w:p>
        </w:tc>
        <w:tc>
          <w:tcPr>
            <w:tcW w:w="6430" w:type="dxa"/>
            <w:gridSpan w:val="18"/>
            <w:noWrap w:val="0"/>
            <w:vAlign w:val="center"/>
          </w:tcPr>
          <w:p w14:paraId="5F6105B1">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财务科</w:t>
            </w:r>
          </w:p>
        </w:tc>
        <w:tc>
          <w:tcPr>
            <w:tcW w:w="2026" w:type="dxa"/>
            <w:gridSpan w:val="3"/>
            <w:noWrap w:val="0"/>
            <w:vAlign w:val="center"/>
          </w:tcPr>
          <w:p w14:paraId="60C836F0">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328B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2830" w:hRule="atLeast"/>
          <w:jc w:val="center"/>
        </w:trPr>
        <w:tc>
          <w:tcPr>
            <w:tcW w:w="9797" w:type="dxa"/>
            <w:gridSpan w:val="25"/>
            <w:noWrap w:val="0"/>
            <w:vAlign w:val="center"/>
          </w:tcPr>
          <w:p w14:paraId="75EAE4A1">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6A1B12CC">
            <w:pPr>
              <w:autoSpaceDN w:val="0"/>
              <w:spacing w:line="320" w:lineRule="exact"/>
              <w:jc w:val="left"/>
              <w:textAlignment w:val="center"/>
              <w:rPr>
                <w:rFonts w:hint="eastAsia" w:ascii="仿宋_GB2312" w:hAnsi="仿宋_GB2312" w:eastAsia="仿宋_GB2312" w:cs="仿宋_GB2312"/>
                <w:color w:val="000000"/>
                <w:sz w:val="24"/>
              </w:rPr>
            </w:pPr>
          </w:p>
          <w:p w14:paraId="4B12280B">
            <w:pPr>
              <w:autoSpaceDN w:val="0"/>
              <w:spacing w:line="320" w:lineRule="exact"/>
              <w:jc w:val="left"/>
              <w:textAlignment w:val="center"/>
              <w:rPr>
                <w:rFonts w:hint="eastAsia" w:ascii="仿宋_GB2312" w:hAnsi="仿宋_GB2312" w:eastAsia="仿宋_GB2312" w:cs="仿宋_GB2312"/>
                <w:color w:val="000000"/>
                <w:sz w:val="24"/>
              </w:rPr>
            </w:pPr>
          </w:p>
          <w:p w14:paraId="65A7AE22">
            <w:pPr>
              <w:autoSpaceDN w:val="0"/>
              <w:spacing w:line="320" w:lineRule="exact"/>
              <w:jc w:val="left"/>
              <w:textAlignment w:val="center"/>
              <w:rPr>
                <w:rFonts w:hint="eastAsia" w:ascii="仿宋_GB2312" w:hAnsi="仿宋_GB2312" w:eastAsia="仿宋_GB2312" w:cs="仿宋_GB2312"/>
                <w:color w:val="000000"/>
                <w:sz w:val="24"/>
              </w:rPr>
            </w:pPr>
          </w:p>
          <w:p w14:paraId="789825E8">
            <w:pPr>
              <w:autoSpaceDN w:val="0"/>
              <w:spacing w:line="320" w:lineRule="exact"/>
              <w:jc w:val="left"/>
              <w:textAlignment w:val="center"/>
              <w:rPr>
                <w:rFonts w:hint="eastAsia" w:ascii="仿宋_GB2312" w:hAnsi="仿宋_GB2312" w:eastAsia="仿宋_GB2312" w:cs="仿宋_GB2312"/>
                <w:color w:val="000000"/>
                <w:sz w:val="24"/>
              </w:rPr>
            </w:pPr>
          </w:p>
          <w:p w14:paraId="1EE39A2E">
            <w:pPr>
              <w:autoSpaceDN w:val="0"/>
              <w:spacing w:line="320" w:lineRule="exact"/>
              <w:jc w:val="left"/>
              <w:textAlignment w:val="center"/>
              <w:rPr>
                <w:rFonts w:hint="eastAsia" w:ascii="仿宋_GB2312" w:hAnsi="仿宋_GB2312" w:eastAsia="仿宋_GB2312" w:cs="仿宋_GB2312"/>
                <w:color w:val="000000"/>
                <w:sz w:val="24"/>
              </w:rPr>
            </w:pPr>
          </w:p>
          <w:p w14:paraId="3B0B1622">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5CAC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3595" w:hRule="atLeast"/>
          <w:jc w:val="center"/>
        </w:trPr>
        <w:tc>
          <w:tcPr>
            <w:tcW w:w="9797" w:type="dxa"/>
            <w:gridSpan w:val="25"/>
            <w:noWrap w:val="0"/>
            <w:vAlign w:val="center"/>
          </w:tcPr>
          <w:p w14:paraId="0BAB7937">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405922BC">
            <w:pPr>
              <w:autoSpaceDN w:val="0"/>
              <w:spacing w:line="320" w:lineRule="exact"/>
              <w:jc w:val="left"/>
              <w:textAlignment w:val="center"/>
              <w:rPr>
                <w:rFonts w:hint="eastAsia" w:ascii="仿宋_GB2312" w:hAnsi="仿宋_GB2312" w:eastAsia="仿宋_GB2312" w:cs="仿宋_GB2312"/>
                <w:color w:val="000000"/>
                <w:sz w:val="24"/>
              </w:rPr>
            </w:pPr>
          </w:p>
          <w:p w14:paraId="582C2191">
            <w:pPr>
              <w:autoSpaceDN w:val="0"/>
              <w:spacing w:line="320" w:lineRule="exact"/>
              <w:jc w:val="left"/>
              <w:textAlignment w:val="center"/>
              <w:rPr>
                <w:rFonts w:hint="eastAsia" w:ascii="仿宋_GB2312" w:hAnsi="仿宋_GB2312" w:eastAsia="仿宋_GB2312" w:cs="仿宋_GB2312"/>
                <w:color w:val="000000"/>
                <w:sz w:val="24"/>
              </w:rPr>
            </w:pPr>
          </w:p>
          <w:p w14:paraId="48FD98A8">
            <w:pPr>
              <w:autoSpaceDN w:val="0"/>
              <w:spacing w:line="320" w:lineRule="exact"/>
              <w:jc w:val="left"/>
              <w:textAlignment w:val="center"/>
              <w:rPr>
                <w:rFonts w:hint="eastAsia" w:ascii="仿宋_GB2312" w:hAnsi="仿宋_GB2312" w:eastAsia="仿宋_GB2312" w:cs="仿宋_GB2312"/>
                <w:color w:val="000000"/>
                <w:sz w:val="24"/>
              </w:rPr>
            </w:pPr>
          </w:p>
          <w:p w14:paraId="3611B00B">
            <w:pPr>
              <w:autoSpaceDN w:val="0"/>
              <w:spacing w:line="320" w:lineRule="exact"/>
              <w:jc w:val="left"/>
              <w:textAlignment w:val="center"/>
              <w:rPr>
                <w:rFonts w:hint="eastAsia" w:ascii="仿宋_GB2312" w:hAnsi="仿宋_GB2312" w:eastAsia="仿宋_GB2312" w:cs="仿宋_GB2312"/>
                <w:color w:val="000000"/>
                <w:sz w:val="24"/>
              </w:rPr>
            </w:pPr>
          </w:p>
          <w:p w14:paraId="16EBD802">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EA6631D">
            <w:pPr>
              <w:autoSpaceDN w:val="0"/>
              <w:spacing w:line="320" w:lineRule="exact"/>
              <w:ind w:firstLine="5040" w:firstLineChars="21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14:paraId="2A1DFA3D">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45132C7E">
            <w:pPr>
              <w:autoSpaceDN w:val="0"/>
              <w:spacing w:line="320" w:lineRule="exact"/>
              <w:ind w:firstLine="6000" w:firstLineChars="25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r w14:paraId="1970A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136" w:hRule="atLeast"/>
          <w:jc w:val="center"/>
        </w:trPr>
        <w:tc>
          <w:tcPr>
            <w:tcW w:w="9797" w:type="dxa"/>
            <w:gridSpan w:val="25"/>
            <w:noWrap w:val="0"/>
            <w:vAlign w:val="center"/>
          </w:tcPr>
          <w:p w14:paraId="6848EF2C">
            <w:pPr>
              <w:spacing w:line="320" w:lineRule="exact"/>
              <w:jc w:val="left"/>
              <w:rPr>
                <w:rFonts w:hint="eastAsia" w:eastAsia="仿宋_GB2312"/>
                <w:sz w:val="24"/>
              </w:rPr>
            </w:pPr>
            <w:r>
              <w:rPr>
                <w:rFonts w:hint="eastAsia" w:eastAsia="仿宋_GB2312"/>
                <w:sz w:val="24"/>
              </w:rPr>
              <w:t>财政部门归口业务科室意见：</w:t>
            </w:r>
          </w:p>
          <w:p w14:paraId="650AC05A">
            <w:pPr>
              <w:spacing w:line="320" w:lineRule="exact"/>
              <w:rPr>
                <w:rFonts w:hint="eastAsia" w:eastAsia="仿宋_GB2312"/>
                <w:sz w:val="24"/>
              </w:rPr>
            </w:pPr>
          </w:p>
          <w:p w14:paraId="3BD326D8">
            <w:pPr>
              <w:spacing w:line="320" w:lineRule="exact"/>
              <w:rPr>
                <w:rFonts w:hint="eastAsia" w:eastAsia="仿宋_GB2312"/>
                <w:sz w:val="24"/>
              </w:rPr>
            </w:pPr>
          </w:p>
          <w:p w14:paraId="576D4C33">
            <w:pPr>
              <w:spacing w:line="320" w:lineRule="exact"/>
              <w:rPr>
                <w:rFonts w:hint="eastAsia" w:eastAsia="仿宋_GB2312"/>
                <w:sz w:val="24"/>
              </w:rPr>
            </w:pPr>
          </w:p>
          <w:p w14:paraId="76B5E66D">
            <w:pPr>
              <w:spacing w:line="320" w:lineRule="exact"/>
              <w:rPr>
                <w:rFonts w:hint="eastAsia" w:eastAsia="仿宋_GB2312"/>
                <w:sz w:val="24"/>
              </w:rPr>
            </w:pPr>
          </w:p>
          <w:p w14:paraId="26B4D2C6">
            <w:pPr>
              <w:spacing w:line="320" w:lineRule="exact"/>
              <w:rPr>
                <w:rFonts w:hint="eastAsia" w:eastAsia="仿宋_GB2312"/>
                <w:sz w:val="24"/>
              </w:rPr>
            </w:pPr>
            <w:r>
              <w:rPr>
                <w:rFonts w:hint="eastAsia" w:eastAsia="仿宋_GB2312"/>
                <w:sz w:val="24"/>
              </w:rPr>
              <w:t xml:space="preserve">                                  </w:t>
            </w:r>
          </w:p>
          <w:p w14:paraId="5FD27FA7">
            <w:pPr>
              <w:spacing w:line="320" w:lineRule="exact"/>
              <w:ind w:firstLine="5040" w:firstLineChars="2100"/>
              <w:rPr>
                <w:rFonts w:hint="eastAsia" w:eastAsia="仿宋_GB2312"/>
                <w:sz w:val="24"/>
              </w:rPr>
            </w:pPr>
            <w:r>
              <w:rPr>
                <w:rFonts w:hint="eastAsia" w:eastAsia="仿宋_GB2312"/>
                <w:sz w:val="24"/>
              </w:rPr>
              <w:t>财政部门归口业务科室负责人（签章）：</w:t>
            </w:r>
          </w:p>
          <w:p w14:paraId="4BCA60A9">
            <w:pPr>
              <w:pStyle w:val="2"/>
              <w:rPr>
                <w:rFonts w:hint="eastAsia"/>
              </w:rPr>
            </w:pPr>
          </w:p>
          <w:p w14:paraId="39E99237">
            <w:pPr>
              <w:autoSpaceDN w:val="0"/>
              <w:spacing w:line="320" w:lineRule="exact"/>
              <w:jc w:val="left"/>
              <w:textAlignment w:val="center"/>
              <w:rPr>
                <w:rFonts w:hint="eastAsia" w:eastAsia="仿宋_GB2312"/>
                <w:sz w:val="24"/>
              </w:rPr>
            </w:pPr>
            <w:r>
              <w:rPr>
                <w:rFonts w:hint="eastAsia" w:eastAsia="仿宋_GB2312"/>
                <w:sz w:val="24"/>
              </w:rPr>
              <w:t xml:space="preserve">                                                </w:t>
            </w:r>
          </w:p>
          <w:p w14:paraId="7F4FF3D1">
            <w:pPr>
              <w:autoSpaceDN w:val="0"/>
              <w:spacing w:line="320" w:lineRule="exact"/>
              <w:ind w:firstLine="6000" w:firstLineChars="2500"/>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04A0DB2A">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宋体" w:hAnsi="宋体" w:eastAsia="宋体" w:cs="宋体"/>
          <w:b/>
          <w:bCs w:val="0"/>
          <w:sz w:val="36"/>
          <w:szCs w:val="36"/>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李梦滢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0730-8691983</w:t>
      </w:r>
    </w:p>
    <w:p w14:paraId="22BC57C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202</w:t>
      </w:r>
      <w:r>
        <w:rPr>
          <w:rFonts w:hint="eastAsia" w:ascii="宋体" w:hAnsi="宋体" w:cs="宋体"/>
          <w:b/>
          <w:bCs w:val="0"/>
          <w:sz w:val="36"/>
          <w:szCs w:val="36"/>
          <w:lang w:val="en-US" w:eastAsia="zh-CN"/>
        </w:rPr>
        <w:t>1</w:t>
      </w:r>
      <w:r>
        <w:rPr>
          <w:rFonts w:hint="eastAsia" w:ascii="宋体" w:hAnsi="宋体" w:eastAsia="宋体" w:cs="宋体"/>
          <w:b/>
          <w:bCs w:val="0"/>
          <w:sz w:val="36"/>
          <w:szCs w:val="36"/>
          <w:lang w:val="en-US" w:eastAsia="zh-CN"/>
        </w:rPr>
        <w:t>年度</w:t>
      </w:r>
      <w:r>
        <w:rPr>
          <w:rFonts w:hint="eastAsia" w:ascii="宋体" w:hAnsi="宋体" w:cs="宋体"/>
          <w:b/>
          <w:bCs w:val="0"/>
          <w:sz w:val="36"/>
          <w:szCs w:val="36"/>
          <w:lang w:val="en-US" w:eastAsia="zh-CN"/>
        </w:rPr>
        <w:t>岳阳市</w:t>
      </w:r>
      <w:r>
        <w:rPr>
          <w:rFonts w:hint="eastAsia" w:ascii="宋体" w:hAnsi="宋体" w:eastAsia="宋体" w:cs="宋体"/>
          <w:b/>
          <w:bCs w:val="0"/>
          <w:sz w:val="36"/>
          <w:szCs w:val="36"/>
          <w:lang w:val="en-US" w:eastAsia="zh-CN"/>
        </w:rPr>
        <w:t>自然资源和规划局整体支出</w:t>
      </w:r>
    </w:p>
    <w:p w14:paraId="79936B9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bCs w:val="0"/>
          <w:sz w:val="28"/>
          <w:szCs w:val="28"/>
          <w:lang w:val="en-US" w:eastAsia="zh-CN"/>
        </w:rPr>
      </w:pPr>
      <w:r>
        <w:rPr>
          <w:rFonts w:hint="eastAsia" w:ascii="宋体" w:hAnsi="宋体" w:eastAsia="宋体" w:cs="宋体"/>
          <w:b/>
          <w:bCs w:val="0"/>
          <w:sz w:val="48"/>
          <w:szCs w:val="48"/>
          <w:lang w:val="en-US" w:eastAsia="zh-CN"/>
        </w:rPr>
        <w:t>绩效评价自评报告</w:t>
      </w:r>
    </w:p>
    <w:p w14:paraId="1CA7BE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val="0"/>
          <w:bCs/>
          <w:sz w:val="28"/>
          <w:szCs w:val="28"/>
          <w:lang w:val="en-US" w:eastAsia="zh-CN"/>
        </w:rPr>
        <w:t>根据绩效管理要求，岳阳市自然资源和规划局成立了绩效自评小组，组织对2021年度岳阳市自然资源和规划局局机关（以下简称：局机关）整体支出情况进行了自评。现将自评情况报告如下。</w:t>
      </w:r>
    </w:p>
    <w:p w14:paraId="3179EF3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p>
    <w:p w14:paraId="4D6248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一、基本情况</w:t>
      </w:r>
    </w:p>
    <w:p w14:paraId="32B9B5A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w:t>
      </w:r>
      <w:r>
        <w:rPr>
          <w:rFonts w:hint="eastAsia" w:asciiTheme="minorEastAsia" w:hAnsiTheme="minorEastAsia" w:eastAsiaTheme="minorEastAsia" w:cstheme="minorEastAsia"/>
          <w:b/>
          <w:bCs w:val="0"/>
          <w:sz w:val="28"/>
          <w:szCs w:val="28"/>
          <w:highlight w:val="none"/>
          <w:lang w:val="en-US" w:eastAsia="zh-CN"/>
        </w:rPr>
        <w:t>基本情况</w:t>
      </w:r>
    </w:p>
    <w:p w14:paraId="3A4519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岳阳市自然资源和规划局（以下简称“市自然资源和规划局”）于2019年3月4日挂牌成立，属全额预算拨款的正处级行政单位。</w:t>
      </w:r>
      <w:r>
        <w:rPr>
          <w:rFonts w:hint="eastAsia" w:asciiTheme="minorEastAsia" w:hAnsiTheme="minorEastAsia" w:eastAsiaTheme="minorEastAsia" w:cstheme="minorEastAsia"/>
          <w:bCs/>
          <w:sz w:val="28"/>
          <w:szCs w:val="28"/>
          <w:highlight w:val="none"/>
          <w:lang w:val="en-US" w:eastAsia="zh-CN"/>
        </w:rPr>
        <w:t>局下设办公室、自然资源调查监测科、国土空间生态修复科等21个职能科室和执法监察支队、规划监察支队等14个事业单位以及经济技术开发区分局、南湖新区分局等直属分局6个,其中自然资源和规划分局、不动产登记中心、不动产产权交易中心、不动产登记信息中心、国土资源执法监察支队和土地整理综合整治中心属财政一级预算单位。</w:t>
      </w:r>
    </w:p>
    <w:p w14:paraId="7A6C10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根据“</w:t>
      </w:r>
      <w:r>
        <w:rPr>
          <w:rFonts w:hint="eastAsia" w:asciiTheme="minorEastAsia" w:hAnsiTheme="minorEastAsia" w:eastAsiaTheme="minorEastAsia" w:cstheme="minorEastAsia"/>
          <w:bCs/>
          <w:sz w:val="28"/>
          <w:szCs w:val="28"/>
          <w:highlight w:val="none"/>
          <w:lang w:val="en-US" w:eastAsia="zh-CN"/>
        </w:rPr>
        <w:t>三定方案”，</w:t>
      </w:r>
      <w:r>
        <w:rPr>
          <w:rFonts w:hint="eastAsia" w:asciiTheme="minorEastAsia" w:hAnsiTheme="minorEastAsia" w:eastAsiaTheme="minorEastAsia" w:cstheme="minorEastAsia"/>
          <w:bCs/>
          <w:sz w:val="28"/>
          <w:szCs w:val="28"/>
          <w:lang w:val="en-US" w:eastAsia="zh-CN"/>
        </w:rPr>
        <w:t>市自然资源和规划局局机关（以下简称“局机关”）</w:t>
      </w:r>
      <w:r>
        <w:rPr>
          <w:rFonts w:hint="eastAsia" w:asciiTheme="minorEastAsia" w:hAnsiTheme="minorEastAsia" w:eastAsiaTheme="minorEastAsia" w:cstheme="minorEastAsia"/>
          <w:bCs/>
          <w:sz w:val="28"/>
          <w:szCs w:val="28"/>
          <w:highlight w:val="none"/>
          <w:lang w:val="en-US" w:eastAsia="zh-CN"/>
        </w:rPr>
        <w:t>人员编制数99人（局机关行政编制59人、事业编制40人）,2021年实有在岗人员133人(含从分局和二级机构借调人员)。</w:t>
      </w:r>
    </w:p>
    <w:p w14:paraId="0A942F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岳阳市自然资源和规划局及其分局、二级机构等全部分开独立核算。按市委考评工作规定,由主管单位对其实施绩效考评,所以本次重点对局机关部门整体支出预算绩效进行自评。</w:t>
      </w:r>
    </w:p>
    <w:p w14:paraId="3C7A737E">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070E731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0" w:leftChars="0" w:firstLine="0" w:firstLineChars="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主要职能职责</w:t>
      </w:r>
    </w:p>
    <w:p w14:paraId="7982CE5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 依法履行全民所有土地、矿产、森林、草原、湿地、水等自然资源资产所有者职责和国土空间用途管制职责。</w:t>
      </w:r>
    </w:p>
    <w:p w14:paraId="27A8097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2、 负责自然资源调查监测评价。</w:t>
      </w:r>
    </w:p>
    <w:p w14:paraId="42EA803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3、 负责自然资源统一确权登记工作。</w:t>
      </w:r>
    </w:p>
    <w:p w14:paraId="7DE1246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4、 负责自然资源资产有偿使用工作。</w:t>
      </w:r>
    </w:p>
    <w:p w14:paraId="56CF494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 负责自然资源的合理开发利用。</w:t>
      </w:r>
    </w:p>
    <w:p w14:paraId="5398E41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 负责建立国土空间规划体系并监督实施。</w:t>
      </w:r>
    </w:p>
    <w:p w14:paraId="3870227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7、 负责制定国土空间规划编制计划和近期建设规划，制定土地利用及储备供应、矿产资源保护利用、基础测绘、新增建设用地等年度计划，并组织实施；参与城市发展年度建设计划及实施工作。</w:t>
      </w:r>
    </w:p>
    <w:p w14:paraId="18FD350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8、 负责统筹国土空间生态修复。牵头组织编制国土空间生态修复规划并实施有关生态修复重大工程。牵头建立和实施生态保护补偿制度，并提出市级重大备选项目。</w:t>
      </w:r>
    </w:p>
    <w:p w14:paraId="3630EA2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9、 负责组织实施最严格的耕地保护制度。牵头实施耕地保护政策，负责耕地数量和生态保护，做好耕地质量保护有关工作。</w:t>
      </w:r>
    </w:p>
    <w:p w14:paraId="39E4942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10、负责管理地质勘查行业和全市地质工作。</w:t>
      </w:r>
    </w:p>
    <w:p w14:paraId="47BDF84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11、负责地质灾害预防和治理。</w:t>
      </w:r>
    </w:p>
    <w:p w14:paraId="340E15C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12、负责矿产资源管理工作。</w:t>
      </w:r>
    </w:p>
    <w:p w14:paraId="4E7924E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13、推动自然资源领域科技发展。</w:t>
      </w:r>
    </w:p>
    <w:p w14:paraId="6D9BB41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14、负责测绘地理信息管理工作。</w:t>
      </w:r>
    </w:p>
    <w:p w14:paraId="5BDD690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15、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14:paraId="246A7AD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16、统一领导和管理市林业局。</w:t>
      </w:r>
    </w:p>
    <w:p w14:paraId="60953EE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17、完成市委、市政府交办的其他事项。</w:t>
      </w:r>
    </w:p>
    <w:p w14:paraId="77F3FBC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18、职能转变。</w:t>
      </w:r>
    </w:p>
    <w:p w14:paraId="521E14E5">
      <w:pPr>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261AD3C8">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0" w:leftChars="0" w:firstLine="0" w:firstLine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重点工作计划</w:t>
      </w:r>
    </w:p>
    <w:p w14:paraId="715FB0F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根据市自然资源和规划局党组书记、局长《2021年全市自然资源和规划工作报告》，2021年重点工作安排如下：</w:t>
      </w:r>
    </w:p>
    <w:p w14:paraId="441D3F9A">
      <w:pPr>
        <w:keepNext w:val="0"/>
        <w:keepLines w:val="0"/>
        <w:pageBreakBefore w:val="0"/>
        <w:widowControl w:val="0"/>
        <w:numPr>
          <w:ilvl w:val="0"/>
          <w:numId w:val="2"/>
        </w:numPr>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全力编制好规划，推进城市建设与品质提升。一是全面推进国土空间规划编制；二是大力推进村庄规划编制工作；三是建立完善规划管控体系。</w:t>
      </w:r>
    </w:p>
    <w:p w14:paraId="3CDBEA1D">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2、竭力做好要素保障，服务项目落地与产业发展。一是持续优化用地审批服务；二是加快完善土地供应机制；三是加强节约集约用地；四是深化“最多跑一次”改革、优化营商环境。</w:t>
      </w:r>
    </w:p>
    <w:p w14:paraId="432802A8">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3、努力加强资源管控，严守绿色发展底线。一是强化耕地保护；二是加强自然资源执法保障体系建设；三是强化“三调”成果运用；四是稳妥推进农村乱占耕地建房问题整治。</w:t>
      </w:r>
    </w:p>
    <w:p w14:paraId="68C7023F">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4.尽力强化民生保障，增进惠民利民益民。一是强化地质灾害防治；二是推进矿业转型发展；三是加强生态保护修复；四是巩固脱贫攻坚成果，助推乡村振兴；五是抓好中心城区违法建设集中整治行动。</w:t>
      </w:r>
    </w:p>
    <w:p w14:paraId="47E2B7B3">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5.着力提升基础效能，筑牢事业发展根基。一是切实加强信息化建设；二是切实加强法治建设；三是切实加强信访工作；四是切实加强基础工作。</w:t>
      </w:r>
    </w:p>
    <w:p w14:paraId="09A9F850">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6.致力突出政治引领，提升党建工作实效。一是坚定正确政治方向；二是持续深化作风建设；三是抓牢抓实廉政建设。</w:t>
      </w:r>
    </w:p>
    <w:p w14:paraId="7E2ECB38">
      <w:pPr>
        <w:pStyle w:val="6"/>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2CE71EBC">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二、年度绩效目标及完成情况</w:t>
      </w:r>
    </w:p>
    <w:p w14:paraId="692D7095">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（一）年度绩效目标</w:t>
      </w:r>
    </w:p>
    <w:p w14:paraId="2A6E499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1、产出数量 （定量、定性指标）</w:t>
      </w:r>
    </w:p>
    <w:p w14:paraId="0715BCE8">
      <w:pPr>
        <w:keepNext w:val="0"/>
        <w:keepLines w:val="0"/>
        <w:pageBreakBefore w:val="0"/>
        <w:widowControl w:val="0"/>
        <w:kinsoku/>
        <w:wordWrap/>
        <w:overflowPunct/>
        <w:topLinePunct w:val="0"/>
        <w:autoSpaceDE/>
        <w:autoSpaceDN w:val="0"/>
        <w:bidi w:val="0"/>
        <w:adjustRightInd/>
        <w:snapToGrid/>
        <w:spacing w:line="520" w:lineRule="exact"/>
        <w:ind w:firstLine="422" w:firstLineChars="150"/>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（1）规划编制与完善方面</w:t>
      </w:r>
    </w:p>
    <w:p w14:paraId="20D75D64">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一是国土空间规划编制。统筹划定“三条控制线”，编制城市设计、村庄规划编制。</w:t>
      </w:r>
    </w:p>
    <w:p w14:paraId="0F893210">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二是生态修复治理。做好修复工程项目申报及历史遗留矿山图斑核查，上报确认未修复历史遗留矿山683公顷，计划十四五期间修复约546公顷，拟实现修复率80%。</w:t>
      </w:r>
    </w:p>
    <w:p w14:paraId="717DE598">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三是绿色矿山建设。编制专项规划，推进砂石土矿专项整治，完成砂石土采矿权关闭目标。</w:t>
      </w:r>
    </w:p>
    <w:p w14:paraId="5D1E8132">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（2）耕地保护、执法体系建设、“三调”成果、农村乱占耕地建房问题整治方面</w:t>
      </w:r>
    </w:p>
    <w:p w14:paraId="0B81E5A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一是强化耕地保护。配合省整治局核实验收项目30个，确认增减挂钩项目4批次，做到占优补优、占水田补水田。</w:t>
      </w:r>
    </w:p>
    <w:p w14:paraId="7D841FD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二是督查执法。抓实问题“回头看”，全市乱占耕地建房问题整改率达到100%。</w:t>
      </w:r>
    </w:p>
    <w:p w14:paraId="464268DB">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三是资源调查工作。完成用地专项调查、农村空心房专项调查、年度国土变更调查等工作，成果上报省厅并通过省级核查。</w:t>
      </w:r>
    </w:p>
    <w:p w14:paraId="71997F0E">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（3）土地要素、优化营商环境、节约用地方面</w:t>
      </w:r>
    </w:p>
    <w:p w14:paraId="571082B8">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一是土地要素保障。重大项目顺利落地，全市清零验收121个土地依法征收项目，完成建设用地供应1099宗2811.02公顷，追缴往年欠缴土地出让金12.32亿元。</w:t>
      </w:r>
    </w:p>
    <w:p w14:paraId="62189D3A">
      <w:pPr>
        <w:pStyle w:val="6"/>
        <w:keepNext w:val="0"/>
        <w:keepLines w:val="0"/>
        <w:pageBreakBefore w:val="0"/>
        <w:widowControl w:val="0"/>
        <w:kinsoku/>
        <w:wordWrap/>
        <w:overflowPunct/>
        <w:topLinePunct w:val="0"/>
        <w:autoSpaceDE/>
        <w:bidi w:val="0"/>
        <w:adjustRightInd/>
        <w:snapToGrid/>
        <w:spacing w:line="520" w:lineRule="exact"/>
        <w:ind w:left="0" w:leftChars="0" w:firstLine="560" w:firstLineChars="200"/>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二是优化营商环境。核发建设用地规划许可36项，建设工程规划许可75项，“多测合一”改革实现全流程、全覆盖。2个试点项目顺利实施“拿地即开工”。</w:t>
      </w:r>
    </w:p>
    <w:p w14:paraId="096AA736">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三是集约用地。完成省厅下达处置批而未供土地1357.57公顷，处置闲置土地781.95公顷任务；“摘帽”行动处置43宗，“净地”攻坚行动处置59宗“执法”行动34宗、处置率100%。</w:t>
      </w:r>
    </w:p>
    <w:p w14:paraId="2367D91B">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（4）地灾防治、不动产登记服务、信访问题化解及禁拆治违方面</w:t>
      </w:r>
    </w:p>
    <w:p w14:paraId="6E3456D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一是地灾防治。全市共举办应急避险演练40次；持续保持地灾隐患点“零死亡”。</w:t>
      </w:r>
    </w:p>
    <w:p w14:paraId="18157658">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二是提升不动产登记服务。建设不动产交易登记审核效率提升，最快“60分钟”出证；将不动登记“一窗办事”平台延伸；推行各类业务“网上办、掌上办、自助办”，实现了“数据多跑路，群众少跑腿”。</w:t>
      </w:r>
    </w:p>
    <w:p w14:paraId="10210C77">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三是购房群众合法权益保护。全市87个房地产办证信访突出问题化解90%，做到了“交房即交证”改革工作全覆盖。</w:t>
      </w:r>
    </w:p>
    <w:p w14:paraId="579F4AC0">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四是完成禁拆治违整治行动。全市拆违200万㎡以上。</w:t>
      </w:r>
    </w:p>
    <w:p w14:paraId="58C9CF10">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（5）深化机构改革、人才培养、信息化建设、信访维稳方面</w:t>
      </w:r>
    </w:p>
    <w:p w14:paraId="57C559E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一是深化机构改革。搞好部分单位职权下放、市规划设计院改制方面</w:t>
      </w:r>
    </w:p>
    <w:p w14:paraId="3C9D86E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二是人才培养。搞好选拔任用干部、岗位交流干部，完成调训、培训任务</w:t>
      </w:r>
    </w:p>
    <w:p w14:paraId="7B0E2072">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三是信息化建设。完成局政务平台综合办公及审批系统业务流程改造和国产化适配。</w:t>
      </w:r>
    </w:p>
    <w:p w14:paraId="671037D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四是信访维稳。完成市级信访积案，接待群众来信来访，办理交办转办件，处置网络舆情事件件，办理建议提案。</w:t>
      </w:r>
    </w:p>
    <w:p w14:paraId="285CDF9A">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（6）党建及廉政建设方面</w:t>
      </w:r>
    </w:p>
    <w:p w14:paraId="44A3B667">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一是政治立场稳定。组织党组中心组学习18次、市委巡察反馈问题整改率100%。</w:t>
      </w:r>
    </w:p>
    <w:p w14:paraId="4BF276F1">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二是巩固基层党建。开展“主题党日”活动，扎实推进“我为群众办实事”实践活动。组织开展宣讲比赛活动，评选表彰“一先两优”。</w:t>
      </w:r>
    </w:p>
    <w:p w14:paraId="339E53C2">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三是意识形态。完善《岳阳市自然资源和规划局落实意识形态工作责任制》。加强了网络舆论管控，及时清理解散“僵尸”QQ工作群，推动“学习强国”平台深化应用。</w:t>
      </w:r>
    </w:p>
    <w:p w14:paraId="0B38D4CD">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廉政建设。切实履行党风廉政建设主体责任和“一岗双责”，制定《2021年落实党风廉政建设责任制工作任务和分工意见》《2021年党风廉政建设和反腐败工作要点》，开展廉政谈话，观看廉政电视教育片2次，严格执纪问责。</w:t>
      </w:r>
    </w:p>
    <w:p w14:paraId="602F9762">
      <w:pPr>
        <w:keepNext w:val="0"/>
        <w:keepLines w:val="0"/>
        <w:pageBreakBefore w:val="0"/>
        <w:widowControl w:val="0"/>
        <w:kinsoku/>
        <w:wordWrap/>
        <w:overflowPunct/>
        <w:topLinePunct w:val="0"/>
        <w:autoSpaceDE/>
        <w:autoSpaceDN w:val="0"/>
        <w:bidi w:val="0"/>
        <w:adjustRightInd/>
        <w:snapToGrid/>
        <w:spacing w:line="520" w:lineRule="exact"/>
        <w:ind w:firstLine="280" w:firstLineChars="1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2、质量目标</w:t>
      </w:r>
    </w:p>
    <w:p w14:paraId="4288EE40">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（1）编制国土空间规划成果通过上级部门及专家审查通过。</w:t>
      </w:r>
    </w:p>
    <w:p w14:paraId="505156F0">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（2）耕地保有量达到省标准。</w:t>
      </w:r>
    </w:p>
    <w:p w14:paraId="1D9FFDFE">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（3）完成督查整改问题100%，违建别墅问题无新增。</w:t>
      </w:r>
    </w:p>
    <w:p w14:paraId="1A860A9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（4）持续保持地质灾害隐患点“零死亡”“最多跑一次”改革落实到位，优化营商环境专项巡察整改率100%。</w:t>
      </w:r>
    </w:p>
    <w:p w14:paraId="2A79815E">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（5）违法行为查处整改率合格，上级部门约谈和问责为0次</w:t>
      </w:r>
    </w:p>
    <w:p w14:paraId="70F9E864">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（6）重点项目跟踪服务落地率100%。</w:t>
      </w:r>
    </w:p>
    <w:p w14:paraId="0F69C8CA">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3、时效目标</w:t>
      </w:r>
    </w:p>
    <w:p w14:paraId="16EF47B4">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（1）优化营商环境，审批日期缩短10个工作日。</w:t>
      </w:r>
    </w:p>
    <w:p w14:paraId="5F0A0B1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（2）所有来信来访及时答复</w:t>
      </w:r>
    </w:p>
    <w:p w14:paraId="4279E37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（3）在规定时限内腾地、供地和完成整改、销号等任务</w:t>
      </w:r>
    </w:p>
    <w:p w14:paraId="09BEF061">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4、成本控制</w:t>
      </w:r>
    </w:p>
    <w:p w14:paraId="25EE836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（1）全年预算资金支出控制在总额内</w:t>
      </w:r>
    </w:p>
    <w:p w14:paraId="2AE5CE2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（2）项目资金支出控制在预算额内</w:t>
      </w:r>
    </w:p>
    <w:p w14:paraId="70A588F2">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5、效益、社会公众及服好务对象满意度</w:t>
      </w:r>
    </w:p>
    <w:p w14:paraId="7CA7D4F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（1）社会效益：</w:t>
      </w:r>
    </w:p>
    <w:p w14:paraId="2A2C284B">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highlight w:val="yellow"/>
          <w:lang w:val="en-US" w:eastAsia="zh-CN"/>
        </w:rPr>
      </w:pPr>
      <w:r>
        <w:rPr>
          <w:rFonts w:hint="eastAsia" w:asciiTheme="minorEastAsia" w:hAnsiTheme="minorEastAsia" w:eastAsiaTheme="minorEastAsia" w:cstheme="minorEastAsia"/>
          <w:b w:val="0"/>
          <w:bCs w:val="0"/>
          <w:color w:val="000000"/>
          <w:sz w:val="28"/>
          <w:szCs w:val="28"/>
          <w:lang w:val="en-US" w:eastAsia="zh-CN"/>
        </w:rPr>
        <w:t>一是规划编制成果助力推动了乡村振兴，为未来城市发展提供战略引领。</w:t>
      </w:r>
    </w:p>
    <w:p w14:paraId="7ABDB056">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二是盘活存量土地，提高土地开发利用水平</w:t>
      </w:r>
    </w:p>
    <w:p w14:paraId="0969440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三是保障购房群众合法权益。</w:t>
      </w:r>
    </w:p>
    <w:p w14:paraId="0E869BDB">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四是为老百姓提供合法合规、便民利民的不动产登记服务。</w:t>
      </w:r>
    </w:p>
    <w:p w14:paraId="7C92B259">
      <w:pPr>
        <w:pStyle w:val="6"/>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五是切实维护和保障群众利益</w:t>
      </w:r>
    </w:p>
    <w:p w14:paraId="6F10DF0C">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（2）经济效益</w:t>
      </w:r>
    </w:p>
    <w:p w14:paraId="625A6768">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一是土地收入支撑地方债务化解，土地出让价款增长。</w:t>
      </w:r>
    </w:p>
    <w:p w14:paraId="0C7D2FB2">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二是追缴往年欠缴土地出让金。</w:t>
      </w:r>
    </w:p>
    <w:p w14:paraId="70D50651">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 xml:space="preserve">     三是</w:t>
      </w:r>
      <w:r>
        <w:rPr>
          <w:rFonts w:hint="eastAsia" w:asciiTheme="minorEastAsia" w:hAnsiTheme="minorEastAsia" w:eastAsiaTheme="minorEastAsia" w:cstheme="minorEastAsia"/>
          <w:b w:val="0"/>
          <w:bCs w:val="0"/>
          <w:color w:val="000000"/>
          <w:kern w:val="2"/>
          <w:sz w:val="28"/>
          <w:szCs w:val="28"/>
          <w:highlight w:val="none"/>
          <w:lang w:val="en-US" w:eastAsia="zh-CN" w:bidi="ar-SA"/>
        </w:rPr>
        <w:t>实现非税收入17155万元。</w:t>
      </w:r>
    </w:p>
    <w:p w14:paraId="6A2D935A">
      <w:pPr>
        <w:keepNext w:val="0"/>
        <w:keepLines w:val="0"/>
        <w:pageBreakBefore w:val="0"/>
        <w:widowControl w:val="0"/>
        <w:kinsoku/>
        <w:wordWrap/>
        <w:overflowPunct/>
        <w:topLinePunct w:val="0"/>
        <w:autoSpaceDE/>
        <w:autoSpaceDN w:val="0"/>
        <w:bidi w:val="0"/>
        <w:adjustRightInd/>
        <w:snapToGrid/>
        <w:spacing w:line="520" w:lineRule="exact"/>
        <w:ind w:firstLine="843" w:firstLineChars="3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（3）生态效益</w:t>
      </w:r>
    </w:p>
    <w:p w14:paraId="11FC7AE4">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一是加快生态修复治理。</w:t>
      </w:r>
    </w:p>
    <w:p w14:paraId="73C9186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二是加快绿色矿山建设。</w:t>
      </w:r>
    </w:p>
    <w:p w14:paraId="4B2DD15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三是有效防止和减少水土流失，增强防洪抗灾能力。</w:t>
      </w:r>
    </w:p>
    <w:p w14:paraId="6241A923">
      <w:pPr>
        <w:keepNext w:val="0"/>
        <w:keepLines w:val="0"/>
        <w:pageBreakBefore w:val="0"/>
        <w:widowControl w:val="0"/>
        <w:kinsoku/>
        <w:wordWrap/>
        <w:overflowPunct/>
        <w:topLinePunct w:val="0"/>
        <w:autoSpaceDE/>
        <w:autoSpaceDN w:val="0"/>
        <w:bidi w:val="0"/>
        <w:adjustRightInd/>
        <w:snapToGrid/>
        <w:spacing w:line="520" w:lineRule="exact"/>
        <w:ind w:firstLine="843" w:firstLineChars="3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（4）社会公众及服务对象满意度</w:t>
      </w:r>
    </w:p>
    <w:p w14:paraId="30583DF3">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一是议案回复满意率95%以上。</w:t>
      </w:r>
    </w:p>
    <w:p w14:paraId="2A08D307">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二是信访办结回复满意率90%以上。</w:t>
      </w:r>
    </w:p>
    <w:p w14:paraId="61FEBEFA">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32770AF5">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（二）绩效目标完成情况</w:t>
      </w:r>
    </w:p>
    <w:p w14:paraId="0DCABF5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color w:val="auto"/>
          <w:kern w:val="2"/>
          <w:sz w:val="28"/>
          <w:szCs w:val="28"/>
          <w:highlight w:val="none"/>
          <w:lang w:val="en-US" w:eastAsia="zh-CN" w:bidi="ar-SA"/>
        </w:rPr>
        <w:t>市自然资源和规划局2021年年度绩效目标任务已完成，具体完成情况</w:t>
      </w:r>
      <w:r>
        <w:rPr>
          <w:rFonts w:hint="eastAsia" w:asciiTheme="minorEastAsia" w:hAnsiTheme="minorEastAsia" w:eastAsiaTheme="minorEastAsia" w:cstheme="minorEastAsia"/>
          <w:b w:val="0"/>
          <w:bCs/>
          <w:color w:val="000000"/>
          <w:sz w:val="28"/>
          <w:szCs w:val="28"/>
          <w:lang w:val="en-US" w:eastAsia="zh-CN"/>
        </w:rPr>
        <w:t>见本报告“主要绩效分析”及附表</w:t>
      </w:r>
      <w:r>
        <w:rPr>
          <w:rFonts w:hint="eastAsia" w:asciiTheme="minorEastAsia" w:hAnsiTheme="minorEastAsia" w:eastAsiaTheme="minorEastAsia" w:cstheme="minorEastAsia"/>
          <w:b w:val="0"/>
          <w:bCs w:val="0"/>
          <w:color w:val="000000"/>
          <w:sz w:val="28"/>
          <w:szCs w:val="28"/>
          <w:lang w:val="en-US" w:eastAsia="zh-CN"/>
        </w:rPr>
        <w:t>。</w:t>
      </w:r>
    </w:p>
    <w:p w14:paraId="5C182A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jc w:val="both"/>
        <w:textAlignment w:val="auto"/>
        <w:rPr>
          <w:rFonts w:hint="eastAsia" w:asciiTheme="minorEastAsia" w:hAnsiTheme="minorEastAsia" w:eastAsiaTheme="minorEastAsia" w:cstheme="minorEastAsia"/>
          <w:b/>
          <w:bCs w:val="0"/>
          <w:sz w:val="28"/>
          <w:szCs w:val="28"/>
          <w:lang w:val="en-US" w:eastAsia="zh-CN"/>
        </w:rPr>
      </w:pPr>
    </w:p>
    <w:p w14:paraId="62794F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jc w:val="both"/>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 xml:space="preserve">三、整体支出情况  </w:t>
      </w:r>
    </w:p>
    <w:p w14:paraId="3A7E166D">
      <w:pPr>
        <w:pStyle w:val="2"/>
        <w:keepNext w:val="0"/>
        <w:keepLines w:val="0"/>
        <w:pageBreakBefore w:val="0"/>
        <w:widowControl w:val="0"/>
        <w:kinsoku/>
        <w:wordWrap/>
        <w:overflowPunct/>
        <w:topLinePunct w:val="0"/>
        <w:autoSpaceDE/>
        <w:autoSpaceDN/>
        <w:bidi w:val="0"/>
        <w:adjustRightInd/>
        <w:snapToGrid/>
        <w:spacing w:after="0"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（一）市自然资源和规划局2021年整体收支情况</w:t>
      </w:r>
    </w:p>
    <w:p w14:paraId="0978AC4E">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 xml:space="preserve">   1、</w:t>
      </w:r>
      <w:r>
        <w:rPr>
          <w:rFonts w:hint="eastAsia" w:asciiTheme="minorEastAsia" w:hAnsiTheme="minorEastAsia" w:eastAsiaTheme="minorEastAsia" w:cstheme="minorEastAsia"/>
          <w:b/>
          <w:bCs w:val="0"/>
          <w:color w:val="auto"/>
          <w:kern w:val="2"/>
          <w:sz w:val="28"/>
          <w:szCs w:val="28"/>
          <w:highlight w:val="none"/>
          <w:lang w:val="en-US" w:eastAsia="zh-CN" w:bidi="ar-SA"/>
        </w:rPr>
        <w:t>市自然资源和规划局决算部门</w:t>
      </w:r>
    </w:p>
    <w:p w14:paraId="2EB432FD">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局机关（本级）、南湖新区分局、经开区分局、临港国土管理处、不动产登记中心、执法监察支队、土地综合整治中心、不动产产权交易中心、不动产登记信息中心、不动产测绘中心共10个单位。</w:t>
      </w:r>
    </w:p>
    <w:p w14:paraId="615628E0">
      <w:pPr>
        <w:keepNext/>
        <w:keepLines/>
        <w:pageBreakBefore w:val="0"/>
        <w:widowControl w:val="0"/>
        <w:kinsoku/>
        <w:wordWrap/>
        <w:overflowPunct/>
        <w:topLinePunct w:val="0"/>
        <w:autoSpaceDE/>
        <w:autoSpaceDN/>
        <w:bidi w:val="0"/>
        <w:adjustRightInd/>
        <w:snapToGrid/>
        <w:spacing w:line="520" w:lineRule="exact"/>
        <w:ind w:firstLine="641"/>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至2021年末，收入合计14,679.66万元， 其中公共财政拨款收入8,258.88万元、政府基金拨款收入81.57万元、其他收入555.99万元，上年结转5.783.22万元（</w:t>
      </w:r>
      <w:r>
        <w:rPr>
          <w:rFonts w:hint="eastAsia" w:asciiTheme="minorEastAsia" w:hAnsiTheme="minorEastAsia" w:eastAsiaTheme="minorEastAsia" w:cstheme="minorEastAsia"/>
          <w:bCs/>
          <w:color w:val="auto"/>
          <w:kern w:val="2"/>
          <w:sz w:val="28"/>
          <w:szCs w:val="28"/>
          <w:highlight w:val="none"/>
          <w:lang w:val="en-US" w:eastAsia="zh-CN" w:bidi="ar-SA"/>
        </w:rPr>
        <w:t>使用非财政拨款结余1,505.11万元、年初结转和结余4,278.12万元）。</w:t>
      </w:r>
      <w:r>
        <w:rPr>
          <w:rFonts w:hint="eastAsia" w:asciiTheme="minorEastAsia" w:hAnsiTheme="minorEastAsia" w:eastAsiaTheme="minorEastAsia" w:cstheme="minorEastAsia"/>
          <w:b w:val="0"/>
          <w:bCs/>
          <w:color w:val="auto"/>
          <w:kern w:val="2"/>
          <w:sz w:val="28"/>
          <w:szCs w:val="28"/>
          <w:highlight w:val="none"/>
          <w:lang w:val="en-US" w:eastAsia="zh-CN" w:bidi="ar-SA"/>
        </w:rPr>
        <w:t>支出合计14,538.22万元，其中基本支出9,001.64万元（人员经费支出5,522.78万元、公用经费支出3,478.85万元）</w:t>
      </w:r>
      <w:r>
        <w:rPr>
          <w:rFonts w:hint="eastAsia" w:asciiTheme="minorEastAsia" w:hAnsiTheme="minorEastAsia" w:eastAsiaTheme="minorEastAsia" w:cstheme="minorEastAsia"/>
          <w:color w:val="auto"/>
          <w:sz w:val="28"/>
          <w:szCs w:val="28"/>
          <w:highlight w:val="white"/>
          <w:lang w:val="en-US"/>
        </w:rPr>
        <w:t>占</w:t>
      </w:r>
      <w:r>
        <w:rPr>
          <w:rFonts w:hint="eastAsia" w:asciiTheme="minorEastAsia" w:hAnsiTheme="minorEastAsia" w:eastAsiaTheme="minorEastAsia" w:cstheme="minorEastAsia"/>
          <w:color w:val="auto"/>
          <w:sz w:val="28"/>
          <w:szCs w:val="28"/>
          <w:highlight w:val="white"/>
          <w:lang w:val="en-US" w:eastAsia="zh-CN"/>
        </w:rPr>
        <w:t>总支出</w:t>
      </w:r>
      <w:r>
        <w:rPr>
          <w:rFonts w:hint="eastAsia" w:asciiTheme="minorEastAsia" w:hAnsiTheme="minorEastAsia" w:eastAsiaTheme="minorEastAsia" w:cstheme="minorEastAsia"/>
          <w:color w:val="auto"/>
          <w:sz w:val="28"/>
          <w:szCs w:val="28"/>
          <w:highlight w:val="white"/>
          <w:lang w:val="en-US"/>
        </w:rPr>
        <w:t>61.92%</w:t>
      </w:r>
      <w:r>
        <w:rPr>
          <w:rFonts w:hint="eastAsia" w:asciiTheme="minorEastAsia" w:hAnsiTheme="minorEastAsia" w:eastAsiaTheme="minorEastAsia" w:cstheme="minorEastAsia"/>
          <w:b w:val="0"/>
          <w:bCs/>
          <w:color w:val="auto"/>
          <w:kern w:val="2"/>
          <w:sz w:val="28"/>
          <w:szCs w:val="28"/>
          <w:highlight w:val="none"/>
          <w:lang w:val="en-US" w:eastAsia="zh-CN" w:bidi="ar-SA"/>
        </w:rPr>
        <w:t>，项目支出5,536.58万元，</w:t>
      </w:r>
      <w:r>
        <w:rPr>
          <w:rFonts w:hint="eastAsia" w:asciiTheme="minorEastAsia" w:hAnsiTheme="minorEastAsia" w:eastAsiaTheme="minorEastAsia" w:cstheme="minorEastAsia"/>
          <w:color w:val="auto"/>
          <w:sz w:val="28"/>
          <w:szCs w:val="28"/>
          <w:highlight w:val="white"/>
          <w:lang w:val="en-US"/>
        </w:rPr>
        <w:t>占</w:t>
      </w:r>
      <w:r>
        <w:rPr>
          <w:rFonts w:hint="eastAsia" w:asciiTheme="minorEastAsia" w:hAnsiTheme="minorEastAsia" w:eastAsiaTheme="minorEastAsia" w:cstheme="minorEastAsia"/>
          <w:color w:val="auto"/>
          <w:sz w:val="28"/>
          <w:szCs w:val="28"/>
          <w:highlight w:val="white"/>
          <w:lang w:val="en-US" w:eastAsia="zh-CN"/>
        </w:rPr>
        <w:t>总支出</w:t>
      </w:r>
      <w:r>
        <w:rPr>
          <w:rFonts w:hint="eastAsia" w:asciiTheme="minorEastAsia" w:hAnsiTheme="minorEastAsia" w:eastAsiaTheme="minorEastAsia" w:cstheme="minorEastAsia"/>
          <w:color w:val="auto"/>
          <w:sz w:val="28"/>
          <w:szCs w:val="28"/>
          <w:highlight w:val="white"/>
          <w:lang w:val="en-US"/>
        </w:rPr>
        <w:t>38.08%</w:t>
      </w:r>
      <w:r>
        <w:rPr>
          <w:rFonts w:hint="eastAsia" w:asciiTheme="minorEastAsia" w:hAnsiTheme="minorEastAsia" w:eastAsiaTheme="minorEastAsia" w:cstheme="minorEastAsia"/>
          <w:b w:val="0"/>
          <w:bCs/>
          <w:color w:val="auto"/>
          <w:kern w:val="2"/>
          <w:sz w:val="28"/>
          <w:szCs w:val="28"/>
          <w:highlight w:val="none"/>
          <w:lang w:val="en-US" w:eastAsia="zh-CN" w:bidi="ar-SA"/>
        </w:rPr>
        <w:t>；当年结存-5,641.78万元，累计结存141.44万元。</w:t>
      </w:r>
    </w:p>
    <w:p w14:paraId="2E743230">
      <w:pPr>
        <w:pStyle w:val="2"/>
        <w:keepNext w:val="0"/>
        <w:keepLines w:val="0"/>
        <w:pageBreakBefore w:val="0"/>
        <w:widowControl w:val="0"/>
        <w:kinsoku/>
        <w:wordWrap/>
        <w:overflowPunct/>
        <w:topLinePunct w:val="0"/>
        <w:autoSpaceDE/>
        <w:autoSpaceDN/>
        <w:bidi w:val="0"/>
        <w:adjustRightInd/>
        <w:snapToGrid/>
        <w:spacing w:after="0" w:line="520" w:lineRule="exact"/>
        <w:ind w:firstLine="562"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（二）</w:t>
      </w:r>
      <w:r>
        <w:rPr>
          <w:rFonts w:hint="eastAsia" w:asciiTheme="minorEastAsia" w:hAnsiTheme="minorEastAsia" w:eastAsiaTheme="minorEastAsia" w:cstheme="minorEastAsia"/>
          <w:b/>
          <w:bCs w:val="0"/>
          <w:sz w:val="28"/>
          <w:szCs w:val="28"/>
          <w:lang w:val="en-US" w:eastAsia="zh-CN"/>
        </w:rPr>
        <w:t>局机关</w:t>
      </w:r>
      <w:r>
        <w:rPr>
          <w:rFonts w:hint="eastAsia" w:asciiTheme="minorEastAsia" w:hAnsiTheme="minorEastAsia" w:eastAsiaTheme="minorEastAsia" w:cstheme="minorEastAsia"/>
          <w:b/>
          <w:bCs w:val="0"/>
          <w:color w:val="auto"/>
          <w:kern w:val="2"/>
          <w:sz w:val="28"/>
          <w:szCs w:val="28"/>
          <w:highlight w:val="none"/>
          <w:lang w:val="en-US" w:eastAsia="zh-CN" w:bidi="ar-SA"/>
        </w:rPr>
        <w:t>部门整体收支情况（决算报表）</w:t>
      </w:r>
    </w:p>
    <w:p w14:paraId="3A7ACE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1、收入情况：</w:t>
      </w:r>
    </w:p>
    <w:p w14:paraId="3B9DC6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至2021年末，收入合计8,218.83万元，其中：本年一般公共预算财政拨款收入合计4,743.93万元，年初结转结余收入3,474.90万元。</w:t>
      </w:r>
    </w:p>
    <w:p w14:paraId="7CE4C51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both"/>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支出情况</w:t>
      </w:r>
    </w:p>
    <w:p w14:paraId="648641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Cs/>
          <w:color w:val="auto"/>
          <w:kern w:val="2"/>
          <w:sz w:val="28"/>
          <w:szCs w:val="28"/>
          <w:highlight w:val="none"/>
          <w:lang w:val="en-US" w:eastAsia="zh-CN" w:bidi="ar-SA"/>
        </w:rPr>
        <w:t>至2021年末，支出合计8,218.83万元，其中：</w:t>
      </w:r>
      <w:r>
        <w:rPr>
          <w:rFonts w:hint="eastAsia" w:asciiTheme="minorEastAsia" w:hAnsiTheme="minorEastAsia" w:eastAsiaTheme="minorEastAsia" w:cstheme="minorEastAsia"/>
          <w:bCs/>
          <w:sz w:val="28"/>
          <w:szCs w:val="28"/>
          <w:lang w:val="en-US" w:eastAsia="zh-CN"/>
        </w:rPr>
        <w:t>基本支出3,395.25万元，项目支出4823.58万元。</w:t>
      </w:r>
    </w:p>
    <w:p w14:paraId="1DC740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
          <w:bCs w:val="0"/>
          <w:sz w:val="28"/>
          <w:szCs w:val="28"/>
          <w:highlight w:val="none"/>
          <w:lang w:val="en-US" w:eastAsia="zh-CN"/>
        </w:rPr>
        <w:t>（1）基本支出情况：</w:t>
      </w:r>
      <w:r>
        <w:rPr>
          <w:rFonts w:hint="eastAsia" w:asciiTheme="minorEastAsia" w:hAnsiTheme="minorEastAsia" w:eastAsiaTheme="minorEastAsia" w:cstheme="minorEastAsia"/>
          <w:bCs/>
          <w:sz w:val="28"/>
          <w:szCs w:val="28"/>
          <w:lang w:val="en-US" w:eastAsia="zh-CN"/>
        </w:rPr>
        <w:t>2021年局机关基本支出3,395.25万元，其中：人员经费支出2,024.49万元，占基本支出59.63%;公用经费支出1,370.76万元,占基本支出40.37%。具体支出项目如下：</w:t>
      </w:r>
    </w:p>
    <w:p w14:paraId="514D50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工资福利支出1,595.15元，支付</w:t>
      </w:r>
      <w:r>
        <w:rPr>
          <w:rFonts w:hint="eastAsia" w:asciiTheme="minorEastAsia" w:hAnsiTheme="minorEastAsia" w:eastAsiaTheme="minorEastAsia" w:cstheme="minorEastAsia"/>
          <w:bCs/>
          <w:sz w:val="28"/>
          <w:szCs w:val="28"/>
          <w:highlight w:val="none"/>
          <w:lang w:val="en-US" w:eastAsia="zh-CN"/>
        </w:rPr>
        <w:t>职工工资、津补贴、绩效工资及社会缴费等。</w:t>
      </w:r>
    </w:p>
    <w:p w14:paraId="3C0DE6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对个人和家庭补助支出429.34万元，主要开支退休费用、抚恤费、奖励金、其他对个人和家庭的补助等费用等。</w:t>
      </w:r>
    </w:p>
    <w:p w14:paraId="0B5CAE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lang w:val="en-US" w:eastAsia="zh-CN"/>
        </w:rPr>
        <w:t>商品和服务支出1,259.49万元，主要用于办公费、印刷费、水电费、邮电费、取暖费、物业费、差旅费、维修（护）费、租赁费、会议费、培训费、公务接待费、劳务费、委托业务费、工会经费、公务用车运行费、其他交通费用、其他商品和服务支出等机关运转费用支出。</w:t>
      </w:r>
    </w:p>
    <w:p w14:paraId="0A2527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资本性支出111.27万元万元,主要用于办公设备购置、其他资本性支出。</w:t>
      </w:r>
    </w:p>
    <w:p w14:paraId="277EBB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（2）项目（专项）支出</w:t>
      </w:r>
    </w:p>
    <w:p w14:paraId="5CC855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2021年度，市自然资源和规划局本部计划实施非基建项目16个，</w:t>
      </w:r>
      <w:r>
        <w:rPr>
          <w:rFonts w:hint="eastAsia" w:asciiTheme="minorEastAsia" w:hAnsiTheme="minorEastAsia" w:eastAsiaTheme="minorEastAsia" w:cstheme="minorEastAsia"/>
          <w:bCs/>
          <w:color w:val="auto"/>
          <w:sz w:val="28"/>
          <w:szCs w:val="28"/>
          <w:highlight w:val="none"/>
          <w:lang w:val="en-US" w:eastAsia="zh-CN"/>
        </w:rPr>
        <w:t>资金主要来源于财政专项拨款,项目</w:t>
      </w:r>
      <w:r>
        <w:rPr>
          <w:rFonts w:hint="eastAsia" w:asciiTheme="minorEastAsia" w:hAnsiTheme="minorEastAsia" w:eastAsiaTheme="minorEastAsia" w:cstheme="minorEastAsia"/>
          <w:bCs/>
          <w:sz w:val="28"/>
          <w:szCs w:val="28"/>
          <w:highlight w:val="none"/>
          <w:lang w:val="en-US" w:eastAsia="zh-CN"/>
        </w:rPr>
        <w:t>预算5,051.92万元，财政拨款4,823.58万元，实际专项支出4,823.58万元，具体支出项目如下：</w:t>
      </w:r>
    </w:p>
    <w:p w14:paraId="573AE4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档案馆装修费用24.12万元、耕地开发支出17.90万元，地质灾害防治628.77万元(3个）、矿产资源整治项目134.88万元、信息化建设项目53.59万元、土地出让专项支出94.05万元、扶贫费用121.38万元、规划编制经费2164.98万元、拨下属单位经费1043.90万元、扶贫费用29.23万元、执法经费支出57.51万元、机关运行经费108.34万元、农村宅基地确权登记116.46万元、控违支出228.46万元。</w:t>
      </w:r>
    </w:p>
    <w:p w14:paraId="4B057D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sz w:val="28"/>
          <w:szCs w:val="28"/>
          <w:highlight w:val="none"/>
          <w:lang w:val="en-US" w:eastAsia="zh-CN"/>
        </w:rPr>
        <w:t>5、三公经费使用和管理情况</w:t>
      </w:r>
    </w:p>
    <w:p w14:paraId="0F9540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1）市自然资源和规划局三公经费情况。至2021年末，市自然资源和规划局三公经费总预算85.2万元，其中公务接待费预算41.20万元，公务用车运维费预算44.00万元，因公出国费0万元；实际支出合计56.96万元，其中公务接待费支出23.20万元，公务用车运维费33.76万元，因公出国费0万元；总预算控制率66.85%,三公经费预算控制较好。</w:t>
      </w:r>
    </w:p>
    <w:p w14:paraId="580ED2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Cs/>
          <w:sz w:val="28"/>
          <w:szCs w:val="28"/>
          <w:highlight w:val="none"/>
          <w:lang w:val="en-US" w:eastAsia="zh-CN"/>
        </w:rPr>
        <w:t>（2）局机关三公经费情况。</w:t>
      </w:r>
      <w:r>
        <w:rPr>
          <w:rFonts w:hint="eastAsia" w:asciiTheme="minorEastAsia" w:hAnsiTheme="minorEastAsia" w:eastAsiaTheme="minorEastAsia" w:cstheme="minorEastAsia"/>
          <w:b w:val="0"/>
          <w:bCs/>
          <w:color w:val="auto"/>
          <w:kern w:val="2"/>
          <w:sz w:val="28"/>
          <w:szCs w:val="28"/>
          <w:highlight w:val="none"/>
          <w:lang w:val="en-US" w:eastAsia="zh-CN" w:bidi="ar-SA"/>
        </w:rPr>
        <w:t>至2021年末，局机关三公经费总预算36.00万元，其中公务接待费预算15.00万元，公务用车运维费预算21.00万元，因公出国费0万元；实际支出合计31.64万元，其中：公务接待费支出14.52万元，公务用车运维费支出17.12万元，因公出国费0万元。</w:t>
      </w:r>
    </w:p>
    <w:p w14:paraId="4832FD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（3）局机关三公经费管理情况。三公经费预算控制较好，预算控制率为87.88%，节省预算4.36万元；其中公务接待费预算控制率96.8%，公</w:t>
      </w:r>
      <w:r>
        <w:rPr>
          <w:rFonts w:hint="eastAsia" w:asciiTheme="minorEastAsia" w:hAnsiTheme="minorEastAsia" w:eastAsiaTheme="minorEastAsia" w:cstheme="minorEastAsia"/>
          <w:b w:val="0"/>
          <w:bCs/>
          <w:color w:val="auto"/>
          <w:kern w:val="2"/>
          <w:sz w:val="28"/>
          <w:szCs w:val="28"/>
          <w:highlight w:val="none"/>
          <w:lang w:val="en-US" w:eastAsia="zh-CN" w:bidi="ar-SA"/>
        </w:rPr>
        <w:t>务用车运维费预算控制率81.52%。</w:t>
      </w:r>
      <w:r>
        <w:rPr>
          <w:rFonts w:hint="eastAsia" w:asciiTheme="minorEastAsia" w:hAnsiTheme="minorEastAsia" w:eastAsiaTheme="minorEastAsia" w:cstheme="minorEastAsia"/>
          <w:bCs/>
          <w:sz w:val="28"/>
          <w:szCs w:val="28"/>
          <w:highlight w:val="none"/>
          <w:lang w:val="en-US" w:eastAsia="zh-CN"/>
        </w:rPr>
        <w:t>三公经费同期变动率稍大，2021年比2020年实际支出（45.06万元）节省13.42万元。</w:t>
      </w:r>
    </w:p>
    <w:p w14:paraId="6FA9E55B">
      <w:pPr>
        <w:pStyle w:val="6"/>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1C34A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四、内部管理情况</w:t>
      </w:r>
    </w:p>
    <w:p w14:paraId="75F841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（一）局机关固定资产管理情况分析</w:t>
      </w:r>
    </w:p>
    <w:p w14:paraId="6A068F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1、固定资产帐面情况</w:t>
      </w:r>
    </w:p>
    <w:p w14:paraId="710EA2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至2021年12月末，固定资产原值累计37231.37万元，累计折旧7784.38万元，帐面净值余额29,446.99万元，均为在用固定资产。其中：2021年新增固定资产40.51万元，主要增加电脑7台、电子屏2台、一体机5台、打印机4台、办公桌及家具等办公用品。</w:t>
      </w:r>
    </w:p>
    <w:p w14:paraId="3036144A">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固定资产管理情况</w:t>
      </w:r>
    </w:p>
    <w:p w14:paraId="6D8766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按照例行节约、物尽其用的原则，资规局机关资产管理采取统一建帐、统一核算管理，对每件固定资产使用明确保管职责，闲置的资产，由办公室统一调整，合理流动，发挥其效益。固定资产均按规定的程序报政府采购管理办公室批准购置，严格按固定资产管理办法进行核算及管理。</w:t>
      </w:r>
    </w:p>
    <w:p w14:paraId="2CF915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（二）重点项目组织实施情况</w:t>
      </w:r>
    </w:p>
    <w:p w14:paraId="41854E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度，资规局机关已完成国土资源类专项16个，实际专项支出4,823.58万元，由局机关相关部门负责组织实施，各相关部门按照相关制度及管理办法操作；项目立项依据充分，进行了财政评审，对符合招投标条件的均进行了公开招投标；达到政府采购限额标准的严格按政府采购规定操作，2021年政府采购货物支出276.39万元，政府采购授予中小企业合同金额276.39万元；严抓项目质量，做到严格实行公告制、合同制、招投标制、监理制和法人责任制；严把材料设备采购关、操作流程关；项目支出均按合同规定时间进度及质量要求支付，对于技术性强的土地综合整治及地质灾害防治工作，工程完工后，专门组织技术专家验收，听众专家意见，实行验收专家负责制。</w:t>
      </w:r>
    </w:p>
    <w:p w14:paraId="784679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（三）内部管理及财务管理制度建设情况</w:t>
      </w:r>
    </w:p>
    <w:p w14:paraId="0534FD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1、建立了专项资金财务管理制度。2019年省自然资源厅和省财政厅联合下发了专项资金管理办法。资规局严格遵照执行，并对局属各单位和县区分局进行督查。</w:t>
      </w:r>
    </w:p>
    <w:p w14:paraId="64F7FF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实行资金跟踪监控。机关制订较完整内部管理规章制度及财务管理制度，对项目资金使用实行专户储存、专账核算、专款专用三专管理。全程接受财政等部门的监管，严格执行国库集中支付制度,确保专款专用,严防截留、挪用资金。</w:t>
      </w:r>
    </w:p>
    <w:p w14:paraId="1452FF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健全财务管理机制。建立专项资金管理制度、领导责任制、会计制度和出纳制度等。制定了专项资金使用管理暂行办法、预算资金管理办法等制度,从资金取得—使用管理—用后监管都进行了规定,加强了专项资金使用过程的控制和追踪问效。严格执行国家各项财经纪律和财务制度。进一步加强和规范局机关资金使用审批程序和财务管理，提高资金使用效益，凡涉及政府采购的预算项目，严格按照《政府采购法》和《招投标法》的相关规定和程序执行。</w:t>
      </w:r>
    </w:p>
    <w:p w14:paraId="5DA1BB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4、加强会计基础工作管理。要求会计科目设置规范,账务处理正确,入账依据充分,各种审批手续完备；严格按预算管理要求使用资金,严格按进度和合同拨付资金,严格执行政府采购制度；执行预决算管理要求。</w:t>
      </w:r>
    </w:p>
    <w:p w14:paraId="09DEF4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5、严格审批程序。按照"先报再审后用”的原则,由实施方提出申请,相关单位签署意见确认工程数量和资金额度,经财务科初审后,报局分管领导审批。</w:t>
      </w:r>
    </w:p>
    <w:p w14:paraId="0373C7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6、实行“三个转变”。由传统财务核算管理向项目工程质量管理转变、由专项资金日常财务管理向专项资金绩效管理的转变、由被动管理向制度管理转变。</w:t>
      </w:r>
    </w:p>
    <w:p w14:paraId="1478F1C5">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0B6E52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（四）重大事项公开公示情况</w:t>
      </w:r>
    </w:p>
    <w:p w14:paraId="0A285E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 xml:space="preserve"> 自然资源和规划局官网对2021年度财政预算进行公示，2021年9月23日对年度决算情况进行公示。</w:t>
      </w:r>
    </w:p>
    <w:p w14:paraId="71B8B85E">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6D02E31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五、部门整体支出绩效评价工作实施情况</w:t>
      </w:r>
    </w:p>
    <w:p w14:paraId="2CFA51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（一）绩效评价工作的目的</w:t>
      </w:r>
    </w:p>
    <w:p w14:paraId="2E741C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通过绩效评价，全面了解工作目标是否合理；工作计划与实际完成情况之间的差异；管理制度健全性；实际人员与编制人员的控制比率；完成重点项目的力度；预算执行的完成率；支付进度率；“三公经费”控制率；政府采购执行率；资金使用合规性；资产管理利用率；社会效益、经济效益、服务对象满意率等。充分发挥财政资金的使用效益，更好地为国土资源事业服务。</w:t>
      </w:r>
    </w:p>
    <w:p w14:paraId="1528C9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（二）绩效自评的主要依据：</w:t>
      </w:r>
    </w:p>
    <w:p w14:paraId="5463377B">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绩效评价相关依据：《中华人民共和国预算法》、湖南省财政厅关于印发《湖南省省级预算部门绩效自评操作规程》、岳阳市财政局《关于全面开展2019年财政支出绩效自评工作的通知》、预算管理和绩效评价相关制度和文件。</w:t>
      </w:r>
    </w:p>
    <w:p w14:paraId="6A51FBFB">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2、市自然资源和规划局相关资料：“三定”方案；</w:t>
      </w:r>
      <w:r>
        <w:rPr>
          <w:rFonts w:hint="eastAsia" w:asciiTheme="minorEastAsia" w:hAnsiTheme="minorEastAsia" w:eastAsiaTheme="minorEastAsia" w:cstheme="minorEastAsia"/>
          <w:sz w:val="28"/>
          <w:szCs w:val="28"/>
          <w:lang w:val="en-US" w:eastAsia="zh-CN"/>
        </w:rPr>
        <w:t>市自然资源和规划</w:t>
      </w:r>
      <w:r>
        <w:rPr>
          <w:rFonts w:hint="eastAsia" w:asciiTheme="minorEastAsia" w:hAnsiTheme="minorEastAsia" w:eastAsiaTheme="minorEastAsia" w:cstheme="minorEastAsia"/>
          <w:sz w:val="28"/>
          <w:szCs w:val="28"/>
        </w:rPr>
        <w:t>局党组书记局长陈峰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2021年</w:t>
      </w:r>
      <w:r>
        <w:rPr>
          <w:rFonts w:hint="eastAsia" w:asciiTheme="minorEastAsia" w:hAnsiTheme="minorEastAsia" w:eastAsiaTheme="minorEastAsia" w:cstheme="minorEastAsia"/>
          <w:sz w:val="28"/>
          <w:szCs w:val="28"/>
        </w:rPr>
        <w:t>全市自然资源和规划工作</w:t>
      </w:r>
      <w:r>
        <w:rPr>
          <w:rFonts w:hint="eastAsia" w:asciiTheme="minorEastAsia" w:hAnsiTheme="minorEastAsia" w:eastAsiaTheme="minorEastAsia" w:cstheme="minorEastAsia"/>
          <w:sz w:val="28"/>
          <w:szCs w:val="28"/>
          <w:lang w:val="en-US" w:eastAsia="zh-CN"/>
        </w:rPr>
        <w:t>报告》、</w:t>
      </w:r>
      <w:r>
        <w:rPr>
          <w:rFonts w:hint="eastAsia" w:asciiTheme="minorEastAsia" w:hAnsiTheme="minorEastAsia" w:eastAsiaTheme="minorEastAsia" w:cstheme="minorEastAsia"/>
          <w:b w:val="0"/>
          <w:bCs w:val="0"/>
          <w:color w:val="000000"/>
          <w:kern w:val="0"/>
          <w:sz w:val="28"/>
          <w:szCs w:val="28"/>
          <w:lang w:val="en-US" w:eastAsia="zh-CN"/>
        </w:rPr>
        <w:t>岳阳市自然资源和规划局《</w:t>
      </w:r>
      <w:r>
        <w:rPr>
          <w:rFonts w:hint="eastAsia" w:asciiTheme="minorEastAsia" w:hAnsiTheme="minorEastAsia" w:eastAsiaTheme="minorEastAsia" w:cstheme="minorEastAsia"/>
          <w:bCs/>
          <w:sz w:val="28"/>
          <w:szCs w:val="28"/>
          <w:highlight w:val="none"/>
          <w:lang w:val="en-US" w:eastAsia="zh-CN"/>
        </w:rPr>
        <w:t>2021年度工作总结及2022年工作思路》、市自然资源和规划局2021年决算报表</w:t>
      </w:r>
    </w:p>
    <w:p w14:paraId="6976B8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3、相关行业政策、行业标准及专业技术规范；</w:t>
      </w:r>
    </w:p>
    <w:p w14:paraId="28D18F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highlight w:val="none"/>
          <w:lang w:val="en-US" w:eastAsia="zh-CN"/>
        </w:rPr>
        <w:t>4、其他相关资料。</w:t>
      </w:r>
    </w:p>
    <w:p w14:paraId="732176FC">
      <w:pPr>
        <w:pStyle w:val="6"/>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z w:val="28"/>
          <w:szCs w:val="28"/>
          <w:lang w:val="en-US" w:eastAsia="zh-CN"/>
        </w:rPr>
      </w:pPr>
    </w:p>
    <w:p w14:paraId="20858D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（二）部门整体支出评价原则、指标评价体系、评价方法</w:t>
      </w:r>
    </w:p>
    <w:p w14:paraId="49F82B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1、部门整体支出评价原则</w:t>
      </w:r>
    </w:p>
    <w:p w14:paraId="6232EE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遵循客观公正，操作简便高效，尊重客观实际，实事求是的原则。</w:t>
      </w:r>
    </w:p>
    <w:p w14:paraId="52888B29">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部门整体支出指标评价体系</w:t>
      </w:r>
    </w:p>
    <w:p w14:paraId="785525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指标体系包括共性指标和个性指标两部分，本次主要参照了财政部门制定的《部门整体支出绩效评价指标体系》的相关内容，根据部门具体情况对个性指标进行了调整细化，形成了《岳阳市2020年度资规局整体支出绩效评价指标体系》。</w:t>
      </w:r>
    </w:p>
    <w:p w14:paraId="528A84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3、评分等级标准。</w:t>
      </w:r>
    </w:p>
    <w:p w14:paraId="7D3342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评价等次分为优秀（S≧90）、良好（90&gt;S≧80）、合格（80&gt;S≧70）不合格S&lt;70）4个评价等次。</w:t>
      </w:r>
    </w:p>
    <w:p w14:paraId="13CA6F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4、本次绩效评价方法</w:t>
      </w:r>
    </w:p>
    <w:p w14:paraId="30C190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主要采取目标评价法、询问查证法及定性和定量相结合的方法进行评分；通过听取项目情况介绍，评价人员座谈交流等方式进行定性评分；制定评价指标，通过评价指标对项目进行定量评分。  </w:t>
      </w:r>
    </w:p>
    <w:p w14:paraId="37CEE6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（三）绩效评价工作过程</w:t>
      </w:r>
    </w:p>
    <w:p w14:paraId="73C551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1、前期准备： 按照市财政对绩效评价的要求我单位成立了绩效评价小组，并进行职责分工，下发评价通知。根据资规局机关2021年工作重点及计划完成情况，制定的绩效评价工作方案，设计了绩效评价指标体系和问卷调查表。</w:t>
      </w:r>
    </w:p>
    <w:p w14:paraId="34D8D5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组织实施：评价小组核查2021年岳阳市财政预算批复执行及部门整体支出情况，着重核查了“三公”经费及资产管理、内部控制制度情况，认真对照上级下达的目标任务及单位工作计划等文件，核实年度目标定性、定量目标任务完成情况，并按照绩效评价自评表分值进行自评分；通过财务数据分析当年收入、支出、结余情况，编制基础数据。</w:t>
      </w:r>
    </w:p>
    <w:p w14:paraId="11331E7E">
      <w:pPr>
        <w:pStyle w:val="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3、撰写自评报告。评价小组根据绩效评价收集资料及数据，进行分析、核算、讨论、汇总，形成自评报告初稿，经相关领导审核后形成《岳阳市自然资源和规划局机关2021年整体支出绩效自评报告》。</w:t>
      </w:r>
    </w:p>
    <w:p w14:paraId="1C1FD1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yellow"/>
          <w:lang w:val="en-US" w:eastAsia="zh-CN"/>
        </w:rPr>
      </w:pPr>
      <w:r>
        <w:rPr>
          <w:rFonts w:hint="eastAsia" w:asciiTheme="minorEastAsia" w:hAnsiTheme="minorEastAsia" w:eastAsiaTheme="minorEastAsia" w:cstheme="minorEastAsia"/>
          <w:b/>
          <w:bCs w:val="0"/>
          <w:sz w:val="28"/>
          <w:szCs w:val="28"/>
          <w:highlight w:val="none"/>
          <w:lang w:val="en-US" w:eastAsia="zh-CN"/>
        </w:rPr>
        <w:t>六、整体支出主要绩效及结论</w:t>
      </w:r>
    </w:p>
    <w:p w14:paraId="28510E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（一）</w:t>
      </w:r>
      <w:r>
        <w:rPr>
          <w:rFonts w:hint="eastAsia" w:asciiTheme="minorEastAsia" w:hAnsiTheme="minorEastAsia" w:eastAsiaTheme="minorEastAsia" w:cstheme="minorEastAsia"/>
          <w:b/>
          <w:bCs w:val="0"/>
          <w:sz w:val="28"/>
          <w:szCs w:val="28"/>
          <w:highlight w:val="none"/>
          <w:lang w:val="en-US" w:eastAsia="zh-CN"/>
        </w:rPr>
        <w:t>评价结论</w:t>
      </w:r>
    </w:p>
    <w:p w14:paraId="647882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市自然资源和规划局全体工作人员认真履行本部门职责职能，紧紧围绕部门全年工作重点，制订了详细、具体目标，较好地完成各项年度目标任务，全面推进自然资源各项工作高质量发展，具有良好社会效益、经济效益、生态环境效益。各项工作得到了自然资源部、省委省政府、省自然资源厅、市委市政府及中国测绘学会等争先创优先进等荣誉，2021年获得34个奖项，其中自然资源部级奖项4个，省级奖项11个，市级奖项19个，取得丰硕成果。</w:t>
      </w:r>
    </w:p>
    <w:p w14:paraId="41E2C4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根据评价指标综合自评，得分为94分，评价等级确认为“优秀”。其中：</w:t>
      </w:r>
    </w:p>
    <w:p w14:paraId="3B77FE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1、资金投入总分15分，得分13分，  扣2分</w:t>
      </w:r>
    </w:p>
    <w:p w14:paraId="12D0CD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2、过程管理总分40分，得分36分，  扣4分</w:t>
      </w:r>
    </w:p>
    <w:p w14:paraId="7C09ED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3、产出管理总分25分，得分25分，  扣0分</w:t>
      </w:r>
    </w:p>
    <w:p w14:paraId="0A01F1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4、绩效管理总分20分，得分20分，  扣0分</w:t>
      </w:r>
    </w:p>
    <w:p w14:paraId="264141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具体见《岳阳市自然资源和规划局（机关）整体支出绩效评价评分表》</w:t>
      </w:r>
    </w:p>
    <w:p w14:paraId="17AD597F">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2434B4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（二）主要绩效分析</w:t>
      </w:r>
    </w:p>
    <w:p w14:paraId="79374E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1、突出规划引领，守护一江碧水</w:t>
      </w:r>
    </w:p>
    <w:p w14:paraId="745CA1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精心编制空间规划。统筹划定“三条控制线”，初步划定永久基本农田2956.1平方公里，生态保护红线3380.6平方公里，城镇开发边界664.5平方公里；开展了多类型、多专业的十大专题报告研究，启动了新一轮控规修编，建设了“多规合一”“一张图”平台；编制了《“一湖两岸”城市设计》，并作为湖南省唯一“城市设计”案例入选自然资源部建党100周年优秀案例评选；完成了461个村庄的基础调查、村域国土空间保护开发现状分析评价、初步方案咨询论证、规划方案村内公示等工作，全省国土空间优秀案例岳阳市获得5个奖项，本局被评为优秀组织单位。</w:t>
      </w:r>
    </w:p>
    <w:p w14:paraId="7A0F08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着力生态修复治理。做好了“‘十四五’期间第二批山水林田湖草沙一体化保护和修复工程项目”申报工作，开展历史遗留矿山图斑核查，上报确认未修复历史遗留矿山683公顷，计划十四五期间修复约546公顷，拟实现修复率80%。</w:t>
      </w:r>
    </w:p>
    <w:p w14:paraId="5E440E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加快了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14:paraId="456719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2、严格保护耕地，落实基本国策</w:t>
      </w:r>
    </w:p>
    <w:p w14:paraId="658D6D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落实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单位。</w:t>
      </w:r>
    </w:p>
    <w:p w14:paraId="7D0D0A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全面强化督查执法。抓实“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14:paraId="5BC209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（3）做好资源调查工作。完成了耕地后备资源调查和规划划定、城镇低效用地专项调查、农村空心房专项调查、年度国土变更调查等工作，成果上报省厅并通过省级核查。</w:t>
      </w:r>
    </w:p>
    <w:p w14:paraId="075AEA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3、科学配置要素，保障经济发展。</w:t>
      </w:r>
    </w:p>
    <w:p w14:paraId="30211C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强化土地要素保障。围绕岳阳七大千亿产业和“12+1”优势产业链，深入推进土地全生命周期管理，落实“限期供地”“净地出让”，己内酰胺、市中心医院等一大批重大项目顺利落地，截至12月底，全市清零验收121个土地依法征收项目，完成建设用地供应1099宗2811.02公顷，实现土地价款282.62亿元，价款同比增长72.87%，其中市中心城区166.91亿元，同比增长214.27%，追缴往年欠缴土地出让金12.32亿元。</w:t>
      </w:r>
    </w:p>
    <w:p w14:paraId="3E6622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持续优化营商环境。深化建设工程审批制度改革，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积极服务园区自贸区建设，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14:paraId="650F43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落实集约节约用地。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14:paraId="414D622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4、聚焦民生福祉，维护群众权益</w:t>
      </w:r>
    </w:p>
    <w:p w14:paraId="419D4D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（1）扎实开展地灾防治。积极开展防灾避险知识科普宣传和综合演练，全市共举办应急避险演练41次；坚持人防技防相结合，成功避险2起，持续保持地灾隐患点“零死亡”。</w:t>
      </w:r>
    </w:p>
    <w:p w14:paraId="4E5ADB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14:paraId="1D128C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14:paraId="3C1E75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14:paraId="22F8D1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5、强化基础支撑，提升软硬实力。</w:t>
      </w:r>
    </w:p>
    <w:p w14:paraId="5D6727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深化机构改革，强化了人才培养，推进信息化建设，抓实信访维稳。</w:t>
      </w:r>
    </w:p>
    <w:p w14:paraId="5AA438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6、坚持党建引领，筑牢廉洁底线</w:t>
      </w:r>
    </w:p>
    <w:p w14:paraId="613B09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站稳政治立场，巩固基层党建，狠抓意识形态，加强廉政建设。</w:t>
      </w:r>
    </w:p>
    <w:p w14:paraId="2C6982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p>
    <w:p w14:paraId="3CA32F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七、存在的主要问题及建议</w:t>
      </w:r>
    </w:p>
    <w:p w14:paraId="312469E9">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val="0"/>
          <w:sz w:val="28"/>
          <w:szCs w:val="28"/>
          <w:highlight w:val="none"/>
          <w:lang w:val="en-US" w:eastAsia="zh-CN"/>
        </w:rPr>
        <w:t xml:space="preserve">    （一）存在问题</w:t>
      </w:r>
    </w:p>
    <w:p w14:paraId="52C16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1、项目绩效管理有待加强。2021年非基建项目16个，专项经费4,823.58万元，由于项目多、涉及部门多，部分项目支出未按绩效管理要求，进行年度自评，考核项目实施绩效。</w:t>
      </w:r>
    </w:p>
    <w:p w14:paraId="63382EF0">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2、决算公开不够及时。根据规定，2021年部门决算应在8月22日在相关网站进行公示，局机关决算信息未在规定的时间内公示，稍有延期。</w:t>
      </w:r>
    </w:p>
    <w:p w14:paraId="5E799D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预算编制科学性、合理性有待提高。2021年市自然资源和规划局三公经费预算公开表总额为381.7万元，实际支出85.2万元，预算与实际支出相差金额较大，预算编制科学性、合理性有待提高。原因：三公经费预算金额由相关系统测算，与实际存在差距。</w:t>
      </w:r>
    </w:p>
    <w:p w14:paraId="0C693A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实际在岗人数超编制人数。编委定编99人，实际岗位人数133人（包含借调部分分局和二级机构人员），超编委定编人员34人，超编34.34%，存在占用个别分局和二级机构人力资源的现象。原因：自然资源局机构改革事多、事杂，机关工作人员不够，暂借用个别分局和二级机构工作人员。</w:t>
      </w:r>
    </w:p>
    <w:p w14:paraId="03CD6724">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Cs/>
          <w:kern w:val="2"/>
          <w:sz w:val="28"/>
          <w:szCs w:val="28"/>
          <w:highlight w:val="none"/>
          <w:lang w:val="en-US" w:eastAsia="zh-CN" w:bidi="ar-SA"/>
        </w:rPr>
      </w:pPr>
      <w:r>
        <w:rPr>
          <w:rFonts w:hint="eastAsia" w:asciiTheme="minorEastAsia" w:hAnsiTheme="minorEastAsia" w:eastAsiaTheme="minorEastAsia" w:cstheme="minorEastAsia"/>
          <w:bCs/>
          <w:kern w:val="2"/>
          <w:sz w:val="28"/>
          <w:szCs w:val="28"/>
          <w:highlight w:val="none"/>
          <w:lang w:val="en-US" w:eastAsia="zh-CN" w:bidi="ar-SA"/>
        </w:rPr>
        <w:t xml:space="preserve">    5、固定资产更新有待加强。由于原国土局与规划局合并，原固定资产陈旧，有超保质期限的问题，需进行报损处理进行更新。</w:t>
      </w:r>
    </w:p>
    <w:p w14:paraId="51461A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kern w:val="2"/>
          <w:sz w:val="28"/>
          <w:szCs w:val="28"/>
          <w:highlight w:val="none"/>
          <w:lang w:val="en-US" w:eastAsia="zh-CN" w:bidi="ar-SA"/>
        </w:rPr>
        <w:t>（二）改进措施和</w:t>
      </w:r>
      <w:r>
        <w:rPr>
          <w:rFonts w:hint="eastAsia" w:asciiTheme="minorEastAsia" w:hAnsiTheme="minorEastAsia" w:eastAsiaTheme="minorEastAsia" w:cstheme="minorEastAsia"/>
          <w:b/>
          <w:bCs w:val="0"/>
          <w:sz w:val="28"/>
          <w:szCs w:val="28"/>
          <w:highlight w:val="none"/>
          <w:lang w:val="en-US" w:eastAsia="zh-CN"/>
        </w:rPr>
        <w:t>有关建议</w:t>
      </w:r>
    </w:p>
    <w:p w14:paraId="4A66FF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加强项目支出的绩效管理。根据绩效管理要求，项目实施部门选择部分项目进行绩效自评，评价项目资金投入和使用情况，项目主要任务完成情况，项目绩效情况；通过自评，及时发现问题，及时整改，保障项目按时、按质、按量完成绩效目标。</w:t>
      </w:r>
    </w:p>
    <w:p w14:paraId="35D11B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2、合理编制年度预算。参考上年度预算执行情况和本年度收支预测，制订科学合理的预算标准，将预算支出项目细化，遵循实事求是的原则，进一步提高预算的可执行性。</w:t>
      </w:r>
    </w:p>
    <w:p w14:paraId="74998F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3、进一步加强资产管理。应对账面固定资产实物进行核查，对历年应收、应付呆账等进行清理、处置,调整账务，夯实资产资金管理基础，摸清资产家底，以最大限度利用好现有资产。</w:t>
      </w:r>
    </w:p>
    <w:p w14:paraId="51EDF143">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4、及时决算公开。部门决算按规定时间及时在相关网站进行公示，保障决算数据透明性、公开性，财政资金得到公众监督。</w:t>
      </w:r>
    </w:p>
    <w:p w14:paraId="0B1D86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p>
    <w:p w14:paraId="4E74F2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八、其他需要说明的问题</w:t>
      </w:r>
    </w:p>
    <w:p w14:paraId="1DD582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无其他需要说明的问题</w:t>
      </w:r>
    </w:p>
    <w:p w14:paraId="4F3574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p>
    <w:p w14:paraId="065AACA6">
      <w:pPr>
        <w:pageBreakBefore w:val="0"/>
        <w:widowControl w:val="0"/>
        <w:numPr>
          <w:ilvl w:val="0"/>
          <w:numId w:val="0"/>
        </w:numPr>
        <w:kinsoku/>
        <w:wordWrap/>
        <w:overflowPunct/>
        <w:topLinePunct w:val="0"/>
        <w:autoSpaceDE/>
        <w:bidi w:val="0"/>
        <w:adjustRightInd/>
        <w:snapToGrid/>
        <w:spacing w:line="520" w:lineRule="exact"/>
        <w:ind w:firstLine="560" w:firstLineChars="200"/>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附件：绩效评价通知</w:t>
      </w:r>
    </w:p>
    <w:p w14:paraId="2E2F13CF">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市自然资源和规划局机关整体支出绩效评价评分表</w:t>
      </w:r>
    </w:p>
    <w:p w14:paraId="3DFAC434">
      <w:pPr>
        <w:pageBreakBefore w:val="0"/>
        <w:widowControl w:val="0"/>
        <w:numPr>
          <w:ilvl w:val="0"/>
          <w:numId w:val="0"/>
        </w:numPr>
        <w:kinsoku/>
        <w:wordWrap/>
        <w:overflowPunct/>
        <w:topLinePunct w:val="0"/>
        <w:autoSpaceDE/>
        <w:bidi w:val="0"/>
        <w:adjustRightInd/>
        <w:snapToGrid/>
        <w:spacing w:line="520" w:lineRule="exact"/>
        <w:rPr>
          <w:rFonts w:hint="eastAsia" w:asciiTheme="minorEastAsia" w:hAnsiTheme="minorEastAsia" w:eastAsiaTheme="minorEastAsia" w:cstheme="minorEastAsia"/>
          <w:bCs/>
          <w:sz w:val="28"/>
          <w:szCs w:val="28"/>
          <w:highlight w:val="none"/>
          <w:lang w:val="en-US" w:eastAsia="zh-CN"/>
        </w:rPr>
      </w:pPr>
    </w:p>
    <w:p w14:paraId="786E226B">
      <w:pPr>
        <w:numPr>
          <w:ilvl w:val="0"/>
          <w:numId w:val="0"/>
        </w:numPr>
        <w:spacing w:line="440" w:lineRule="exact"/>
        <w:rPr>
          <w:rFonts w:hint="default" w:ascii="宋体" w:hAnsi="宋体" w:cs="宋体"/>
          <w:bCs/>
          <w:sz w:val="28"/>
          <w:szCs w:val="28"/>
          <w:highlight w:val="none"/>
          <w:lang w:val="en-US" w:eastAsia="zh-CN"/>
        </w:rPr>
      </w:pPr>
    </w:p>
    <w:p w14:paraId="1DB80AD1">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7984D9BC">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613E9F34">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湖南恒兴联合                 中国注册会计师:</w:t>
      </w:r>
    </w:p>
    <w:p w14:paraId="370897B8">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2A7AFA15">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会计师事务所                 中国注册会计师：</w:t>
      </w:r>
    </w:p>
    <w:p w14:paraId="1671B671">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3861BAF3">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湖南.岳阳                   二〇二</w:t>
      </w:r>
      <w:r>
        <w:rPr>
          <w:rFonts w:hint="eastAsia" w:ascii="宋体" w:hAnsi="宋体" w:cs="宋体"/>
          <w:bCs/>
          <w:sz w:val="28"/>
          <w:szCs w:val="28"/>
          <w:highlight w:val="none"/>
          <w:lang w:val="en-US" w:eastAsia="zh-CN"/>
        </w:rPr>
        <w:t>二</w:t>
      </w:r>
      <w:r>
        <w:rPr>
          <w:rFonts w:hint="default" w:ascii="宋体" w:hAnsi="宋体" w:cs="宋体"/>
          <w:bCs/>
          <w:sz w:val="28"/>
          <w:szCs w:val="28"/>
          <w:highlight w:val="none"/>
          <w:lang w:val="en-US" w:eastAsia="zh-CN"/>
        </w:rPr>
        <w:t>年</w:t>
      </w:r>
      <w:r>
        <w:rPr>
          <w:rFonts w:hint="eastAsia" w:ascii="宋体" w:hAnsi="宋体" w:cs="宋体"/>
          <w:bCs/>
          <w:sz w:val="28"/>
          <w:szCs w:val="28"/>
          <w:highlight w:val="none"/>
          <w:lang w:val="en-US" w:eastAsia="zh-CN"/>
        </w:rPr>
        <w:t>九</w:t>
      </w:r>
      <w:r>
        <w:rPr>
          <w:rFonts w:hint="default" w:ascii="宋体" w:hAnsi="宋体" w:cs="宋体"/>
          <w:bCs/>
          <w:sz w:val="28"/>
          <w:szCs w:val="28"/>
          <w:highlight w:val="none"/>
          <w:lang w:val="en-US" w:eastAsia="zh-CN"/>
        </w:rPr>
        <w:t>月二十日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C9C3D">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9ED79"/>
    <w:multiLevelType w:val="singleLevel"/>
    <w:tmpl w:val="E0E9ED79"/>
    <w:lvl w:ilvl="0" w:tentative="0">
      <w:start w:val="2"/>
      <w:numFmt w:val="decimal"/>
      <w:suff w:val="nothing"/>
      <w:lvlText w:val="%1、"/>
      <w:lvlJc w:val="left"/>
    </w:lvl>
  </w:abstractNum>
  <w:abstractNum w:abstractNumId="1">
    <w:nsid w:val="0229B9FA"/>
    <w:multiLevelType w:val="singleLevel"/>
    <w:tmpl w:val="0229B9FA"/>
    <w:lvl w:ilvl="0" w:tentative="0">
      <w:start w:val="2"/>
      <w:numFmt w:val="decimal"/>
      <w:suff w:val="nothing"/>
      <w:lvlText w:val="%1、"/>
      <w:lvlJc w:val="left"/>
    </w:lvl>
  </w:abstractNum>
  <w:abstractNum w:abstractNumId="2">
    <w:nsid w:val="215067DD"/>
    <w:multiLevelType w:val="singleLevel"/>
    <w:tmpl w:val="215067DD"/>
    <w:lvl w:ilvl="0" w:tentative="0">
      <w:start w:val="1"/>
      <w:numFmt w:val="decimal"/>
      <w:lvlText w:val="%1."/>
      <w:lvlJc w:val="left"/>
      <w:pPr>
        <w:tabs>
          <w:tab w:val="left" w:pos="312"/>
        </w:tabs>
      </w:pPr>
    </w:lvl>
  </w:abstractNum>
  <w:abstractNum w:abstractNumId="3">
    <w:nsid w:val="7A2B7A44"/>
    <w:multiLevelType w:val="singleLevel"/>
    <w:tmpl w:val="7A2B7A44"/>
    <w:lvl w:ilvl="0" w:tentative="0">
      <w:start w:val="2"/>
      <w:numFmt w:val="chineseCounting"/>
      <w:suff w:val="nothing"/>
      <w:lvlText w:val="（%1）"/>
      <w:lvlJc w:val="left"/>
      <w:pPr>
        <w:ind w:left="630" w:leftChars="0" w:firstLine="0" w:firstLineChars="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zIxZTY5Njc5YjJmMmUwOTAzMzg4ZDAwOTc1YTAifQ=="/>
  </w:docVars>
  <w:rsids>
    <w:rsidRoot w:val="00172A27"/>
    <w:rsid w:val="07772530"/>
    <w:rsid w:val="0A184C5E"/>
    <w:rsid w:val="0A583B92"/>
    <w:rsid w:val="0D08068F"/>
    <w:rsid w:val="0ED54E67"/>
    <w:rsid w:val="0EEA7130"/>
    <w:rsid w:val="0F145CE2"/>
    <w:rsid w:val="0FA83AEC"/>
    <w:rsid w:val="10260A97"/>
    <w:rsid w:val="106E0F54"/>
    <w:rsid w:val="107C2883"/>
    <w:rsid w:val="10E548CC"/>
    <w:rsid w:val="116B3023"/>
    <w:rsid w:val="11847C41"/>
    <w:rsid w:val="1263719A"/>
    <w:rsid w:val="12CA0DC2"/>
    <w:rsid w:val="139A199E"/>
    <w:rsid w:val="16E52614"/>
    <w:rsid w:val="1A0641EC"/>
    <w:rsid w:val="1A0F4551"/>
    <w:rsid w:val="1A8225F1"/>
    <w:rsid w:val="1DB00010"/>
    <w:rsid w:val="21C40AAC"/>
    <w:rsid w:val="240E771F"/>
    <w:rsid w:val="24AD7223"/>
    <w:rsid w:val="25286B70"/>
    <w:rsid w:val="25D07DA6"/>
    <w:rsid w:val="298567F4"/>
    <w:rsid w:val="2C1D4AC2"/>
    <w:rsid w:val="2C8114F5"/>
    <w:rsid w:val="2F3B2DA0"/>
    <w:rsid w:val="300C7328"/>
    <w:rsid w:val="30640F12"/>
    <w:rsid w:val="323B2B8E"/>
    <w:rsid w:val="33A86E90"/>
    <w:rsid w:val="340F73E6"/>
    <w:rsid w:val="35DA1C76"/>
    <w:rsid w:val="37BF1123"/>
    <w:rsid w:val="380044D3"/>
    <w:rsid w:val="38BE5ED9"/>
    <w:rsid w:val="3DDD212B"/>
    <w:rsid w:val="3FB35A12"/>
    <w:rsid w:val="3FD339BE"/>
    <w:rsid w:val="46FF0150"/>
    <w:rsid w:val="4A733183"/>
    <w:rsid w:val="52E57838"/>
    <w:rsid w:val="531E2D4A"/>
    <w:rsid w:val="554D7917"/>
    <w:rsid w:val="569972B8"/>
    <w:rsid w:val="56DB2F3B"/>
    <w:rsid w:val="574C19DE"/>
    <w:rsid w:val="58697EF4"/>
    <w:rsid w:val="5ED339EB"/>
    <w:rsid w:val="618636DE"/>
    <w:rsid w:val="628237BE"/>
    <w:rsid w:val="66313984"/>
    <w:rsid w:val="685E210F"/>
    <w:rsid w:val="6ACD532A"/>
    <w:rsid w:val="6B790669"/>
    <w:rsid w:val="6DBC51E2"/>
    <w:rsid w:val="6F2221F6"/>
    <w:rsid w:val="6F7E103C"/>
    <w:rsid w:val="71F43398"/>
    <w:rsid w:val="720C0443"/>
    <w:rsid w:val="73176B8B"/>
    <w:rsid w:val="731C48E6"/>
    <w:rsid w:val="743B1228"/>
    <w:rsid w:val="75463AA4"/>
    <w:rsid w:val="75907680"/>
    <w:rsid w:val="77383B2B"/>
    <w:rsid w:val="78A813DF"/>
    <w:rsid w:val="7AF64429"/>
    <w:rsid w:val="7CFE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unhideWhenUsed/>
    <w:qFormat/>
    <w:uiPriority w:val="99"/>
    <w:pPr>
      <w:ind w:firstLine="420" w:firstLineChars="200"/>
    </w:pPr>
  </w:style>
  <w:style w:type="character" w:customStyle="1" w:styleId="9">
    <w:name w:val="NormalCharacter"/>
    <w:link w:val="10"/>
    <w:qFormat/>
    <w:uiPriority w:val="0"/>
  </w:style>
  <w:style w:type="paragraph" w:customStyle="1" w:styleId="10">
    <w:name w:val="UserStyle_2"/>
    <w:basedOn w:val="1"/>
    <w:link w:val="9"/>
    <w:qFormat/>
    <w:uiPriority w:val="0"/>
    <w:pPr>
      <w:spacing w:line="360" w:lineRule="auto"/>
      <w:jc w:val="both"/>
      <w:textAlignment w:val="baseline"/>
    </w:pPr>
  </w:style>
  <w:style w:type="character" w:customStyle="1" w:styleId="11">
    <w:name w:val="font11"/>
    <w:basedOn w:val="8"/>
    <w:qFormat/>
    <w:uiPriority w:val="0"/>
    <w:rPr>
      <w:rFonts w:hint="default" w:ascii="仿宋_GB2312" w:eastAsia="仿宋_GB2312" w:cs="仿宋_GB2312"/>
      <w:b/>
      <w:bCs/>
      <w:color w:val="000000"/>
      <w:sz w:val="24"/>
      <w:szCs w:val="24"/>
      <w:u w:val="none"/>
    </w:rPr>
  </w:style>
  <w:style w:type="character" w:customStyle="1" w:styleId="12">
    <w:name w:val="font41"/>
    <w:basedOn w:val="8"/>
    <w:qFormat/>
    <w:uiPriority w:val="0"/>
    <w:rPr>
      <w:rFonts w:hint="default" w:ascii="仿宋_GB2312" w:eastAsia="仿宋_GB2312" w:cs="仿宋_GB2312"/>
      <w:b/>
      <w:bCs/>
      <w:color w:val="000000"/>
      <w:sz w:val="24"/>
      <w:szCs w:val="24"/>
      <w:u w:val="none"/>
    </w:rPr>
  </w:style>
  <w:style w:type="character" w:customStyle="1" w:styleId="13">
    <w:name w:val="font71"/>
    <w:basedOn w:val="8"/>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9264</Words>
  <Characters>10432</Characters>
  <Lines>0</Lines>
  <Paragraphs>0</Paragraphs>
  <TotalTime>8</TotalTime>
  <ScaleCrop>false</ScaleCrop>
  <LinksUpToDate>false</LinksUpToDate>
  <CharactersWithSpaces>10548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2021-06-10T03:41:00Z</dcterms:created>
  <dc:creator>Lenovo</dc:creator>
  <cp:lastModifiedBy>叶宏欢</cp:lastModifiedBy>
  <cp:lastPrinted>2022-09-19T07:03:00Z</cp:lastPrinted>
  <dcterms:modified xsi:type="dcterms:W3CDTF">2025-11-21T00:48:49Z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463D07FCBCD8488FB065E426C34C080F</vt:lpwstr>
  </property>
  <property fmtid="{D5CDD505-2E9C-101B-9397-08002B2CF9AE}" pid="4" name="KSOTemplateDocerSaveRecord">
    <vt:lpwstr>eyJoZGlkIjoiNmFhNTIwY2JhYmJhYmFmMDMwZjE4YTRjYzM4MDkwMTQiLCJ1c2VySWQiOiIxNDgxMDAwNDg1In0=</vt:lpwstr>
  </property>
</Properties>
</file>