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064C0">
      <w:pPr>
        <w:pStyle w:val="12"/>
        <w:jc w:val="center"/>
        <w:rPr>
          <w:sz w:val="56"/>
          <w:szCs w:val="56"/>
        </w:rPr>
      </w:pPr>
    </w:p>
    <w:p w14:paraId="1621C516">
      <w:pPr>
        <w:pStyle w:val="12"/>
        <w:jc w:val="center"/>
        <w:rPr>
          <w:sz w:val="56"/>
          <w:szCs w:val="56"/>
        </w:rPr>
      </w:pPr>
    </w:p>
    <w:p w14:paraId="39804517">
      <w:pPr>
        <w:pStyle w:val="12"/>
        <w:jc w:val="center"/>
        <w:rPr>
          <w:sz w:val="84"/>
          <w:szCs w:val="84"/>
        </w:rPr>
      </w:pPr>
    </w:p>
    <w:p w14:paraId="6AF56F1E">
      <w:pPr>
        <w:pStyle w:val="12"/>
        <w:jc w:val="center"/>
        <w:rPr>
          <w:sz w:val="84"/>
          <w:szCs w:val="84"/>
        </w:rPr>
      </w:pPr>
    </w:p>
    <w:p w14:paraId="7237B9B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27C9EFC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岳阳市民政局</w:t>
      </w:r>
      <w:r>
        <w:rPr>
          <w:rFonts w:hint="eastAsia" w:ascii="方正小标宋_GBK" w:hAnsi="方正小标宋_GBK" w:eastAsia="方正小标宋_GBK" w:cs="方正小标宋_GBK"/>
          <w:sz w:val="84"/>
          <w:szCs w:val="84"/>
        </w:rPr>
        <w:t>部门决算</w:t>
      </w:r>
    </w:p>
    <w:p w14:paraId="510D914E">
      <w:pPr>
        <w:pStyle w:val="12"/>
        <w:jc w:val="center"/>
        <w:rPr>
          <w:rFonts w:hint="eastAsia" w:ascii="方正小标宋_GBK" w:hAnsi="方正小标宋_GBK" w:eastAsia="方正小标宋_GBK" w:cs="方正小标宋_GBK"/>
          <w:sz w:val="56"/>
          <w:szCs w:val="56"/>
        </w:rPr>
      </w:pPr>
    </w:p>
    <w:p w14:paraId="16FD0507">
      <w:pPr>
        <w:pStyle w:val="12"/>
        <w:jc w:val="center"/>
        <w:rPr>
          <w:sz w:val="56"/>
          <w:szCs w:val="56"/>
        </w:rPr>
      </w:pPr>
    </w:p>
    <w:p w14:paraId="3393F3CC">
      <w:pPr>
        <w:pStyle w:val="12"/>
        <w:jc w:val="center"/>
        <w:rPr>
          <w:sz w:val="56"/>
          <w:szCs w:val="56"/>
        </w:rPr>
      </w:pPr>
    </w:p>
    <w:p w14:paraId="12924A93">
      <w:pPr>
        <w:pStyle w:val="12"/>
        <w:jc w:val="center"/>
        <w:rPr>
          <w:sz w:val="56"/>
          <w:szCs w:val="56"/>
        </w:rPr>
      </w:pPr>
    </w:p>
    <w:p w14:paraId="763C1B1C">
      <w:pPr>
        <w:pStyle w:val="12"/>
        <w:jc w:val="center"/>
        <w:rPr>
          <w:sz w:val="32"/>
          <w:szCs w:val="32"/>
        </w:rPr>
      </w:pPr>
    </w:p>
    <w:p w14:paraId="76226B41">
      <w:pPr>
        <w:pStyle w:val="12"/>
        <w:jc w:val="center"/>
        <w:rPr>
          <w:sz w:val="32"/>
          <w:szCs w:val="32"/>
        </w:rPr>
      </w:pPr>
    </w:p>
    <w:p w14:paraId="6294B6A3">
      <w:pPr>
        <w:pStyle w:val="12"/>
        <w:jc w:val="center"/>
        <w:rPr>
          <w:sz w:val="32"/>
          <w:szCs w:val="32"/>
        </w:rPr>
      </w:pPr>
    </w:p>
    <w:p w14:paraId="75825F10">
      <w:pPr>
        <w:pStyle w:val="12"/>
        <w:jc w:val="center"/>
        <w:rPr>
          <w:sz w:val="32"/>
          <w:szCs w:val="32"/>
        </w:rPr>
      </w:pPr>
    </w:p>
    <w:p w14:paraId="1D086FC7">
      <w:pPr>
        <w:pStyle w:val="12"/>
        <w:jc w:val="center"/>
        <w:rPr>
          <w:sz w:val="32"/>
          <w:szCs w:val="32"/>
        </w:rPr>
      </w:pPr>
    </w:p>
    <w:p w14:paraId="12BB7A6A">
      <w:pPr>
        <w:pStyle w:val="12"/>
        <w:spacing w:line="540" w:lineRule="exact"/>
        <w:jc w:val="center"/>
        <w:rPr>
          <w:sz w:val="56"/>
          <w:szCs w:val="56"/>
        </w:rPr>
      </w:pPr>
    </w:p>
    <w:p w14:paraId="75978C90">
      <w:pPr>
        <w:pStyle w:val="12"/>
        <w:spacing w:line="500" w:lineRule="exact"/>
        <w:jc w:val="both"/>
        <w:rPr>
          <w:b/>
          <w:sz w:val="36"/>
          <w:szCs w:val="28"/>
        </w:rPr>
      </w:pPr>
    </w:p>
    <w:p w14:paraId="0041B382">
      <w:pPr>
        <w:pStyle w:val="12"/>
        <w:spacing w:line="500" w:lineRule="exact"/>
        <w:jc w:val="center"/>
        <w:rPr>
          <w:b/>
          <w:sz w:val="36"/>
          <w:szCs w:val="28"/>
        </w:rPr>
      </w:pPr>
      <w:r>
        <w:rPr>
          <w:rFonts w:hint="eastAsia"/>
          <w:b/>
          <w:sz w:val="36"/>
          <w:szCs w:val="28"/>
        </w:rPr>
        <w:t>目录</w:t>
      </w:r>
    </w:p>
    <w:p w14:paraId="4A6B0344">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岳阳市民政局</w:t>
      </w:r>
      <w:r>
        <w:rPr>
          <w:rFonts w:hint="eastAsia" w:ascii="黑体" w:hAnsi="黑体" w:eastAsia="黑体" w:cs="黑体"/>
          <w:b w:val="0"/>
          <w:bCs/>
          <w:sz w:val="28"/>
          <w:szCs w:val="28"/>
        </w:rPr>
        <w:t>概况</w:t>
      </w:r>
    </w:p>
    <w:p w14:paraId="4FD628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03F7E24">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F031B2B">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279F7C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E0EE767">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178BE1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D0D5E6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0A3B29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0F55D1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C90464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F51777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362506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E37B3A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E3D9C74">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5C8907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539BC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1F21D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DDF86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EA22E9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5F9764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4F9C404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45C11E2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64CCECB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24A2501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4DF74C4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693848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600CFF3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2D63C1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68190A1">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3712272">
      <w:pPr>
        <w:pStyle w:val="12"/>
        <w:jc w:val="center"/>
        <w:rPr>
          <w:rFonts w:hint="eastAsia" w:ascii="方正小标宋_GBK" w:hAnsi="方正小标宋_GBK" w:eastAsia="方正小标宋_GBK" w:cs="方正小标宋_GBK"/>
          <w:sz w:val="84"/>
          <w:szCs w:val="84"/>
        </w:rPr>
      </w:pPr>
    </w:p>
    <w:p w14:paraId="57A1EEE3">
      <w:pPr>
        <w:pStyle w:val="12"/>
        <w:jc w:val="center"/>
        <w:rPr>
          <w:rFonts w:hint="eastAsia" w:ascii="方正小标宋_GBK" w:hAnsi="方正小标宋_GBK" w:eastAsia="方正小标宋_GBK" w:cs="方正小标宋_GBK"/>
          <w:sz w:val="84"/>
          <w:szCs w:val="84"/>
        </w:rPr>
      </w:pPr>
    </w:p>
    <w:p w14:paraId="34F2B3F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25A5C1B">
      <w:pPr>
        <w:pStyle w:val="12"/>
        <w:jc w:val="center"/>
        <w:rPr>
          <w:rFonts w:hint="eastAsia" w:ascii="方正小标宋_GBK" w:hAnsi="方正小标宋_GBK" w:eastAsia="方正小标宋_GBK" w:cs="方正小标宋_GBK"/>
          <w:sz w:val="84"/>
          <w:szCs w:val="84"/>
        </w:rPr>
      </w:pPr>
    </w:p>
    <w:p w14:paraId="22E1A482">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岳阳市民政局</w:t>
      </w:r>
      <w:r>
        <w:rPr>
          <w:rFonts w:hint="eastAsia" w:ascii="方正小标宋_GBK" w:hAnsi="方正小标宋_GBK" w:eastAsia="方正小标宋_GBK" w:cs="方正小标宋_GBK"/>
          <w:sz w:val="84"/>
          <w:szCs w:val="84"/>
        </w:rPr>
        <w:t>概况</w:t>
      </w:r>
    </w:p>
    <w:p w14:paraId="6DD74DFF">
      <w:pPr>
        <w:pStyle w:val="2"/>
        <w:rPr>
          <w:rFonts w:hint="eastAsia" w:ascii="方正小标宋_GBK" w:hAnsi="方正小标宋_GBK" w:eastAsia="方正小标宋_GBK" w:cs="方正小标宋_GBK"/>
          <w:sz w:val="84"/>
          <w:szCs w:val="84"/>
        </w:rPr>
      </w:pPr>
    </w:p>
    <w:p w14:paraId="106038F2">
      <w:pPr>
        <w:pStyle w:val="3"/>
        <w:rPr>
          <w:rFonts w:hint="eastAsia" w:ascii="方正小标宋_GBK" w:hAnsi="方正小标宋_GBK" w:eastAsia="方正小标宋_GBK" w:cs="方正小标宋_GBK"/>
          <w:sz w:val="84"/>
          <w:szCs w:val="84"/>
        </w:rPr>
      </w:pPr>
    </w:p>
    <w:p w14:paraId="36909E1B">
      <w:pPr>
        <w:rPr>
          <w:rFonts w:hint="eastAsia" w:ascii="方正小标宋_GBK" w:hAnsi="方正小标宋_GBK" w:eastAsia="方正小标宋_GBK" w:cs="方正小标宋_GBK"/>
          <w:sz w:val="84"/>
          <w:szCs w:val="84"/>
        </w:rPr>
      </w:pPr>
    </w:p>
    <w:p w14:paraId="107E6A51">
      <w:pPr>
        <w:pStyle w:val="2"/>
        <w:rPr>
          <w:rFonts w:hint="eastAsia" w:ascii="方正小标宋_GBK" w:hAnsi="方正小标宋_GBK" w:eastAsia="方正小标宋_GBK" w:cs="方正小标宋_GBK"/>
          <w:sz w:val="84"/>
          <w:szCs w:val="84"/>
        </w:rPr>
      </w:pPr>
    </w:p>
    <w:p w14:paraId="27078D04">
      <w:pPr>
        <w:pStyle w:val="3"/>
        <w:rPr>
          <w:rFonts w:hint="eastAsia" w:ascii="方正小标宋_GBK" w:hAnsi="方正小标宋_GBK" w:eastAsia="方正小标宋_GBK" w:cs="方正小标宋_GBK"/>
          <w:sz w:val="84"/>
          <w:szCs w:val="84"/>
        </w:rPr>
      </w:pPr>
    </w:p>
    <w:p w14:paraId="3E207EFA">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66AA45B">
      <w:pPr>
        <w:widowControl/>
        <w:snapToGrid w:val="0"/>
        <w:spacing w:line="530" w:lineRule="exact"/>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岳阳市</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贯彻落实党中央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省委</w:t>
      </w:r>
      <w:r>
        <w:rPr>
          <w:rFonts w:hint="eastAsia" w:ascii="仿宋_GB2312" w:hAnsi="仿宋_GB2312" w:eastAsia="仿宋_GB2312" w:cs="仿宋_GB2312"/>
          <w:color w:val="auto"/>
          <w:sz w:val="32"/>
          <w:szCs w:val="32"/>
          <w:lang w:eastAsia="zh-CN"/>
        </w:rPr>
        <w:t>和市委</w:t>
      </w:r>
      <w:r>
        <w:rPr>
          <w:rFonts w:hint="eastAsia" w:ascii="仿宋_GB2312" w:hAnsi="仿宋_GB2312" w:eastAsia="仿宋_GB2312" w:cs="仿宋_GB2312"/>
          <w:color w:val="auto"/>
          <w:sz w:val="32"/>
          <w:szCs w:val="32"/>
        </w:rPr>
        <w:t>关于民政工作的方针政策和决策部署，在履行职责过程中坚持和加强党对民政工作的集中统一领导，主要职责是：</w:t>
      </w:r>
    </w:p>
    <w:p w14:paraId="37613CAD">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（一）制定全市民政事业中、长期发展规划和年度计划，研究制定全市民政工作有关政策，规章的实施细则与办法并负责组织实施检查。</w:t>
      </w:r>
    </w:p>
    <w:p w14:paraId="75A60090">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（二）制定全市社会组织登记和监督管理办法并组织实施，依法对社会组织进行登记和执法监督。</w:t>
      </w:r>
    </w:p>
    <w:p w14:paraId="6E3BD6D2">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（三）拟定全市社会救助政策、标准、统筹社会救助体系建设、负责城乡居民最低生活保障、特困人员救助供养、临时救助工作；负责农村敬老院建设工作；负责本行政区域内低收入家庭收入核查统计认定工作。</w:t>
      </w:r>
    </w:p>
    <w:p w14:paraId="3C25D3F1">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（四）拟定全市城乡基层群众自治建设和社区治理政策，指导组织城乡社区建设和服务管理：推动村居务公开和基层民主政治建设。</w:t>
      </w:r>
    </w:p>
    <w:p w14:paraId="27F907A6">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贯彻执行国家关于地名工作的方针、政策、法律、法规；落实全国地名工作规划；承担本辖区地名的命名、更名、变更和政府驻地迁移审核工作；推行地名标准化、规范化；设置地名标志；管理地名档案；完成国家其他地名工作任务；负责行政区划界线的勘定和管理等具体工作；负责全市法定行政区划界线争议的调查和处理工作。</w:t>
      </w:r>
    </w:p>
    <w:p w14:paraId="0BEE1DA2">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贯彻执行国家的婚姻登记、殡葬管理政策并组织实施；推进婚俗和殡葬改革；指导婚姻、殡葬服务机构管理工作；指导生活无着流浪乞讨人员救助站管理站的建设，协调跨省及跨市州的生活无着流浪乞讨人员救助工作。</w:t>
      </w:r>
    </w:p>
    <w:p w14:paraId="501684C9">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制定全市社会福利事业发展规划；指导全市社会福利机构的建设和管理；拟定社会福利企业认定标准和扶持政策；指导老年人、残疾人等特殊群里的权益保障工作；统筹推进残疾人福利制度和康复辅助器具产业发展；拟定福利彩票发行管理具体实施办法并指导使用；组织拟定促进慈善事业发展规划、政策；组织、指导社会捐助工作。</w:t>
      </w:r>
    </w:p>
    <w:p w14:paraId="7EE04538">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（八）拟定儿童福利、孤弃儿童保障、儿童收养、儿童救助保护的政策、标准，负责实施收养方面的法律、法规，健全农村留守儿童关爱服务体系和困境儿童保障制度。</w:t>
      </w:r>
    </w:p>
    <w:p w14:paraId="130639C6">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（九）会同有关部门按拟定全市社会工作规范性文件草案和发展规划、职业规划，推进社会工作人才队伍建设和相关志愿者队伍建设；指导全市基层民政干部职工队伍建设；推进民政科技和民政行业标准化工作。</w:t>
      </w:r>
    </w:p>
    <w:p w14:paraId="01D6F29F">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（十）负责全市民政事业经费的管理、审计和监督；负责民政统计工作。</w:t>
      </w:r>
    </w:p>
    <w:p w14:paraId="1D99DA36">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（十一）完成市委、市人民政府交办的其他事项。</w:t>
      </w:r>
    </w:p>
    <w:p w14:paraId="4F4F220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AC1D70E">
      <w:pPr>
        <w:widowControl/>
        <w:snapToGrid w:val="0"/>
        <w:spacing w:beforeLines="0" w:afterLines="0" w:line="53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（一）内设机构设置。</w:t>
      </w:r>
    </w:p>
    <w:p w14:paraId="14660F3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根据编委核定，我局内设</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个，全部纳入202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年部门决算编制范围。</w:t>
      </w:r>
    </w:p>
    <w:p w14:paraId="50A0604F">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岳阳市民政局单位内设</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室分别是</w:t>
      </w:r>
      <w:r>
        <w:rPr>
          <w:rFonts w:hint="eastAsia" w:ascii="仿宋_GB2312" w:hAnsi="仿宋_GB2312" w:eastAsia="仿宋_GB2312" w:cs="仿宋_GB2312"/>
          <w:color w:val="auto"/>
          <w:sz w:val="32"/>
          <w:szCs w:val="32"/>
          <w:lang w:eastAsia="zh-CN"/>
        </w:rPr>
        <w:t>：</w:t>
      </w:r>
    </w:p>
    <w:p w14:paraId="300A2E2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)办公室（信访科）</w:t>
      </w:r>
    </w:p>
    <w:p w14:paraId="5C6938B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)规划财务科</w:t>
      </w:r>
    </w:p>
    <w:p w14:paraId="17F3A7A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)政策法规科</w:t>
      </w:r>
      <w:r>
        <w:rPr>
          <w:rFonts w:hint="eastAsia" w:ascii="仿宋_GB2312" w:hAnsi="仿宋_GB2312" w:eastAsia="仿宋_GB2312" w:cs="仿宋_GB2312"/>
          <w:color w:val="auto"/>
          <w:sz w:val="32"/>
          <w:szCs w:val="32"/>
          <w:lang w:eastAsia="zh-CN"/>
        </w:rPr>
        <w:t>（行政审批科）</w:t>
      </w:r>
    </w:p>
    <w:p w14:paraId="5357318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rPr>
        <w:t>)社会组织管理科（社会组织执法监察局、对外称岳阳市社会组织管理局）</w:t>
      </w:r>
    </w:p>
    <w:p w14:paraId="53D6396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)社会救助科(对外称岳阳市社会救助局）</w:t>
      </w:r>
    </w:p>
    <w:p w14:paraId="1CD253EC">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)社会事务科</w:t>
      </w:r>
    </w:p>
    <w:p w14:paraId="22E1297D">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rPr>
        <w:t>)基层政权科</w:t>
      </w:r>
    </w:p>
    <w:p w14:paraId="4AC98DBF">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区划地名和</w:t>
      </w:r>
      <w:r>
        <w:rPr>
          <w:rFonts w:hint="eastAsia" w:ascii="仿宋_GB2312" w:hAnsi="仿宋_GB2312" w:eastAsia="仿宋_GB2312" w:cs="仿宋_GB2312"/>
          <w:color w:val="auto"/>
          <w:sz w:val="32"/>
          <w:szCs w:val="32"/>
          <w:lang w:eastAsia="zh-CN"/>
        </w:rPr>
        <w:t>老区科</w:t>
      </w:r>
    </w:p>
    <w:p w14:paraId="277036C5">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)慈善事业促进和社会工作科</w:t>
      </w:r>
    </w:p>
    <w:p w14:paraId="0D91B2A9">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)养老服务科</w:t>
      </w:r>
    </w:p>
    <w:p w14:paraId="460B806C">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)儿童福利科</w:t>
      </w:r>
    </w:p>
    <w:p w14:paraId="2F86E05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）机关党委</w:t>
      </w:r>
    </w:p>
    <w:p w14:paraId="1516EF6E">
      <w:pPr>
        <w:widowControl/>
        <w:snapToGrid w:val="0"/>
        <w:spacing w:beforeLines="0" w:afterLines="0" w:line="53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机关纪委</w:t>
      </w:r>
    </w:p>
    <w:p w14:paraId="4A82771D">
      <w:pPr>
        <w:widowControl/>
        <w:snapToGrid w:val="0"/>
        <w:spacing w:beforeLines="0" w:afterLines="0" w:line="530" w:lineRule="exact"/>
        <w:ind w:firstLine="640" w:firstLineChars="200"/>
        <w:rPr>
          <w:rFonts w:hint="eastAsia" w:ascii="Times New Roman" w:hAnsi="Times New Roman" w:eastAsia="仿宋_GB2312" w:cs="仿宋_GB2312"/>
          <w:bCs/>
          <w:color w:val="auto"/>
          <w:kern w:val="0"/>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)人事科（离退休人员管理服务科）</w:t>
      </w:r>
    </w:p>
    <w:p w14:paraId="79E45A1B">
      <w:pPr>
        <w:widowControl/>
        <w:spacing w:line="600" w:lineRule="exact"/>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（二）决算单位构成。</w:t>
      </w:r>
    </w:p>
    <w:p w14:paraId="629EF19A">
      <w:pPr>
        <w:widowControl/>
        <w:snapToGrid w:val="0"/>
        <w:spacing w:line="53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lang w:eastAsia="zh-CN"/>
        </w:rPr>
        <w:t>岳阳市民政局</w:t>
      </w:r>
      <w:r>
        <w:rPr>
          <w:rFonts w:hint="eastAsia" w:ascii="Times New Roman" w:hAnsi="Times New Roman" w:eastAsia="仿宋_GB2312" w:cs="仿宋_GB2312"/>
          <w:bCs/>
          <w:color w:val="auto"/>
          <w:kern w:val="0"/>
          <w:sz w:val="32"/>
          <w:szCs w:val="32"/>
        </w:rPr>
        <w:t>202</w:t>
      </w:r>
      <w:r>
        <w:rPr>
          <w:rFonts w:hint="eastAsia" w:ascii="Times New Roman" w:hAnsi="Times New Roman" w:eastAsia="仿宋_GB2312" w:cs="仿宋_GB2312"/>
          <w:bCs/>
          <w:color w:val="auto"/>
          <w:kern w:val="0"/>
          <w:sz w:val="32"/>
          <w:szCs w:val="32"/>
          <w:lang w:val="en-US" w:eastAsia="zh-CN"/>
        </w:rPr>
        <w:t>3</w:t>
      </w:r>
      <w:r>
        <w:rPr>
          <w:rFonts w:hint="eastAsia" w:ascii="Times New Roman" w:hAnsi="Times New Roman" w:eastAsia="仿宋_GB2312" w:cs="仿宋_GB2312"/>
          <w:bCs/>
          <w:color w:val="auto"/>
          <w:kern w:val="0"/>
          <w:sz w:val="32"/>
          <w:szCs w:val="32"/>
        </w:rPr>
        <w:t>年部门决算汇总公开单位构成包括：</w:t>
      </w:r>
    </w:p>
    <w:p w14:paraId="482757C2">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1、岳阳市民政局本级</w:t>
      </w:r>
    </w:p>
    <w:p w14:paraId="3CD42A1C">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2、岳阳市福利院</w:t>
      </w:r>
    </w:p>
    <w:p w14:paraId="5E0EBF32">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3、岳阳市殡葬执法支队</w:t>
      </w:r>
    </w:p>
    <w:p w14:paraId="152D0967">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4、岳阳市康复医院</w:t>
      </w:r>
    </w:p>
    <w:p w14:paraId="7587D209">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5、岳阳市救助管理站</w:t>
      </w:r>
    </w:p>
    <w:p w14:paraId="7D746768">
      <w:pPr>
        <w:widowControl/>
        <w:snapToGrid w:val="0"/>
        <w:spacing w:line="53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6、岳阳市儿童福利院</w:t>
      </w:r>
    </w:p>
    <w:p w14:paraId="4CD523C4"/>
    <w:p w14:paraId="269E0EF4">
      <w:pPr>
        <w:pStyle w:val="2"/>
      </w:pPr>
    </w:p>
    <w:p w14:paraId="3AEDB7F5">
      <w:pPr>
        <w:pStyle w:val="3"/>
      </w:pPr>
    </w:p>
    <w:p w14:paraId="6CCB3A6F"/>
    <w:p w14:paraId="22CB8F7A">
      <w:pPr>
        <w:pStyle w:val="2"/>
      </w:pPr>
    </w:p>
    <w:p w14:paraId="45C19358">
      <w:pPr>
        <w:pStyle w:val="3"/>
      </w:pPr>
    </w:p>
    <w:p w14:paraId="348E6587"/>
    <w:p w14:paraId="61F04C20">
      <w:pPr>
        <w:pStyle w:val="2"/>
      </w:pPr>
    </w:p>
    <w:p w14:paraId="4B8A7B06">
      <w:pPr>
        <w:pStyle w:val="3"/>
      </w:pPr>
    </w:p>
    <w:p w14:paraId="2B88C71E"/>
    <w:p w14:paraId="4AD92023">
      <w:pPr>
        <w:pStyle w:val="2"/>
      </w:pPr>
    </w:p>
    <w:p w14:paraId="311B9069">
      <w:pPr>
        <w:pStyle w:val="3"/>
      </w:pPr>
    </w:p>
    <w:p w14:paraId="50FE4E1D"/>
    <w:p w14:paraId="2F8F5C2A">
      <w:pPr>
        <w:pStyle w:val="2"/>
      </w:pPr>
    </w:p>
    <w:p w14:paraId="3DCF5566">
      <w:pPr>
        <w:pStyle w:val="3"/>
      </w:pPr>
    </w:p>
    <w:p w14:paraId="05CC0953"/>
    <w:p w14:paraId="702F7F71">
      <w:pPr>
        <w:pStyle w:val="2"/>
      </w:pPr>
    </w:p>
    <w:p w14:paraId="3399EFA0">
      <w:pPr>
        <w:pStyle w:val="3"/>
      </w:pPr>
    </w:p>
    <w:p w14:paraId="2B53F8F4"/>
    <w:p w14:paraId="3B6E476E">
      <w:pPr>
        <w:pStyle w:val="2"/>
      </w:pPr>
    </w:p>
    <w:p w14:paraId="65260074">
      <w:pPr>
        <w:pStyle w:val="3"/>
      </w:pPr>
    </w:p>
    <w:p w14:paraId="550A16EF"/>
    <w:p w14:paraId="2BAA402F">
      <w:pPr>
        <w:pStyle w:val="2"/>
      </w:pPr>
    </w:p>
    <w:p w14:paraId="623A0DFB">
      <w:pPr>
        <w:pStyle w:val="3"/>
      </w:pPr>
    </w:p>
    <w:p w14:paraId="7D072561"/>
    <w:p w14:paraId="29E1B2C4">
      <w:pPr>
        <w:pStyle w:val="12"/>
        <w:jc w:val="center"/>
        <w:rPr>
          <w:rFonts w:hint="eastAsia" w:ascii="方正小标宋_GBK" w:hAnsi="方正小标宋_GBK" w:eastAsia="方正小标宋_GBK" w:cs="方正小标宋_GBK"/>
          <w:sz w:val="84"/>
          <w:szCs w:val="84"/>
        </w:rPr>
      </w:pPr>
    </w:p>
    <w:p w14:paraId="2B07983F">
      <w:pPr>
        <w:pStyle w:val="12"/>
        <w:jc w:val="center"/>
        <w:rPr>
          <w:rFonts w:hint="eastAsia" w:ascii="方正小标宋_GBK" w:hAnsi="方正小标宋_GBK" w:eastAsia="方正小标宋_GBK" w:cs="方正小标宋_GBK"/>
          <w:sz w:val="84"/>
          <w:szCs w:val="84"/>
        </w:rPr>
      </w:pPr>
    </w:p>
    <w:p w14:paraId="4BEC215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90F05A2">
      <w:pPr>
        <w:pStyle w:val="12"/>
        <w:jc w:val="center"/>
        <w:rPr>
          <w:rFonts w:hint="eastAsia" w:ascii="方正小标宋_GBK" w:hAnsi="方正小标宋_GBK" w:eastAsia="方正小标宋_GBK" w:cs="方正小标宋_GBK"/>
          <w:sz w:val="84"/>
          <w:szCs w:val="84"/>
        </w:rPr>
      </w:pPr>
    </w:p>
    <w:p w14:paraId="7804BC7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D1356C3">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54E264C2">
      <w:pPr>
        <w:pStyle w:val="12"/>
        <w:jc w:val="center"/>
        <w:rPr>
          <w:rFonts w:hint="eastAsia" w:ascii="仿宋_GB2312" w:hAnsi="仿宋_GB2312" w:eastAsia="仿宋_GB2312" w:cs="仿宋_GB2312"/>
          <w:b w:val="0"/>
          <w:bCs w:val="0"/>
          <w:sz w:val="72"/>
          <w:szCs w:val="72"/>
          <w:lang w:eastAsia="zh-CN"/>
        </w:rPr>
      </w:pPr>
    </w:p>
    <w:p w14:paraId="034F21D6">
      <w:pPr>
        <w:pStyle w:val="12"/>
        <w:jc w:val="center"/>
        <w:rPr>
          <w:rFonts w:hint="eastAsia" w:ascii="仿宋_GB2312" w:hAnsi="仿宋_GB2312" w:eastAsia="仿宋_GB2312" w:cs="仿宋_GB2312"/>
          <w:b w:val="0"/>
          <w:bCs w:val="0"/>
          <w:sz w:val="72"/>
          <w:szCs w:val="72"/>
          <w:lang w:eastAsia="zh-CN"/>
        </w:rPr>
      </w:pPr>
    </w:p>
    <w:p w14:paraId="03AC3F9D">
      <w:pPr>
        <w:pStyle w:val="12"/>
        <w:jc w:val="center"/>
        <w:rPr>
          <w:rFonts w:hint="eastAsia" w:ascii="仿宋_GB2312" w:hAnsi="仿宋_GB2312" w:eastAsia="仿宋_GB2312" w:cs="仿宋_GB2312"/>
          <w:b w:val="0"/>
          <w:bCs w:val="0"/>
          <w:sz w:val="72"/>
          <w:szCs w:val="72"/>
          <w:lang w:eastAsia="zh-CN"/>
        </w:rPr>
      </w:pPr>
    </w:p>
    <w:p w14:paraId="2CC7193D">
      <w:pPr>
        <w:pStyle w:val="12"/>
        <w:jc w:val="center"/>
        <w:rPr>
          <w:rFonts w:hint="eastAsia" w:ascii="仿宋_GB2312" w:hAnsi="仿宋_GB2312" w:eastAsia="仿宋_GB2312" w:cs="仿宋_GB2312"/>
          <w:b w:val="0"/>
          <w:bCs w:val="0"/>
          <w:sz w:val="72"/>
          <w:szCs w:val="72"/>
          <w:lang w:eastAsia="zh-CN"/>
        </w:rPr>
      </w:pPr>
    </w:p>
    <w:p w14:paraId="6F3450D8">
      <w:pPr>
        <w:pStyle w:val="12"/>
        <w:jc w:val="center"/>
        <w:rPr>
          <w:rFonts w:hint="eastAsia" w:ascii="仿宋_GB2312" w:hAnsi="仿宋_GB2312" w:eastAsia="仿宋_GB2312" w:cs="仿宋_GB2312"/>
          <w:b w:val="0"/>
          <w:bCs w:val="0"/>
          <w:sz w:val="72"/>
          <w:szCs w:val="72"/>
          <w:lang w:eastAsia="zh-CN"/>
        </w:rPr>
      </w:pPr>
    </w:p>
    <w:p w14:paraId="461EEB6F">
      <w:pPr>
        <w:pStyle w:val="12"/>
        <w:jc w:val="center"/>
        <w:rPr>
          <w:rFonts w:hint="eastAsia" w:ascii="仿宋_GB2312" w:hAnsi="仿宋_GB2312" w:eastAsia="仿宋_GB2312" w:cs="仿宋_GB2312"/>
          <w:b w:val="0"/>
          <w:bCs w:val="0"/>
          <w:sz w:val="72"/>
          <w:szCs w:val="72"/>
          <w:lang w:eastAsia="zh-CN"/>
        </w:rPr>
      </w:pPr>
    </w:p>
    <w:p w14:paraId="74CBD804">
      <w:pPr>
        <w:pStyle w:val="12"/>
        <w:jc w:val="center"/>
        <w:rPr>
          <w:rFonts w:hint="eastAsia" w:ascii="仿宋_GB2312" w:hAnsi="仿宋_GB2312" w:eastAsia="仿宋_GB2312" w:cs="仿宋_GB2312"/>
          <w:b w:val="0"/>
          <w:bCs w:val="0"/>
          <w:sz w:val="72"/>
          <w:szCs w:val="72"/>
          <w:lang w:eastAsia="zh-CN"/>
        </w:rPr>
      </w:pPr>
    </w:p>
    <w:p w14:paraId="47D8F8B7">
      <w:pPr>
        <w:pStyle w:val="12"/>
        <w:jc w:val="center"/>
        <w:rPr>
          <w:rFonts w:hint="eastAsia" w:ascii="方正小标宋_GBK" w:hAnsi="方正小标宋_GBK" w:eastAsia="方正小标宋_GBK" w:cs="方正小标宋_GBK"/>
          <w:sz w:val="72"/>
          <w:szCs w:val="72"/>
        </w:rPr>
      </w:pPr>
    </w:p>
    <w:p w14:paraId="047F04B8">
      <w:pPr>
        <w:pStyle w:val="12"/>
        <w:jc w:val="center"/>
        <w:rPr>
          <w:rFonts w:hint="eastAsia" w:ascii="方正小标宋_GBK" w:hAnsi="方正小标宋_GBK" w:eastAsia="方正小标宋_GBK" w:cs="方正小标宋_GBK"/>
          <w:sz w:val="72"/>
          <w:szCs w:val="72"/>
        </w:rPr>
      </w:pPr>
    </w:p>
    <w:p w14:paraId="4FA61588">
      <w:pPr>
        <w:pStyle w:val="12"/>
        <w:jc w:val="both"/>
        <w:rPr>
          <w:rFonts w:hint="eastAsia" w:ascii="方正小标宋_GBK" w:hAnsi="方正小标宋_GBK" w:eastAsia="方正小标宋_GBK" w:cs="方正小标宋_GBK"/>
          <w:sz w:val="72"/>
          <w:szCs w:val="72"/>
        </w:rPr>
      </w:pPr>
    </w:p>
    <w:p w14:paraId="15A0635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C14A149">
      <w:pPr>
        <w:pStyle w:val="12"/>
        <w:jc w:val="center"/>
        <w:rPr>
          <w:rFonts w:hint="eastAsia" w:ascii="方正小标宋_GBK" w:hAnsi="方正小标宋_GBK" w:eastAsia="方正小标宋_GBK" w:cs="方正小标宋_GBK"/>
          <w:sz w:val="70"/>
          <w:szCs w:val="70"/>
        </w:rPr>
      </w:pPr>
    </w:p>
    <w:p w14:paraId="09BDF8FB">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0EC087FB">
      <w:pPr>
        <w:pStyle w:val="12"/>
        <w:jc w:val="center"/>
        <w:rPr>
          <w:rFonts w:hint="eastAsia" w:ascii="方正小标宋_GBK" w:hAnsi="方正小标宋_GBK" w:eastAsia="方正小标宋_GBK" w:cs="方正小标宋_GBK"/>
          <w:sz w:val="70"/>
          <w:szCs w:val="70"/>
        </w:rPr>
      </w:pPr>
    </w:p>
    <w:p w14:paraId="71C6DEE6">
      <w:pPr>
        <w:pStyle w:val="12"/>
        <w:jc w:val="center"/>
        <w:rPr>
          <w:rFonts w:hint="eastAsia" w:ascii="方正小标宋_GBK" w:hAnsi="方正小标宋_GBK" w:eastAsia="方正小标宋_GBK" w:cs="方正小标宋_GBK"/>
          <w:sz w:val="70"/>
          <w:szCs w:val="70"/>
        </w:rPr>
      </w:pPr>
    </w:p>
    <w:p w14:paraId="0F2F4F86">
      <w:pPr>
        <w:pStyle w:val="12"/>
        <w:jc w:val="center"/>
        <w:rPr>
          <w:rFonts w:hint="eastAsia" w:ascii="方正小标宋_GBK" w:hAnsi="方正小标宋_GBK" w:eastAsia="方正小标宋_GBK" w:cs="方正小标宋_GBK"/>
          <w:sz w:val="70"/>
          <w:szCs w:val="70"/>
        </w:rPr>
      </w:pPr>
    </w:p>
    <w:p w14:paraId="783E72CB">
      <w:pPr>
        <w:pStyle w:val="12"/>
        <w:jc w:val="center"/>
        <w:rPr>
          <w:rFonts w:hint="eastAsia" w:ascii="方正小标宋_GBK" w:hAnsi="方正小标宋_GBK" w:eastAsia="方正小标宋_GBK" w:cs="方正小标宋_GBK"/>
          <w:sz w:val="70"/>
          <w:szCs w:val="70"/>
        </w:rPr>
      </w:pPr>
    </w:p>
    <w:p w14:paraId="5904D97E">
      <w:pPr>
        <w:pStyle w:val="12"/>
        <w:jc w:val="center"/>
        <w:rPr>
          <w:rFonts w:hint="eastAsia" w:ascii="方正小标宋_GBK" w:hAnsi="方正小标宋_GBK" w:eastAsia="方正小标宋_GBK" w:cs="方正小标宋_GBK"/>
          <w:sz w:val="70"/>
          <w:szCs w:val="70"/>
        </w:rPr>
      </w:pPr>
    </w:p>
    <w:p w14:paraId="701D61E1">
      <w:pPr>
        <w:pStyle w:val="12"/>
        <w:jc w:val="center"/>
        <w:rPr>
          <w:rFonts w:hint="eastAsia" w:ascii="方正小标宋_GBK" w:hAnsi="方正小标宋_GBK" w:eastAsia="方正小标宋_GBK" w:cs="方正小标宋_GBK"/>
          <w:sz w:val="70"/>
          <w:szCs w:val="70"/>
        </w:rPr>
      </w:pPr>
    </w:p>
    <w:p w14:paraId="41EFDF54">
      <w:pPr>
        <w:widowControl/>
        <w:ind w:firstLine="640" w:firstLineChars="200"/>
        <w:jc w:val="left"/>
        <w:rPr>
          <w:rFonts w:hint="eastAsia" w:ascii="仿宋_GB2312" w:hAnsi="仿宋_GB2312" w:eastAsia="仿宋_GB2312" w:cs="仿宋_GB2312"/>
          <w:sz w:val="32"/>
          <w:szCs w:val="32"/>
        </w:rPr>
      </w:pPr>
    </w:p>
    <w:p w14:paraId="2C03C01F">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01114A9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48B01C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年度收、支总计15163.13万元。与上年相比，增加</w:t>
      </w:r>
      <w:r>
        <w:rPr>
          <w:rFonts w:hint="eastAsia" w:ascii="仿宋_GB2312" w:hAnsi="仿宋_GB2312" w:eastAsia="仿宋_GB2312" w:cs="仿宋_GB2312"/>
          <w:sz w:val="32"/>
          <w:szCs w:val="32"/>
          <w:lang w:val="en-US" w:eastAsia="zh-CN"/>
        </w:rPr>
        <w:t>1035.6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7.33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eastAsia="zh-CN"/>
        </w:rPr>
        <w:t>单位有新进人员，人员经费大大增加，由于疫情放开，相关工作进度加快推动。</w:t>
      </w:r>
    </w:p>
    <w:p w14:paraId="1C58863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8E5BA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年度收入合计15161.29万元，其中：财政拨款收入8088.93万元，占</w:t>
      </w:r>
      <w:r>
        <w:rPr>
          <w:rFonts w:hint="eastAsia" w:ascii="仿宋_GB2312" w:hAnsi="仿宋_GB2312" w:eastAsia="仿宋_GB2312" w:cs="仿宋_GB2312"/>
          <w:sz w:val="32"/>
          <w:szCs w:val="32"/>
          <w:lang w:val="en-US" w:eastAsia="zh-CN"/>
        </w:rPr>
        <w:t>53.35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7072.36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sz w:val="32"/>
          <w:szCs w:val="32"/>
        </w:rPr>
        <w:t>%。</w:t>
      </w:r>
    </w:p>
    <w:p w14:paraId="68AF218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FB7440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年度支出合计14969.87万元，其中：基本支出11713.04万元，占</w:t>
      </w:r>
      <w:r>
        <w:rPr>
          <w:rFonts w:hint="eastAsia" w:ascii="仿宋_GB2312" w:hAnsi="仿宋_GB2312" w:eastAsia="仿宋_GB2312" w:cs="仿宋_GB2312"/>
          <w:sz w:val="32"/>
          <w:szCs w:val="32"/>
          <w:lang w:val="en-US" w:eastAsia="zh-CN"/>
        </w:rPr>
        <w:t>78.24</w:t>
      </w:r>
      <w:r>
        <w:rPr>
          <w:rFonts w:hint="eastAsia" w:ascii="仿宋_GB2312" w:hAnsi="仿宋_GB2312" w:eastAsia="仿宋_GB2312" w:cs="仿宋_GB2312"/>
          <w:sz w:val="32"/>
          <w:szCs w:val="32"/>
        </w:rPr>
        <w:t>%；项目支出3256.83万元，占</w:t>
      </w:r>
      <w:r>
        <w:rPr>
          <w:rFonts w:hint="eastAsia" w:ascii="仿宋_GB2312" w:hAnsi="仿宋_GB2312" w:eastAsia="仿宋_GB2312" w:cs="仿宋_GB2312"/>
          <w:sz w:val="32"/>
          <w:szCs w:val="32"/>
          <w:lang w:val="en-US" w:eastAsia="zh-CN"/>
        </w:rPr>
        <w:t>21.76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7051521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1BD11E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年度财政拨款收、支总计8088.93万元，与上年相比，增加</w:t>
      </w:r>
      <w:r>
        <w:rPr>
          <w:rFonts w:hint="eastAsia" w:ascii="仿宋_GB2312" w:hAnsi="仿宋_GB2312" w:eastAsia="仿宋_GB2312" w:cs="仿宋_GB2312"/>
          <w:sz w:val="32"/>
          <w:szCs w:val="32"/>
          <w:lang w:val="en-US" w:eastAsia="zh-CN"/>
        </w:rPr>
        <w:t>559.56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7.43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eastAsia="zh-CN"/>
        </w:rPr>
        <w:t>单位有新进人员，人员经费大大增加，由于疫情放开，相关工作进度加快推动。</w:t>
      </w:r>
    </w:p>
    <w:p w14:paraId="1820B00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E1D03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6261415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年度财政拨款支出7506.23万元，占本年支出合计的</w:t>
      </w:r>
      <w:r>
        <w:rPr>
          <w:rFonts w:hint="eastAsia" w:ascii="仿宋_GB2312" w:hAnsi="仿宋_GB2312" w:eastAsia="仿宋_GB2312" w:cs="仿宋_GB2312"/>
          <w:sz w:val="32"/>
          <w:szCs w:val="32"/>
          <w:lang w:val="en-US" w:eastAsia="zh-CN"/>
        </w:rPr>
        <w:t>50.14</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854.77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12.85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eastAsia="zh-CN"/>
        </w:rPr>
        <w:t>单位有新进人员，人员经费大大增加，由于疫情放开，相关工作进度加快推动。</w:t>
      </w:r>
    </w:p>
    <w:p w14:paraId="760EF52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0B70BD9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年度财政拨款支出</w:t>
      </w:r>
      <w:r>
        <w:rPr>
          <w:rFonts w:hint="eastAsia" w:ascii="仿宋_GB2312" w:hAnsi="仿宋_GB2312" w:eastAsia="仿宋_GB2312" w:cs="仿宋_GB2312"/>
          <w:color w:val="auto"/>
          <w:sz w:val="32"/>
          <w:szCs w:val="32"/>
          <w:lang w:val="en-US" w:eastAsia="zh-CN"/>
        </w:rPr>
        <w:t>7506.23</w:t>
      </w:r>
      <w:r>
        <w:rPr>
          <w:rFonts w:hint="eastAsia" w:ascii="仿宋_GB2312" w:hAnsi="仿宋_GB2312" w:eastAsia="仿宋_GB2312" w:cs="仿宋_GB2312"/>
          <w:color w:val="auto"/>
          <w:sz w:val="32"/>
          <w:szCs w:val="32"/>
        </w:rPr>
        <w:t>万元，主要用于以下方面：社会保障和就业支出6408.</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占</w:t>
      </w:r>
      <w:r>
        <w:rPr>
          <w:rFonts w:hint="eastAsia" w:ascii="仿宋_GB2312" w:hAnsi="仿宋_GB2312" w:eastAsia="仿宋_GB2312" w:cs="仿宋_GB2312"/>
          <w:color w:val="auto"/>
          <w:sz w:val="32"/>
          <w:szCs w:val="32"/>
          <w:lang w:val="en-US" w:eastAsia="zh-CN"/>
        </w:rPr>
        <w:t>85.38</w:t>
      </w:r>
      <w:r>
        <w:rPr>
          <w:rFonts w:hint="eastAsia" w:ascii="仿宋_GB2312" w:hAnsi="仿宋_GB2312" w:eastAsia="仿宋_GB2312" w:cs="仿宋_GB2312"/>
          <w:color w:val="auto"/>
          <w:sz w:val="32"/>
          <w:szCs w:val="32"/>
        </w:rPr>
        <w:t>%；卫生健康支出801.22万元，占</w:t>
      </w:r>
      <w:r>
        <w:rPr>
          <w:rFonts w:hint="eastAsia" w:ascii="仿宋_GB2312" w:hAnsi="仿宋_GB2312" w:eastAsia="仿宋_GB2312" w:cs="仿宋_GB2312"/>
          <w:color w:val="auto"/>
          <w:sz w:val="32"/>
          <w:szCs w:val="32"/>
          <w:lang w:val="en-US" w:eastAsia="zh-CN"/>
        </w:rPr>
        <w:t>10.67</w:t>
      </w:r>
      <w:r>
        <w:rPr>
          <w:rFonts w:hint="eastAsia" w:ascii="仿宋_GB2312" w:hAnsi="仿宋_GB2312" w:eastAsia="仿宋_GB2312" w:cs="仿宋_GB2312"/>
          <w:color w:val="auto"/>
          <w:sz w:val="32"/>
          <w:szCs w:val="32"/>
        </w:rPr>
        <w:t>%;住房保障支出296.83万元，占</w:t>
      </w:r>
      <w:r>
        <w:rPr>
          <w:rFonts w:hint="eastAsia" w:ascii="仿宋_GB2312" w:hAnsi="仿宋_GB2312" w:eastAsia="仿宋_GB2312" w:cs="仿宋_GB2312"/>
          <w:color w:val="auto"/>
          <w:sz w:val="32"/>
          <w:szCs w:val="32"/>
          <w:lang w:val="en-US" w:eastAsia="zh-CN"/>
        </w:rPr>
        <w:t>3.95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6AEA719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0C7759A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5732.80</w:t>
      </w:r>
      <w:r>
        <w:rPr>
          <w:rFonts w:hint="eastAsia" w:ascii="仿宋_GB2312" w:hAnsi="仿宋_GB2312" w:eastAsia="仿宋_GB2312" w:cs="仿宋_GB2312"/>
          <w:sz w:val="32"/>
          <w:szCs w:val="32"/>
        </w:rPr>
        <w:t>元，支出决算数为</w:t>
      </w:r>
      <w:r>
        <w:rPr>
          <w:rFonts w:hint="eastAsia" w:ascii="仿宋_GB2312" w:hAnsi="仿宋_GB2312" w:eastAsia="仿宋_GB2312" w:cs="仿宋_GB2312"/>
          <w:sz w:val="32"/>
          <w:szCs w:val="32"/>
          <w:lang w:val="en-US" w:eastAsia="zh-CN"/>
        </w:rPr>
        <w:t>7506.23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130.93</w:t>
      </w:r>
      <w:r>
        <w:rPr>
          <w:rFonts w:hint="eastAsia" w:ascii="仿宋_GB2312" w:hAnsi="仿宋_GB2312" w:eastAsia="仿宋_GB2312" w:cs="仿宋_GB2312"/>
          <w:sz w:val="32"/>
          <w:szCs w:val="32"/>
        </w:rPr>
        <w:t>%，其中：</w:t>
      </w:r>
    </w:p>
    <w:p w14:paraId="69E2192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1、社会保障和就业支出（类）民政管理事务（款）行政运行（项）。</w:t>
      </w:r>
    </w:p>
    <w:p w14:paraId="6F51689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430.17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628.6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146.13</w:t>
      </w:r>
      <w:r>
        <w:rPr>
          <w:rFonts w:hint="eastAsia" w:ascii="仿宋_GB2312" w:hAnsi="仿宋_GB2312" w:eastAsia="仿宋_GB2312" w:cs="仿宋_GB2312"/>
          <w:sz w:val="32"/>
          <w:szCs w:val="32"/>
        </w:rPr>
        <w:t>%，决算数大于年初预算数的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部分资金</w:t>
      </w:r>
      <w:r>
        <w:rPr>
          <w:rFonts w:hint="eastAsia" w:ascii="仿宋_GB2312" w:hAnsi="仿宋_GB2312" w:eastAsia="仿宋_GB2312" w:cs="仿宋_GB2312"/>
          <w:color w:val="auto"/>
          <w:sz w:val="32"/>
          <w:szCs w:val="32"/>
          <w:lang w:val="en-US" w:eastAsia="zh-CN"/>
        </w:rPr>
        <w:t>年初未纳入本单位预算，但纳入了财政大预算。</w:t>
      </w:r>
    </w:p>
    <w:p w14:paraId="69B6E94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2、社会保障和就业支出（类）民政管理事务（款）行政区划和地名管理（项）。</w:t>
      </w:r>
    </w:p>
    <w:p w14:paraId="4314542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0.47</w:t>
      </w:r>
      <w:r>
        <w:rPr>
          <w:rFonts w:hint="eastAsia" w:ascii="仿宋_GB2312" w:hAnsi="仿宋_GB2312" w:eastAsia="仿宋_GB2312" w:cs="仿宋_GB2312"/>
          <w:color w:val="auto"/>
          <w:sz w:val="32"/>
          <w:szCs w:val="32"/>
        </w:rPr>
        <w:t>万元，决算数大于年初预算数的主要原因是：</w:t>
      </w:r>
      <w:r>
        <w:rPr>
          <w:rFonts w:hint="eastAsia" w:ascii="仿宋_GB2312" w:hAnsi="仿宋_GB2312" w:eastAsia="仿宋_GB2312" w:cs="仿宋_GB2312"/>
          <w:color w:val="auto"/>
          <w:sz w:val="32"/>
          <w:szCs w:val="32"/>
          <w:lang w:eastAsia="zh-CN"/>
        </w:rPr>
        <w:t>存在上年结转资金。</w:t>
      </w:r>
    </w:p>
    <w:p w14:paraId="565303D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、社会保障和就业支出（类）民政管理事务（款）其他民政管理事务支出（项）。</w:t>
      </w:r>
    </w:p>
    <w:p w14:paraId="21E9B46C">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2223.16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2465.28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110.89</w:t>
      </w:r>
      <w:r>
        <w:rPr>
          <w:rFonts w:hint="eastAsia" w:ascii="仿宋_GB2312" w:hAnsi="仿宋_GB2312" w:eastAsia="仿宋_GB2312" w:cs="仿宋_GB2312"/>
          <w:sz w:val="32"/>
          <w:szCs w:val="32"/>
        </w:rPr>
        <w:t>%，决算数大于年初预算数的</w:t>
      </w:r>
      <w:r>
        <w:rPr>
          <w:rFonts w:hint="eastAsia" w:ascii="Times New Roman" w:hAnsi="Times New Roman" w:eastAsia="仿宋_GB2312" w:cs="黑体"/>
          <w:color w:val="auto"/>
          <w:kern w:val="0"/>
          <w:sz w:val="32"/>
          <w:szCs w:val="32"/>
          <w:lang w:val="en-US" w:eastAsia="zh-CN" w:bidi="ar-SA"/>
        </w:rPr>
        <w:t xml:space="preserve">市财政局追加代编人员经费补差、年度绩效奖金、惠民殡葬补贴、2022年度生态殡葬奖励金，省厅民政事务专项资金。 </w:t>
      </w:r>
    </w:p>
    <w:p w14:paraId="73D4C3B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、社会保障和就业支出（类）行政事业单位养老支出（款）行政单位离退休（项）。</w:t>
      </w:r>
    </w:p>
    <w:p w14:paraId="7812744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59.31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51.43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86.71</w:t>
      </w:r>
      <w:r>
        <w:rPr>
          <w:rFonts w:hint="eastAsia" w:ascii="仿宋_GB2312" w:hAnsi="仿宋_GB2312" w:eastAsia="仿宋_GB2312" w:cs="仿宋_GB2312"/>
          <w:sz w:val="32"/>
          <w:szCs w:val="32"/>
        </w:rPr>
        <w:t>%，决算数小于年初预算数</w:t>
      </w:r>
      <w:r>
        <w:rPr>
          <w:rFonts w:hint="eastAsia" w:ascii="仿宋_GB2312" w:hAnsi="仿宋_GB2312" w:eastAsia="仿宋_GB2312" w:cs="仿宋_GB2312"/>
          <w:color w:val="auto"/>
          <w:sz w:val="32"/>
          <w:szCs w:val="32"/>
        </w:rPr>
        <w:t>的主要原因是：</w:t>
      </w:r>
      <w:r>
        <w:rPr>
          <w:rFonts w:hint="eastAsia" w:ascii="仿宋_GB2312" w:hAnsi="仿宋_GB2312" w:eastAsia="仿宋_GB2312" w:cs="仿宋_GB2312"/>
          <w:color w:val="auto"/>
          <w:sz w:val="32"/>
          <w:szCs w:val="32"/>
          <w:lang w:val="en-US" w:eastAsia="zh-CN"/>
        </w:rPr>
        <w:t>2023年存在离退休人员死亡的情况。</w:t>
      </w:r>
    </w:p>
    <w:p w14:paraId="0F431E3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、社会保障和就业支出（类）行政事业单位养老支出（款）机关事业单位基本养老保险缴费支出（项）。</w:t>
      </w:r>
    </w:p>
    <w:p w14:paraId="2CCAB38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342.46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340.09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2023年存在离退休人员死亡的情况。</w:t>
      </w:r>
    </w:p>
    <w:p w14:paraId="0447314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、社会保障和就业支出（类）抚恤（款） 其他优抚支出（项）。</w:t>
      </w:r>
    </w:p>
    <w:p w14:paraId="156302E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99.89</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cs="黑体"/>
          <w:color w:val="auto"/>
          <w:kern w:val="0"/>
          <w:sz w:val="32"/>
          <w:szCs w:val="32"/>
          <w:lang w:val="en-US" w:eastAsia="zh-CN" w:bidi="ar-SA"/>
        </w:rPr>
        <w:t>有退休人员去世，市财政局追加一次性抚恤及遗嘱费。</w:t>
      </w:r>
    </w:p>
    <w:p w14:paraId="0D3EA58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、社会保障和就业支出（类）社会福利（款）儿童福利（项）。</w:t>
      </w:r>
    </w:p>
    <w:p w14:paraId="160EBE8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441.91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563.5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127.51</w:t>
      </w:r>
      <w:r>
        <w:rPr>
          <w:rFonts w:hint="eastAsia" w:ascii="仿宋_GB2312" w:hAnsi="仿宋_GB2312" w:eastAsia="仿宋_GB2312" w:cs="仿宋_GB2312"/>
          <w:sz w:val="32"/>
          <w:szCs w:val="32"/>
        </w:rPr>
        <w:t>%，决算数大于年初预算数的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使用上年结转资金。</w:t>
      </w:r>
    </w:p>
    <w:p w14:paraId="3D8FB5C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、社会保障和就业支出（类）社会福利（款）殡葬（项）。</w:t>
      </w:r>
    </w:p>
    <w:p w14:paraId="7838415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262.46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300.11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114.35</w:t>
      </w:r>
      <w:r>
        <w:rPr>
          <w:rFonts w:hint="eastAsia" w:ascii="仿宋_GB2312" w:hAnsi="仿宋_GB2312" w:eastAsia="仿宋_GB2312" w:cs="仿宋_GB2312"/>
          <w:sz w:val="32"/>
          <w:szCs w:val="32"/>
        </w:rPr>
        <w:t>%，决算数大于年初预算数的</w:t>
      </w:r>
      <w:r>
        <w:rPr>
          <w:rFonts w:hint="eastAsia" w:ascii="仿宋_GB2312" w:hAnsi="仿宋_GB2312" w:eastAsia="仿宋_GB2312" w:cs="仿宋_GB2312"/>
          <w:color w:val="auto"/>
          <w:sz w:val="32"/>
          <w:szCs w:val="32"/>
        </w:rPr>
        <w:t>主要原因是：</w:t>
      </w:r>
      <w:r>
        <w:rPr>
          <w:rFonts w:hint="eastAsia" w:ascii="Times New Roman" w:hAnsi="Times New Roman" w:eastAsia="仿宋_GB2312"/>
          <w:sz w:val="32"/>
          <w:szCs w:val="32"/>
          <w:lang w:eastAsia="zh-CN"/>
        </w:rPr>
        <w:t>人员经费增加以及惠民殡葬奖补人数增加致奖补资金增加。</w:t>
      </w:r>
    </w:p>
    <w:p w14:paraId="07E6A37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、社会保障和就业支出（类）社会福利（款）社会福利事业单位（项）。</w:t>
      </w:r>
    </w:p>
    <w:p w14:paraId="0BA4E36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1434.99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1406.97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98.05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预算数与决算数基本一致，我单位严格按照预算执行。</w:t>
      </w:r>
    </w:p>
    <w:p w14:paraId="62D8BCF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、社会保障和就业支出（类）社会福利（款） 其他社会福利支出（项）。</w:t>
      </w:r>
    </w:p>
    <w:p w14:paraId="6D2F29D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auto"/>
          <w:kern w:val="0"/>
          <w:sz w:val="32"/>
          <w:szCs w:val="32"/>
          <w:lang w:val="en-US" w:eastAsia="zh-CN"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7.44</w:t>
      </w:r>
      <w:r>
        <w:rPr>
          <w:rFonts w:hint="eastAsia" w:ascii="仿宋_GB2312" w:hAnsi="仿宋_GB2312" w:eastAsia="仿宋_GB2312" w:cs="仿宋_GB2312"/>
          <w:sz w:val="32"/>
          <w:szCs w:val="32"/>
        </w:rPr>
        <w:t>万元，决算</w:t>
      </w:r>
      <w:r>
        <w:rPr>
          <w:rFonts w:hint="eastAsia" w:ascii="仿宋_GB2312" w:hAnsi="仿宋_GB2312" w:eastAsia="仿宋_GB2312" w:cs="仿宋_GB2312"/>
          <w:color w:val="auto"/>
          <w:sz w:val="32"/>
          <w:szCs w:val="32"/>
        </w:rPr>
        <w:t>数大于年初预算数的主要原因是：</w:t>
      </w:r>
      <w:r>
        <w:rPr>
          <w:rFonts w:hint="eastAsia" w:ascii="Times New Roman" w:hAnsi="Times New Roman" w:eastAsia="仿宋_GB2312" w:cs="黑体"/>
          <w:color w:val="auto"/>
          <w:kern w:val="0"/>
          <w:sz w:val="32"/>
          <w:szCs w:val="32"/>
          <w:lang w:val="en-US" w:eastAsia="zh-CN" w:bidi="ar-SA"/>
        </w:rPr>
        <w:t>市财政局追加人员绩效奖金、非税超收分成经费等。</w:t>
      </w:r>
    </w:p>
    <w:p w14:paraId="756556B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残疾人事业</w:t>
      </w:r>
      <w:r>
        <w:rPr>
          <w:rFonts w:hint="eastAsia" w:ascii="仿宋_GB2312" w:hAnsi="仿宋_GB2312" w:eastAsia="仿宋_GB2312" w:cs="仿宋_GB2312"/>
          <w:sz w:val="32"/>
          <w:szCs w:val="32"/>
        </w:rPr>
        <w:t xml:space="preserve">（款） </w:t>
      </w:r>
      <w:r>
        <w:rPr>
          <w:rFonts w:hint="eastAsia" w:ascii="仿宋_GB2312" w:hAnsi="仿宋_GB2312" w:eastAsia="仿宋_GB2312" w:cs="仿宋_GB2312"/>
          <w:sz w:val="32"/>
          <w:szCs w:val="32"/>
          <w:lang w:eastAsia="zh-CN"/>
        </w:rPr>
        <w:t>残疾人康复</w:t>
      </w:r>
      <w:r>
        <w:rPr>
          <w:rFonts w:hint="eastAsia" w:ascii="仿宋_GB2312" w:hAnsi="仿宋_GB2312" w:eastAsia="仿宋_GB2312" w:cs="仿宋_GB2312"/>
          <w:sz w:val="32"/>
          <w:szCs w:val="32"/>
        </w:rPr>
        <w:t>（项）。</w:t>
      </w:r>
    </w:p>
    <w:p w14:paraId="38C3241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该项支出年初未安排经费，为后续追加的经费。</w:t>
      </w:r>
    </w:p>
    <w:p w14:paraId="54D31B7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残疾人事业</w:t>
      </w:r>
      <w:r>
        <w:rPr>
          <w:rFonts w:hint="eastAsia" w:ascii="仿宋_GB2312" w:hAnsi="仿宋_GB2312" w:eastAsia="仿宋_GB2312" w:cs="仿宋_GB2312"/>
          <w:sz w:val="32"/>
          <w:szCs w:val="32"/>
        </w:rPr>
        <w:t>（款） 其他</w:t>
      </w:r>
      <w:r>
        <w:rPr>
          <w:rFonts w:hint="eastAsia" w:ascii="仿宋_GB2312" w:hAnsi="仿宋_GB2312" w:eastAsia="仿宋_GB2312" w:cs="仿宋_GB2312"/>
          <w:sz w:val="32"/>
          <w:szCs w:val="32"/>
          <w:lang w:eastAsia="zh-CN"/>
        </w:rPr>
        <w:t>残疾人事业支出</w:t>
      </w:r>
      <w:r>
        <w:rPr>
          <w:rFonts w:hint="eastAsia" w:ascii="仿宋_GB2312" w:hAnsi="仿宋_GB2312" w:eastAsia="仿宋_GB2312" w:cs="仿宋_GB2312"/>
          <w:sz w:val="32"/>
          <w:szCs w:val="32"/>
        </w:rPr>
        <w:t>（项）。</w:t>
      </w:r>
    </w:p>
    <w:p w14:paraId="0F7F5BE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万元，决算数大于（小于）年初预算数的</w:t>
      </w:r>
      <w:r>
        <w:rPr>
          <w:rFonts w:hint="eastAsia" w:ascii="仿宋_GB2312" w:hAnsi="仿宋_GB2312" w:eastAsia="仿宋_GB2312" w:cs="仿宋_GB2312"/>
          <w:color w:val="auto"/>
          <w:sz w:val="32"/>
          <w:szCs w:val="32"/>
        </w:rPr>
        <w:t>主要原因是：</w:t>
      </w:r>
      <w:r>
        <w:rPr>
          <w:rFonts w:hint="eastAsia" w:ascii="Times New Roman" w:hAnsi="Times New Roman" w:eastAsia="仿宋_GB2312" w:cs="黑体"/>
          <w:color w:val="auto"/>
          <w:kern w:val="0"/>
          <w:sz w:val="32"/>
          <w:szCs w:val="32"/>
          <w:lang w:val="en-US" w:eastAsia="zh-CN" w:bidi="ar-SA"/>
        </w:rPr>
        <w:t>市财政局追加预算。</w:t>
      </w:r>
    </w:p>
    <w:p w14:paraId="558DC0F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最低生活保障</w:t>
      </w:r>
      <w:r>
        <w:rPr>
          <w:rFonts w:hint="eastAsia" w:ascii="仿宋_GB2312" w:hAnsi="仿宋_GB2312" w:eastAsia="仿宋_GB2312" w:cs="仿宋_GB2312"/>
          <w:sz w:val="32"/>
          <w:szCs w:val="32"/>
        </w:rPr>
        <w:t xml:space="preserve">（款） </w:t>
      </w:r>
      <w:r>
        <w:rPr>
          <w:rFonts w:hint="eastAsia" w:ascii="仿宋_GB2312" w:hAnsi="仿宋_GB2312" w:eastAsia="仿宋_GB2312" w:cs="仿宋_GB2312"/>
          <w:sz w:val="32"/>
          <w:szCs w:val="32"/>
          <w:lang w:eastAsia="zh-CN"/>
        </w:rPr>
        <w:t>城市最低生活保障金支出</w:t>
      </w:r>
      <w:r>
        <w:rPr>
          <w:rFonts w:hint="eastAsia" w:ascii="仿宋_GB2312" w:hAnsi="仿宋_GB2312" w:eastAsia="仿宋_GB2312" w:cs="仿宋_GB2312"/>
          <w:sz w:val="32"/>
          <w:szCs w:val="32"/>
        </w:rPr>
        <w:t>（项）。</w:t>
      </w:r>
    </w:p>
    <w:p w14:paraId="20543D8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146.02</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cs="黑体"/>
          <w:color w:val="auto"/>
          <w:kern w:val="0"/>
          <w:sz w:val="32"/>
          <w:szCs w:val="32"/>
          <w:lang w:val="en-US" w:eastAsia="zh-CN" w:bidi="ar-SA"/>
        </w:rPr>
        <w:t>市财政局转拨2022年民政一般转移支付资金、代编城乡最低生活保障及特困经费（老小生活费）等。</w:t>
      </w:r>
    </w:p>
    <w:p w14:paraId="0FE7FBE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临时救助</w:t>
      </w:r>
      <w:r>
        <w:rPr>
          <w:rFonts w:hint="eastAsia" w:ascii="仿宋_GB2312" w:hAnsi="仿宋_GB2312" w:eastAsia="仿宋_GB2312" w:cs="仿宋_GB2312"/>
          <w:sz w:val="32"/>
          <w:szCs w:val="32"/>
        </w:rPr>
        <w:t xml:space="preserve">（款） </w:t>
      </w:r>
      <w:r>
        <w:rPr>
          <w:rFonts w:hint="eastAsia" w:ascii="仿宋_GB2312" w:hAnsi="仿宋_GB2312" w:eastAsia="仿宋_GB2312" w:cs="仿宋_GB2312"/>
          <w:sz w:val="32"/>
          <w:szCs w:val="32"/>
          <w:lang w:eastAsia="zh-CN"/>
        </w:rPr>
        <w:t>临时救助支出</w:t>
      </w:r>
      <w:r>
        <w:rPr>
          <w:rFonts w:hint="eastAsia" w:ascii="仿宋_GB2312" w:hAnsi="仿宋_GB2312" w:eastAsia="仿宋_GB2312" w:cs="仿宋_GB2312"/>
          <w:sz w:val="32"/>
          <w:szCs w:val="32"/>
        </w:rPr>
        <w:t>（项）。</w:t>
      </w:r>
    </w:p>
    <w:p w14:paraId="72EAF1B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9.77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预算数与决算数基本一致，我单位严格按照预算执行。</w:t>
      </w:r>
    </w:p>
    <w:p w14:paraId="1CBA5A7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临时救助</w:t>
      </w:r>
      <w:r>
        <w:rPr>
          <w:rFonts w:hint="eastAsia" w:ascii="仿宋_GB2312" w:hAnsi="仿宋_GB2312" w:eastAsia="仿宋_GB2312" w:cs="仿宋_GB2312"/>
          <w:sz w:val="32"/>
          <w:szCs w:val="32"/>
        </w:rPr>
        <w:t xml:space="preserve">（款） </w:t>
      </w:r>
      <w:r>
        <w:rPr>
          <w:rFonts w:hint="eastAsia" w:ascii="仿宋_GB2312" w:hAnsi="仿宋_GB2312" w:eastAsia="仿宋_GB2312" w:cs="仿宋_GB2312"/>
          <w:sz w:val="32"/>
          <w:szCs w:val="32"/>
          <w:lang w:eastAsia="zh-CN"/>
        </w:rPr>
        <w:t>流浪乞讨人员救助支出</w:t>
      </w:r>
      <w:r>
        <w:rPr>
          <w:rFonts w:hint="eastAsia" w:ascii="仿宋_GB2312" w:hAnsi="仿宋_GB2312" w:eastAsia="仿宋_GB2312" w:cs="仿宋_GB2312"/>
          <w:sz w:val="32"/>
          <w:szCs w:val="32"/>
        </w:rPr>
        <w:t>（项）。</w:t>
      </w:r>
    </w:p>
    <w:p w14:paraId="3157ABC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黑体"/>
          <w:color w:val="auto"/>
          <w:kern w:val="0"/>
          <w:sz w:val="32"/>
          <w:szCs w:val="32"/>
          <w:lang w:val="en-US"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15.58</w:t>
      </w:r>
      <w:r>
        <w:rPr>
          <w:rFonts w:hint="eastAsia" w:ascii="仿宋_GB2312" w:hAnsi="仿宋_GB2312" w:eastAsia="仿宋_GB2312" w:cs="仿宋_GB2312"/>
          <w:sz w:val="32"/>
          <w:szCs w:val="32"/>
        </w:rPr>
        <w:t>万元，决算数大于年初预算数的</w:t>
      </w:r>
      <w:r>
        <w:rPr>
          <w:rFonts w:hint="eastAsia" w:ascii="仿宋_GB2312" w:hAnsi="仿宋_GB2312" w:eastAsia="仿宋_GB2312" w:cs="仿宋_GB2312"/>
          <w:color w:val="auto"/>
          <w:sz w:val="32"/>
          <w:szCs w:val="32"/>
        </w:rPr>
        <w:t>主要原因是：</w:t>
      </w:r>
      <w:r>
        <w:rPr>
          <w:rFonts w:hint="eastAsia" w:ascii="Times New Roman" w:hAnsi="Times New Roman" w:eastAsia="仿宋_GB2312"/>
          <w:sz w:val="32"/>
          <w:szCs w:val="32"/>
          <w:lang w:val="en-US" w:eastAsia="zh-CN"/>
        </w:rPr>
        <w:t>年初未纳入本单位预算，但纳入了财政大预算。</w:t>
      </w:r>
      <w:r>
        <w:rPr>
          <w:rFonts w:hint="eastAsia" w:ascii="Times New Roman" w:hAnsi="Times New Roman" w:eastAsia="仿宋_GB2312" w:cs="黑体"/>
          <w:color w:val="auto"/>
          <w:kern w:val="0"/>
          <w:sz w:val="32"/>
          <w:szCs w:val="32"/>
          <w:lang w:val="en-US" w:bidi="ar-SA"/>
        </w:rPr>
        <w:t xml:space="preserve">  </w:t>
      </w:r>
    </w:p>
    <w:p w14:paraId="02392C3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特困人员救助供养</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农村特困人员救助供养支出</w:t>
      </w:r>
      <w:r>
        <w:rPr>
          <w:rFonts w:hint="eastAsia" w:ascii="仿宋_GB2312" w:hAnsi="仿宋_GB2312" w:eastAsia="仿宋_GB2312" w:cs="仿宋_GB2312"/>
          <w:sz w:val="32"/>
          <w:szCs w:val="32"/>
        </w:rPr>
        <w:t>（项）。</w:t>
      </w:r>
    </w:p>
    <w:p w14:paraId="0462FC2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1.65</w:t>
      </w:r>
      <w:r>
        <w:rPr>
          <w:rFonts w:hint="eastAsia" w:ascii="仿宋_GB2312" w:hAnsi="仿宋_GB2312" w:eastAsia="仿宋_GB2312" w:cs="仿宋_GB2312"/>
          <w:sz w:val="32"/>
          <w:szCs w:val="32"/>
        </w:rPr>
        <w:t>万元，决算数大于年初预算数的主</w:t>
      </w:r>
      <w:r>
        <w:rPr>
          <w:rFonts w:hint="eastAsia" w:ascii="仿宋_GB2312" w:hAnsi="仿宋_GB2312" w:eastAsia="仿宋_GB2312" w:cs="仿宋_GB2312"/>
          <w:color w:val="auto"/>
          <w:sz w:val="32"/>
          <w:szCs w:val="32"/>
        </w:rPr>
        <w:t>要原因是：</w:t>
      </w:r>
      <w:r>
        <w:rPr>
          <w:rFonts w:hint="eastAsia" w:ascii="仿宋_GB2312" w:hAnsi="仿宋_GB2312" w:eastAsia="仿宋_GB2312" w:cs="仿宋_GB2312"/>
          <w:color w:val="auto"/>
          <w:sz w:val="32"/>
          <w:szCs w:val="32"/>
          <w:lang w:eastAsia="zh-CN"/>
        </w:rPr>
        <w:t>存在上年结余资金。</w:t>
      </w:r>
    </w:p>
    <w:p w14:paraId="736E6DB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、社会保障和就业支出（类）</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（项）。</w:t>
      </w:r>
    </w:p>
    <w:p w14:paraId="7129C3DC">
      <w:pPr>
        <w:keepNext/>
        <w:keepLines/>
        <w:widowControl/>
        <w:numPr>
          <w:ilvl w:val="0"/>
          <w:numId w:val="0"/>
        </w:numPr>
        <w:spacing w:beforeLines="0" w:afterLines="0"/>
        <w:ind w:firstLine="640" w:firstLineChars="200"/>
        <w:rPr>
          <w:rFonts w:hint="eastAsia" w:ascii="Times New Roman" w:hAnsi="Times New Roman" w:eastAsia="仿宋_GB2312" w:cs="黑体"/>
          <w:color w:val="auto"/>
          <w:kern w:val="0"/>
          <w:sz w:val="32"/>
          <w:szCs w:val="32"/>
          <w:lang w:val="en-US" w:bidi="ar-SA"/>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15.14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364.2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color w:val="auto"/>
          <w:sz w:val="32"/>
          <w:szCs w:val="32"/>
          <w:lang w:val="en-US" w:eastAsia="zh-CN"/>
        </w:rPr>
        <w:t>2405.55</w:t>
      </w:r>
      <w:r>
        <w:rPr>
          <w:rFonts w:hint="eastAsia" w:ascii="仿宋_GB2312" w:hAnsi="仿宋_GB2312" w:eastAsia="仿宋_GB2312" w:cs="仿宋_GB2312"/>
          <w:color w:val="auto"/>
          <w:sz w:val="32"/>
          <w:szCs w:val="32"/>
        </w:rPr>
        <w:t>%，决算数大于年初预算数的主要原因是：</w:t>
      </w:r>
      <w:r>
        <w:rPr>
          <w:rFonts w:hint="eastAsia" w:ascii="Times New Roman" w:hAnsi="Times New Roman" w:eastAsia="仿宋_GB2312" w:cs="黑体"/>
          <w:color w:val="auto"/>
          <w:kern w:val="0"/>
          <w:sz w:val="32"/>
          <w:szCs w:val="32"/>
          <w:lang w:val="en-US" w:eastAsia="zh-CN" w:bidi="ar-SA"/>
        </w:rPr>
        <w:t>为市财政局代编的春节慰问资金，纳入市财政局大预算范围内。</w:t>
      </w:r>
      <w:r>
        <w:rPr>
          <w:rFonts w:hint="eastAsia" w:ascii="Times New Roman" w:hAnsi="Times New Roman" w:eastAsia="仿宋_GB2312" w:cs="黑体"/>
          <w:color w:val="auto"/>
          <w:kern w:val="0"/>
          <w:sz w:val="32"/>
          <w:szCs w:val="32"/>
          <w:lang w:val="en-US" w:bidi="ar-SA"/>
        </w:rPr>
        <w:t xml:space="preserve">  </w:t>
      </w:r>
    </w:p>
    <w:p w14:paraId="6CD094F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公立医院</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康复医院</w:t>
      </w:r>
      <w:r>
        <w:rPr>
          <w:rFonts w:hint="eastAsia" w:ascii="仿宋_GB2312" w:hAnsi="仿宋_GB2312" w:eastAsia="仿宋_GB2312" w:cs="仿宋_GB2312"/>
          <w:sz w:val="32"/>
          <w:szCs w:val="32"/>
        </w:rPr>
        <w:t>（项）。</w:t>
      </w:r>
    </w:p>
    <w:p w14:paraId="2DF2AF76">
      <w:pPr>
        <w:keepNext/>
        <w:keepLines/>
        <w:widowControl/>
        <w:numPr>
          <w:ilvl w:val="0"/>
          <w:numId w:val="0"/>
        </w:numPr>
        <w:spacing w:beforeLines="0" w:afterLines="0"/>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88.03</w:t>
      </w:r>
      <w:r>
        <w:rPr>
          <w:rFonts w:hint="eastAsia" w:ascii="仿宋_GB2312" w:hAnsi="仿宋_GB2312" w:eastAsia="仿宋_GB2312" w:cs="仿宋_GB2312"/>
          <w:sz w:val="32"/>
          <w:szCs w:val="32"/>
        </w:rPr>
        <w:t>万元，决算数大于年初预算数的主要原</w:t>
      </w:r>
      <w:r>
        <w:rPr>
          <w:rFonts w:hint="eastAsia" w:ascii="仿宋_GB2312" w:hAnsi="仿宋_GB2312" w:eastAsia="仿宋_GB2312" w:cs="仿宋_GB2312"/>
          <w:color w:val="auto"/>
          <w:sz w:val="32"/>
          <w:szCs w:val="32"/>
        </w:rPr>
        <w:t>因是：</w:t>
      </w:r>
      <w:r>
        <w:rPr>
          <w:rFonts w:hint="eastAsia" w:ascii="Times New Roman" w:hAnsi="Times New Roman" w:eastAsia="仿宋_GB2312" w:cs="黑体"/>
          <w:color w:val="auto"/>
          <w:kern w:val="0"/>
          <w:sz w:val="32"/>
          <w:szCs w:val="32"/>
          <w:lang w:val="en-US" w:bidi="ar-SA"/>
        </w:rPr>
        <w:t>是</w:t>
      </w:r>
      <w:r>
        <w:rPr>
          <w:rFonts w:hint="eastAsia" w:ascii="Times New Roman" w:hAnsi="Times New Roman" w:eastAsia="仿宋_GB2312" w:cs="黑体"/>
          <w:color w:val="auto"/>
          <w:kern w:val="0"/>
          <w:sz w:val="32"/>
          <w:szCs w:val="32"/>
          <w:lang w:val="en-US" w:eastAsia="zh-CN" w:bidi="ar-SA"/>
        </w:rPr>
        <w:t>市财政局追加的人员经费补差和人员绩效奖等。</w:t>
      </w:r>
      <w:r>
        <w:rPr>
          <w:rFonts w:hint="eastAsia" w:ascii="Times New Roman" w:hAnsi="Times New Roman" w:eastAsia="仿宋_GB2312" w:cs="黑体"/>
          <w:color w:val="auto"/>
          <w:kern w:val="0"/>
          <w:sz w:val="32"/>
          <w:szCs w:val="32"/>
          <w:lang w:val="en-US" w:bidi="ar-SA"/>
        </w:rPr>
        <w:t xml:space="preserve">  </w:t>
      </w:r>
    </w:p>
    <w:p w14:paraId="174B556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公立医院</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其他公立医院支出</w:t>
      </w:r>
      <w:r>
        <w:rPr>
          <w:rFonts w:hint="eastAsia" w:ascii="仿宋_GB2312" w:hAnsi="仿宋_GB2312" w:eastAsia="仿宋_GB2312" w:cs="仿宋_GB2312"/>
          <w:sz w:val="32"/>
          <w:szCs w:val="32"/>
        </w:rPr>
        <w:t>（项）。</w:t>
      </w:r>
    </w:p>
    <w:p w14:paraId="3E33E8AA">
      <w:pPr>
        <w:pStyle w:val="12"/>
        <w:numPr>
          <w:ilvl w:val="0"/>
          <w:numId w:val="0"/>
        </w:numPr>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19.06</w:t>
      </w:r>
      <w:r>
        <w:rPr>
          <w:rFonts w:hint="eastAsia" w:ascii="仿宋_GB2312" w:hAnsi="仿宋_GB2312" w:eastAsia="仿宋_GB2312" w:cs="仿宋_GB2312"/>
          <w:sz w:val="32"/>
          <w:szCs w:val="32"/>
        </w:rPr>
        <w:t>万元，决算数大于年初预算数的</w:t>
      </w:r>
      <w:r>
        <w:rPr>
          <w:rFonts w:hint="eastAsia" w:ascii="Times New Roman" w:hAnsi="Times New Roman" w:eastAsia="仿宋_GB2312" w:cs="黑体"/>
          <w:color w:val="auto"/>
          <w:kern w:val="0"/>
          <w:sz w:val="32"/>
          <w:szCs w:val="32"/>
          <w:lang w:val="en-US" w:bidi="ar-SA"/>
        </w:rPr>
        <w:t xml:space="preserve"> </w:t>
      </w:r>
      <w:r>
        <w:rPr>
          <w:rFonts w:hint="eastAsia" w:ascii="仿宋_GB2312" w:hAnsi="仿宋_GB2312" w:eastAsia="仿宋_GB2312" w:cs="仿宋_GB2312"/>
          <w:kern w:val="0"/>
          <w:sz w:val="32"/>
          <w:szCs w:val="32"/>
        </w:rPr>
        <w:t>调整了年初预算，增加了</w:t>
      </w:r>
      <w:r>
        <w:rPr>
          <w:rFonts w:hint="eastAsia" w:ascii="仿宋_GB2312" w:hAnsi="仿宋_GB2312" w:eastAsia="仿宋_GB2312" w:cs="仿宋_GB2312"/>
          <w:kern w:val="0"/>
          <w:sz w:val="32"/>
          <w:szCs w:val="32"/>
          <w:lang w:eastAsia="zh-CN"/>
        </w:rPr>
        <w:t>康复医院</w:t>
      </w:r>
      <w:r>
        <w:rPr>
          <w:rFonts w:hint="eastAsia" w:ascii="仿宋_GB2312" w:hAnsi="仿宋_GB2312" w:eastAsia="仿宋_GB2312" w:cs="仿宋_GB2312"/>
          <w:kern w:val="0"/>
          <w:sz w:val="32"/>
          <w:szCs w:val="32"/>
        </w:rPr>
        <w:t>公立医院改革补助预算。</w:t>
      </w:r>
    </w:p>
    <w:p w14:paraId="5EF71C8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公共卫生</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重大公共卫生服务</w:t>
      </w:r>
      <w:r>
        <w:rPr>
          <w:rFonts w:hint="eastAsia" w:ascii="仿宋_GB2312" w:hAnsi="仿宋_GB2312" w:eastAsia="仿宋_GB2312" w:cs="仿宋_GB2312"/>
          <w:sz w:val="32"/>
          <w:szCs w:val="32"/>
        </w:rPr>
        <w:t>（项）。</w:t>
      </w:r>
    </w:p>
    <w:p w14:paraId="1234C8EF">
      <w:pPr>
        <w:pStyle w:val="12"/>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102.43</w:t>
      </w:r>
      <w:r>
        <w:rPr>
          <w:rFonts w:hint="eastAsia" w:ascii="仿宋_GB2312" w:hAnsi="仿宋_GB2312" w:eastAsia="仿宋_GB2312" w:cs="仿宋_GB2312"/>
          <w:sz w:val="32"/>
          <w:szCs w:val="32"/>
        </w:rPr>
        <w:t>万元，决算数大于年初预算数的主</w:t>
      </w:r>
      <w:r>
        <w:rPr>
          <w:rFonts w:hint="eastAsia" w:ascii="仿宋_GB2312" w:hAnsi="仿宋_GB2312" w:eastAsia="仿宋_GB2312" w:cs="仿宋_GB2312"/>
          <w:color w:val="auto"/>
          <w:sz w:val="32"/>
          <w:szCs w:val="32"/>
        </w:rPr>
        <w:t>要原因是：</w:t>
      </w:r>
      <w:r>
        <w:rPr>
          <w:rFonts w:hint="eastAsia" w:ascii="仿宋_GB2312" w:hAnsi="仿宋_GB2312" w:eastAsia="仿宋_GB2312" w:cs="仿宋_GB2312"/>
          <w:color w:val="auto"/>
          <w:kern w:val="0"/>
          <w:sz w:val="32"/>
          <w:szCs w:val="32"/>
        </w:rPr>
        <w:t>调整了</w:t>
      </w:r>
      <w:r>
        <w:rPr>
          <w:rFonts w:hint="eastAsia" w:ascii="仿宋_GB2312" w:hAnsi="仿宋_GB2312" w:eastAsia="仿宋_GB2312" w:cs="仿宋_GB2312"/>
          <w:color w:val="auto"/>
          <w:kern w:val="0"/>
          <w:sz w:val="32"/>
          <w:szCs w:val="32"/>
          <w:lang w:eastAsia="zh-CN"/>
        </w:rPr>
        <w:t>康复医院</w:t>
      </w:r>
      <w:r>
        <w:rPr>
          <w:rFonts w:hint="eastAsia" w:ascii="仿宋_GB2312" w:hAnsi="仿宋_GB2312" w:eastAsia="仿宋_GB2312" w:cs="仿宋_GB2312"/>
          <w:color w:val="auto"/>
          <w:kern w:val="0"/>
          <w:sz w:val="32"/>
          <w:szCs w:val="32"/>
        </w:rPr>
        <w:t>年初预算，增加了退休费预算。</w:t>
      </w:r>
    </w:p>
    <w:p w14:paraId="4209962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卫生</w:t>
      </w:r>
      <w:r>
        <w:rPr>
          <w:rFonts w:hint="eastAsia" w:ascii="仿宋_GB2312" w:hAnsi="仿宋_GB2312" w:eastAsia="仿宋_GB2312" w:cs="仿宋_GB2312"/>
          <w:sz w:val="32"/>
          <w:szCs w:val="32"/>
          <w:lang w:eastAsia="zh-CN"/>
        </w:rPr>
        <w:t>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公共卫生</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突发公共卫生事件应急处理</w:t>
      </w:r>
      <w:r>
        <w:rPr>
          <w:rFonts w:hint="eastAsia" w:ascii="仿宋_GB2312" w:hAnsi="仿宋_GB2312" w:eastAsia="仿宋_GB2312" w:cs="仿宋_GB2312"/>
          <w:sz w:val="32"/>
          <w:szCs w:val="32"/>
        </w:rPr>
        <w:t>（项）。</w:t>
      </w:r>
    </w:p>
    <w:p w14:paraId="79C163F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67.49</w:t>
      </w:r>
      <w:r>
        <w:rPr>
          <w:rFonts w:hint="eastAsia" w:ascii="仿宋_GB2312" w:hAnsi="仿宋_GB2312" w:eastAsia="仿宋_GB2312" w:cs="仿宋_GB2312"/>
          <w:sz w:val="32"/>
          <w:szCs w:val="32"/>
        </w:rPr>
        <w:t>万元，决算数大于年初预算数的主要</w:t>
      </w:r>
      <w:r>
        <w:rPr>
          <w:rFonts w:hint="eastAsia" w:ascii="仿宋_GB2312" w:hAnsi="仿宋_GB2312" w:eastAsia="仿宋_GB2312" w:cs="仿宋_GB2312"/>
          <w:color w:val="auto"/>
          <w:sz w:val="32"/>
          <w:szCs w:val="32"/>
        </w:rPr>
        <w:t>原因是：调整</w:t>
      </w:r>
      <w:r>
        <w:rPr>
          <w:rFonts w:hint="eastAsia" w:ascii="仿宋_GB2312" w:hAnsi="仿宋_GB2312" w:eastAsia="仿宋_GB2312" w:cs="仿宋_GB2312"/>
          <w:sz w:val="32"/>
          <w:szCs w:val="32"/>
        </w:rPr>
        <w:t>了年初预算，增加了</w:t>
      </w:r>
      <w:r>
        <w:rPr>
          <w:rFonts w:hint="eastAsia" w:ascii="仿宋_GB2312" w:hAnsi="仿宋_GB2312" w:eastAsia="仿宋_GB2312" w:cs="仿宋_GB2312"/>
          <w:sz w:val="32"/>
          <w:szCs w:val="32"/>
          <w:lang w:eastAsia="zh-CN"/>
        </w:rPr>
        <w:t>康复医院</w:t>
      </w:r>
      <w:r>
        <w:rPr>
          <w:rFonts w:hint="eastAsia" w:ascii="仿宋_GB2312" w:hAnsi="仿宋_GB2312" w:eastAsia="仿宋_GB2312" w:cs="仿宋_GB2312"/>
          <w:sz w:val="32"/>
          <w:szCs w:val="32"/>
        </w:rPr>
        <w:t>医务人员临时防疫工作补助预算。</w:t>
      </w:r>
    </w:p>
    <w:p w14:paraId="012BAA2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行政单位医疗</w:t>
      </w:r>
      <w:r>
        <w:rPr>
          <w:rFonts w:hint="eastAsia" w:ascii="仿宋_GB2312" w:hAnsi="仿宋_GB2312" w:eastAsia="仿宋_GB2312" w:cs="仿宋_GB2312"/>
          <w:sz w:val="32"/>
          <w:szCs w:val="32"/>
        </w:rPr>
        <w:t>（项）。</w:t>
      </w:r>
    </w:p>
    <w:p w14:paraId="3620C5A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31.47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31.47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预算数与决算数一致，我单位严格按照预算执行。</w:t>
      </w:r>
    </w:p>
    <w:p w14:paraId="25ACA40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事业单位医疗</w:t>
      </w:r>
      <w:r>
        <w:rPr>
          <w:rFonts w:hint="eastAsia" w:ascii="仿宋_GB2312" w:hAnsi="仿宋_GB2312" w:eastAsia="仿宋_GB2312" w:cs="仿宋_GB2312"/>
          <w:sz w:val="32"/>
          <w:szCs w:val="32"/>
        </w:rPr>
        <w:t>（项）。</w:t>
      </w:r>
    </w:p>
    <w:p w14:paraId="48F0180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137.87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137.87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预算数与决算数一致，我单位严格按照预算执行。</w:t>
      </w:r>
    </w:p>
    <w:p w14:paraId="70DE4A6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公务员医疗补助</w:t>
      </w:r>
      <w:r>
        <w:rPr>
          <w:rFonts w:hint="eastAsia" w:ascii="仿宋_GB2312" w:hAnsi="仿宋_GB2312" w:eastAsia="仿宋_GB2312" w:cs="仿宋_GB2312"/>
          <w:sz w:val="32"/>
          <w:szCs w:val="32"/>
        </w:rPr>
        <w:t>（项）。</w:t>
      </w:r>
    </w:p>
    <w:p w14:paraId="57E2424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46.9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31.71</w:t>
      </w:r>
      <w:r>
        <w:rPr>
          <w:rFonts w:hint="eastAsia" w:ascii="仿宋_GB2312" w:hAnsi="仿宋_GB2312" w:eastAsia="仿宋_GB2312" w:cs="仿宋_GB2312"/>
          <w:sz w:val="32"/>
          <w:szCs w:val="32"/>
        </w:rPr>
        <w:t>%，决算数小于年初预算数的主要</w:t>
      </w:r>
      <w:r>
        <w:rPr>
          <w:rFonts w:hint="eastAsia" w:ascii="仿宋_GB2312" w:hAnsi="仿宋_GB2312" w:eastAsia="仿宋_GB2312" w:cs="仿宋_GB2312"/>
          <w:color w:val="auto"/>
          <w:sz w:val="32"/>
          <w:szCs w:val="32"/>
        </w:rPr>
        <w:t>原因是：</w:t>
      </w:r>
      <w:r>
        <w:rPr>
          <w:rFonts w:hint="eastAsia" w:ascii="仿宋_GB2312" w:hAnsi="仿宋_GB2312" w:eastAsia="仿宋_GB2312" w:cs="仿宋_GB2312"/>
          <w:color w:val="auto"/>
          <w:sz w:val="32"/>
          <w:szCs w:val="32"/>
          <w:lang w:eastAsia="zh-CN"/>
        </w:rPr>
        <w:t>部分资金在关账前未支付。</w:t>
      </w:r>
    </w:p>
    <w:p w14:paraId="5D7FD36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医疗救助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其他医疗救助支出</w:t>
      </w:r>
      <w:r>
        <w:rPr>
          <w:rFonts w:hint="eastAsia" w:ascii="仿宋_GB2312" w:hAnsi="仿宋_GB2312" w:eastAsia="仿宋_GB2312" w:cs="仿宋_GB2312"/>
          <w:sz w:val="32"/>
          <w:szCs w:val="32"/>
        </w:rPr>
        <w:t>（项）。</w:t>
      </w:r>
    </w:p>
    <w:p w14:paraId="172313B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cs="黑体"/>
          <w:color w:val="auto"/>
          <w:kern w:val="0"/>
          <w:sz w:val="32"/>
          <w:szCs w:val="32"/>
          <w:lang w:val="en-US" w:eastAsia="zh-CN" w:bidi="ar-SA"/>
        </w:rPr>
        <w:t>此笔资金纳入市财政局代编预算。</w:t>
      </w:r>
    </w:p>
    <w:p w14:paraId="0A07566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其他卫生健康支出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其他卫生健康支出</w:t>
      </w:r>
      <w:r>
        <w:rPr>
          <w:rFonts w:hint="eastAsia" w:ascii="仿宋_GB2312" w:hAnsi="仿宋_GB2312" w:eastAsia="仿宋_GB2312" w:cs="仿宋_GB2312"/>
          <w:sz w:val="32"/>
          <w:szCs w:val="32"/>
        </w:rPr>
        <w:t>（项）。</w:t>
      </w:r>
    </w:p>
    <w:p w14:paraId="77AE211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万元，决算数大于年初预算数的主要原因是：</w:t>
      </w:r>
      <w:r>
        <w:rPr>
          <w:rFonts w:hint="eastAsia" w:ascii="Times New Roman" w:hAnsi="Times New Roman" w:eastAsia="仿宋_GB2312" w:cs="黑体"/>
          <w:color w:val="auto"/>
          <w:kern w:val="0"/>
          <w:sz w:val="32"/>
          <w:szCs w:val="32"/>
          <w:lang w:val="en-US" w:eastAsia="zh-CN" w:bidi="ar-SA"/>
        </w:rPr>
        <w:t>此笔资金纳入市财政局代编预算。</w:t>
      </w:r>
    </w:p>
    <w:p w14:paraId="5942F3A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 xml:space="preserve">（款） </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（项）。</w:t>
      </w:r>
    </w:p>
    <w:p w14:paraId="0073A88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296.96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296.83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99.96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预算数与决算数基本一致，我单位严格按照预算执行。</w:t>
      </w:r>
    </w:p>
    <w:p w14:paraId="2AD9861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F39934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5209</w:t>
      </w:r>
      <w:r>
        <w:rPr>
          <w:rFonts w:hint="eastAsia" w:ascii="仿宋_GB2312" w:hAnsi="仿宋_GB2312" w:eastAsia="仿宋_GB2312" w:cs="仿宋_GB2312"/>
          <w:sz w:val="32"/>
          <w:szCs w:val="32"/>
        </w:rPr>
        <w:t>万元，其中：</w:t>
      </w:r>
    </w:p>
    <w:p w14:paraId="2EAB74A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zh-CN"/>
        </w:rPr>
      </w:pPr>
      <w:r>
        <w:rPr>
          <w:rFonts w:hint="eastAsia" w:ascii="仿宋_GB2312" w:hAnsi="仿宋_GB2312" w:eastAsia="仿宋_GB2312" w:cs="仿宋_GB2312"/>
          <w:b/>
          <w:bCs/>
          <w:sz w:val="32"/>
          <w:szCs w:val="32"/>
        </w:rPr>
        <w:t>人员经费4228.29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81.17</w:t>
      </w:r>
      <w:r>
        <w:rPr>
          <w:rFonts w:hint="eastAsia" w:ascii="仿宋_GB2312" w:hAnsi="仿宋_GB2312" w:eastAsia="仿宋_GB2312" w:cs="仿宋_GB2312"/>
          <w:sz w:val="32"/>
          <w:szCs w:val="32"/>
        </w:rPr>
        <w:t>%,</w:t>
      </w:r>
      <w:r>
        <w:rPr>
          <w:rFonts w:hint="eastAsia" w:ascii="Times New Roman" w:hAnsi="Times New Roman" w:eastAsia="仿宋_GB2312"/>
          <w:color w:val="auto"/>
          <w:sz w:val="32"/>
          <w:szCs w:val="32"/>
          <w:lang w:val="en-US"/>
        </w:rPr>
        <w:t>主要包括基本工资、津贴补贴、</w:t>
      </w:r>
      <w:r>
        <w:rPr>
          <w:rFonts w:hint="eastAsia" w:ascii="Times New Roman" w:hAnsi="Times New Roman" w:eastAsia="仿宋_GB2312"/>
          <w:color w:val="auto"/>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5C12D8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公用经费980.72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18.83</w:t>
      </w:r>
      <w:r>
        <w:rPr>
          <w:rFonts w:hint="eastAsia" w:ascii="仿宋_GB2312" w:hAnsi="仿宋_GB2312" w:eastAsia="仿宋_GB2312" w:cs="仿宋_GB2312"/>
          <w:sz w:val="32"/>
          <w:szCs w:val="32"/>
        </w:rPr>
        <w:t>%，</w:t>
      </w:r>
      <w:r>
        <w:rPr>
          <w:rFonts w:hint="eastAsia" w:ascii="Times New Roman" w:hAnsi="Times New Roman" w:eastAsia="仿宋_GB2312"/>
          <w:color w:val="auto"/>
          <w:sz w:val="32"/>
          <w:szCs w:val="32"/>
          <w:lang w:val="en-US"/>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46F93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47064906">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582.7</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582.7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582.7</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0C0CEE8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1、其他支出（类）彩票公益金安排的支出（款）用于社会福利的彩票公益金支出（项）。</w:t>
      </w:r>
    </w:p>
    <w:p w14:paraId="45DC306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582.7</w:t>
      </w:r>
      <w:r>
        <w:rPr>
          <w:rFonts w:hint="eastAsia" w:ascii="仿宋_GB2312" w:hAnsi="仿宋_GB2312" w:eastAsia="仿宋_GB2312" w:cs="仿宋_GB2312"/>
          <w:sz w:val="32"/>
          <w:szCs w:val="32"/>
        </w:rPr>
        <w:t>万元，</w:t>
      </w:r>
      <w:r>
        <w:rPr>
          <w:rFonts w:hint="eastAsia" w:ascii="Times New Roman" w:hAnsi="Times New Roman" w:eastAsia="仿宋_GB2312"/>
          <w:color w:val="auto"/>
          <w:sz w:val="32"/>
          <w:szCs w:val="32"/>
          <w:lang w:eastAsia="zh-CN"/>
        </w:rPr>
        <w:t>无法计算</w:t>
      </w:r>
      <w:r>
        <w:rPr>
          <w:rFonts w:hint="eastAsia" w:ascii="Times New Roman" w:hAnsi="Times New Roman" w:eastAsia="仿宋_GB2312"/>
          <w:color w:val="auto"/>
          <w:sz w:val="32"/>
          <w:szCs w:val="32"/>
        </w:rPr>
        <w:t>完成年初预算的</w:t>
      </w:r>
      <w:r>
        <w:rPr>
          <w:rFonts w:hint="eastAsia" w:ascii="Times New Roman" w:hAnsi="Times New Roman" w:eastAsia="仿宋_GB2312"/>
          <w:color w:val="auto"/>
          <w:sz w:val="32"/>
          <w:szCs w:val="32"/>
          <w:lang w:eastAsia="zh-CN"/>
        </w:rPr>
        <w:t>百分比</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eastAsia="zh-CN"/>
        </w:rPr>
        <w:t>福彩公益金未纳入年初预算，主要为中央、省级彩票公益金。</w:t>
      </w:r>
    </w:p>
    <w:p w14:paraId="6583E03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0C7BA132">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14:paraId="1473468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524294F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54F58B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16.28</w:t>
      </w:r>
      <w:r>
        <w:rPr>
          <w:rFonts w:hint="eastAsia" w:ascii="仿宋_GB2312" w:hAnsi="仿宋_GB2312" w:eastAsia="仿宋_GB2312" w:cs="仿宋_GB2312"/>
          <w:sz w:val="32"/>
          <w:szCs w:val="32"/>
        </w:rPr>
        <w:t>万元，支出决算为16.28万元，完成预算的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zh-CN"/>
        </w:rPr>
        <w:t>决算数与预算数一致，我单位严格按预算执行决算。</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26.65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62.08</w:t>
      </w:r>
      <w:r>
        <w:rPr>
          <w:rFonts w:hint="eastAsia" w:ascii="仿宋_GB2312" w:hAnsi="仿宋_GB2312" w:eastAsia="仿宋_GB2312" w:cs="仿宋_GB2312"/>
          <w:sz w:val="32"/>
          <w:szCs w:val="32"/>
        </w:rPr>
        <w:t>%,减</w:t>
      </w:r>
      <w:r>
        <w:rPr>
          <w:rFonts w:hint="eastAsia" w:ascii="仿宋_GB2312" w:hAnsi="仿宋_GB2312" w:eastAsia="仿宋_GB2312" w:cs="仿宋_GB2312"/>
          <w:color w:val="auto"/>
          <w:sz w:val="32"/>
          <w:szCs w:val="32"/>
        </w:rPr>
        <w:t>少的主要原因是</w:t>
      </w:r>
      <w:r>
        <w:rPr>
          <w:rFonts w:hint="eastAsia" w:ascii="仿宋_GB2312" w:hAnsi="仿宋_GB2312" w:eastAsia="仿宋_GB2312" w:cs="仿宋_GB2312"/>
          <w:color w:val="auto"/>
          <w:sz w:val="32"/>
          <w:szCs w:val="32"/>
          <w:lang w:eastAsia="zh-CN"/>
        </w:rPr>
        <w:t>今年未购置公务用车</w:t>
      </w:r>
      <w:r>
        <w:rPr>
          <w:rFonts w:hint="eastAsia" w:ascii="仿宋_GB2312" w:hAnsi="仿宋_GB2312" w:eastAsia="仿宋_GB2312" w:cs="仿宋_GB2312"/>
          <w:color w:val="auto"/>
          <w:sz w:val="32"/>
          <w:szCs w:val="32"/>
        </w:rPr>
        <w:t>。其中：</w:t>
      </w:r>
    </w:p>
    <w:p w14:paraId="153D5F6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lang w:val="en-US"/>
        </w:rPr>
        <w:t>因公出国（境）费支出预算为0万元，支出决算为0万元，由于预算数为0，无法计算完成百分比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主要原因是</w:t>
      </w:r>
      <w:r>
        <w:rPr>
          <w:rFonts w:hint="eastAsia" w:ascii="仿宋_GB2312" w:hAnsi="仿宋_GB2312" w:eastAsia="仿宋_GB2312" w:cs="仿宋_GB2312"/>
          <w:color w:val="auto"/>
          <w:sz w:val="32"/>
          <w:szCs w:val="32"/>
          <w:lang w:val="en-US" w:eastAsia="zh-CN"/>
        </w:rPr>
        <w:t>我单位年度活动中未安</w:t>
      </w:r>
      <w:r>
        <w:rPr>
          <w:rFonts w:hint="eastAsia" w:ascii="Times New Roman" w:hAnsi="Times New Roman" w:eastAsia="仿宋_GB2312"/>
          <w:color w:val="auto"/>
          <w:sz w:val="32"/>
          <w:szCs w:val="32"/>
          <w:lang w:eastAsia="zh-CN"/>
        </w:rPr>
        <w:t>排因公出国（境）工作。</w:t>
      </w:r>
      <w:r>
        <w:rPr>
          <w:rFonts w:hint="eastAsia" w:ascii="仿宋_GB2312" w:hAnsi="仿宋_GB2312" w:eastAsia="仿宋_GB2312" w:cs="仿宋_GB2312"/>
          <w:color w:val="auto"/>
          <w:sz w:val="32"/>
          <w:szCs w:val="32"/>
          <w:lang w:val="en-US" w:eastAsia="zh-CN"/>
        </w:rPr>
        <w:t>经费支出与上年相比保持不变。</w:t>
      </w:r>
    </w:p>
    <w:p w14:paraId="15B3099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zh-CN"/>
        </w:rPr>
        <w:t>决算数与预算数一致，我单位严格按预算执行决算。</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0.68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49.28</w:t>
      </w:r>
      <w:r>
        <w:rPr>
          <w:rFonts w:hint="eastAsia" w:ascii="仿宋_GB2312" w:hAnsi="仿宋_GB2312" w:eastAsia="仿宋_GB2312" w:cs="仿宋_GB2312"/>
          <w:sz w:val="32"/>
          <w:szCs w:val="32"/>
        </w:rPr>
        <w:t>%,增长的</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疫情放开导致公务接待次数多于去年</w:t>
      </w:r>
      <w:r>
        <w:rPr>
          <w:rFonts w:hint="eastAsia" w:ascii="仿宋_GB2312" w:hAnsi="仿宋_GB2312" w:eastAsia="仿宋_GB2312" w:cs="仿宋_GB2312"/>
          <w:color w:val="auto"/>
          <w:sz w:val="32"/>
          <w:szCs w:val="32"/>
        </w:rPr>
        <w:t>。</w:t>
      </w:r>
    </w:p>
    <w:p w14:paraId="4C24478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rPr>
        <w:t>由于预算数为0，无法计算完成百分比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主要原因是</w:t>
      </w:r>
      <w:r>
        <w:rPr>
          <w:rFonts w:hint="eastAsia" w:ascii="仿宋_GB2312" w:hAnsi="仿宋_GB2312" w:eastAsia="仿宋_GB2312" w:cs="仿宋_GB2312"/>
          <w:color w:val="auto"/>
          <w:sz w:val="32"/>
          <w:szCs w:val="32"/>
          <w:lang w:val="en-US" w:eastAsia="zh-CN"/>
        </w:rPr>
        <w:t>我单位年度活动中未购置公务用车</w:t>
      </w:r>
      <w:r>
        <w:rPr>
          <w:rFonts w:hint="eastAsia" w:ascii="Times New Roman" w:hAnsi="Times New Roman"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经费支出与上年相比减少100%，主要原因是上年购置了公务用车，本年未购置公务用车。</w:t>
      </w:r>
    </w:p>
    <w:p w14:paraId="2905D55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14.22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14.22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zh-CN"/>
        </w:rPr>
        <w:t>决算数与预算数一致，我单位严格按预算执行决算。</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9.35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39.67</w:t>
      </w:r>
      <w:r>
        <w:rPr>
          <w:rFonts w:hint="eastAsia" w:ascii="仿宋_GB2312" w:hAnsi="仿宋_GB2312" w:eastAsia="仿宋_GB2312" w:cs="仿宋_GB2312"/>
          <w:sz w:val="32"/>
          <w:szCs w:val="32"/>
        </w:rPr>
        <w:t>%,减</w:t>
      </w:r>
      <w:r>
        <w:rPr>
          <w:rFonts w:hint="eastAsia" w:ascii="仿宋_GB2312" w:hAnsi="仿宋_GB2312" w:eastAsia="仿宋_GB2312" w:cs="仿宋_GB2312"/>
          <w:color w:val="auto"/>
          <w:sz w:val="32"/>
          <w:szCs w:val="32"/>
        </w:rPr>
        <w:t>少的主要原因是</w:t>
      </w:r>
      <w:r>
        <w:rPr>
          <w:rFonts w:hint="eastAsia" w:ascii="仿宋_GB2312" w:hAnsi="仿宋_GB2312" w:eastAsia="仿宋_GB2312" w:cs="仿宋_GB2312"/>
          <w:color w:val="auto"/>
          <w:sz w:val="32"/>
          <w:szCs w:val="32"/>
          <w:lang w:val="en-US" w:eastAsia="zh-CN"/>
        </w:rPr>
        <w:t>公车使用率相对较低，公车运行维护费较低</w:t>
      </w:r>
      <w:r>
        <w:rPr>
          <w:rFonts w:hint="eastAsia" w:ascii="仿宋_GB2312" w:hAnsi="仿宋_GB2312" w:eastAsia="仿宋_GB2312" w:cs="仿宋_GB2312"/>
          <w:color w:val="auto"/>
          <w:sz w:val="32"/>
          <w:szCs w:val="32"/>
        </w:rPr>
        <w:t>。</w:t>
      </w:r>
    </w:p>
    <w:p w14:paraId="611A8A5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D3A8F7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olor w:val="auto"/>
          <w:sz w:val="32"/>
          <w:szCs w:val="32"/>
          <w:lang w:val="en-US" w:eastAsia="zh-CN"/>
        </w:rPr>
        <w:t>2023年</w:t>
      </w:r>
      <w:r>
        <w:rPr>
          <w:rFonts w:hint="eastAsia" w:ascii="仿宋_GB2312" w:hAnsi="仿宋_GB2312" w:eastAsia="仿宋_GB2312" w:cs="仿宋_GB2312"/>
          <w:sz w:val="32"/>
          <w:szCs w:val="32"/>
        </w:rPr>
        <w:t>度“三公”经费财政拨款支出决算中，公务接待费支出决算</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12.65</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14.22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87.35</w:t>
      </w:r>
      <w:r>
        <w:rPr>
          <w:rFonts w:hint="eastAsia" w:ascii="仿宋_GB2312" w:hAnsi="仿宋_GB2312" w:eastAsia="仿宋_GB2312" w:cs="仿宋_GB2312"/>
          <w:sz w:val="32"/>
          <w:szCs w:val="32"/>
        </w:rPr>
        <w:t>%。其中：</w:t>
      </w:r>
    </w:p>
    <w:p w14:paraId="786CA5B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olor w:val="auto"/>
          <w:sz w:val="32"/>
          <w:szCs w:val="32"/>
          <w:lang w:val="zh-CN"/>
        </w:rPr>
        <w:t>我单位</w:t>
      </w:r>
      <w:r>
        <w:rPr>
          <w:rFonts w:hint="eastAsia" w:ascii="Times New Roman" w:hAnsi="Times New Roman" w:eastAsia="仿宋_GB2312"/>
          <w:color w:val="auto"/>
          <w:sz w:val="32"/>
          <w:szCs w:val="32"/>
          <w:lang w:val="en-US" w:eastAsia="zh-CN"/>
        </w:rPr>
        <w:t>2023年度无因公出国（境）费支出。</w:t>
      </w:r>
    </w:p>
    <w:p w14:paraId="269009E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人次，主要是</w:t>
      </w:r>
      <w:r>
        <w:rPr>
          <w:rFonts w:hint="eastAsia" w:ascii="Times New Roman" w:hAnsi="Times New Roman" w:eastAsia="仿宋_GB2312"/>
          <w:color w:val="auto"/>
          <w:sz w:val="32"/>
          <w:szCs w:val="32"/>
          <w:lang w:val="zh-CN"/>
        </w:rPr>
        <w:t>用于与有关单位交流工作情况及接受相关部门检查指导工作发生的接待支出。</w:t>
      </w:r>
    </w:p>
    <w:p w14:paraId="6E47327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14.22</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,当年没有购置公务用车。</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14.22</w:t>
      </w:r>
      <w:r>
        <w:rPr>
          <w:rFonts w:hint="eastAsia" w:ascii="仿宋_GB2312" w:hAnsi="仿宋_GB2312" w:eastAsia="仿宋_GB2312" w:cs="仿宋_GB2312"/>
          <w:sz w:val="32"/>
          <w:szCs w:val="32"/>
        </w:rPr>
        <w:t>万元，</w:t>
      </w:r>
      <w:r>
        <w:rPr>
          <w:rFonts w:hint="eastAsia" w:ascii="Times New Roman" w:hAnsi="Times New Roman" w:eastAsia="仿宋_GB2312"/>
          <w:color w:val="auto"/>
          <w:sz w:val="32"/>
          <w:szCs w:val="32"/>
          <w:lang w:val="zh-CN"/>
        </w:rPr>
        <w:t>主要是按规定保留的公务用车的燃料费、维修费、过桥过路费、保险费、安全奖励费用等支出。</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辆。</w:t>
      </w:r>
    </w:p>
    <w:p w14:paraId="724A82E8">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b/>
          <w:color w:val="auto"/>
          <w:sz w:val="32"/>
          <w:szCs w:val="32"/>
        </w:rPr>
        <w:t>关于机关运行经费支出说明</w:t>
      </w:r>
    </w:p>
    <w:p w14:paraId="2D0CC08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980.72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比年初预算数</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198.91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46.24</w:t>
      </w:r>
      <w:r>
        <w:rPr>
          <w:rFonts w:hint="eastAsia" w:ascii="宋体" w:hAnsi="宋体"/>
          <w:color w:val="auto"/>
          <w:sz w:val="32"/>
          <w:szCs w:val="24"/>
          <w:highlight w:val="white"/>
          <w:lang w:val="en-US"/>
        </w:rPr>
        <w:t>%。</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val="en-US" w:eastAsia="zh-CN"/>
        </w:rPr>
        <w:t>2023年</w:t>
      </w:r>
      <w:r>
        <w:rPr>
          <w:rFonts w:hint="eastAsia" w:ascii="仿宋_GB2312" w:hAnsi="仿宋_GB2312" w:eastAsia="仿宋_GB2312" w:cs="仿宋_GB2312"/>
          <w:color w:val="auto"/>
          <w:sz w:val="32"/>
          <w:szCs w:val="32"/>
          <w:lang w:eastAsia="zh-CN"/>
        </w:rPr>
        <w:t>单位有新进人员，人员经费大大增加，由于疫情放开，相关工作进度加快推动。</w:t>
      </w:r>
      <w:r>
        <w:rPr>
          <w:rFonts w:hint="eastAsia" w:ascii="Times New Roman" w:hAnsi="Times New Roman" w:eastAsia="仿宋_GB2312"/>
          <w:color w:val="auto"/>
          <w:sz w:val="32"/>
          <w:szCs w:val="32"/>
          <w:lang w:val="en-US" w:eastAsia="zh-CN"/>
        </w:rPr>
        <w:t>。</w:t>
      </w:r>
    </w:p>
    <w:p w14:paraId="4BF15D3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1A9711E3">
      <w:pPr>
        <w:pStyle w:val="1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年度，会议费年初预算0万元，支出决算为0万元，本单位无会议费的预算和支出决算数。</w:t>
      </w:r>
    </w:p>
    <w:p w14:paraId="16924D45">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培训费年初预算5.85万元，支出决算为7.89万元，完成年初预算的134.87%。内容为</w:t>
      </w:r>
      <w:r>
        <w:rPr>
          <w:rFonts w:hint="eastAsia" w:ascii="Times New Roman" w:hAnsi="Times New Roman" w:eastAsia="仿宋_GB2312"/>
          <w:color w:val="auto"/>
          <w:sz w:val="32"/>
          <w:szCs w:val="32"/>
          <w:highlight w:val="none"/>
          <w:lang w:val="en-US" w:eastAsia="zh-CN"/>
        </w:rPr>
        <w:t>开展未成年人家庭教育指导培训、基政地名信息库数据质量建设培训等，人数80人，内容为未成年人家庭教育指导培训、基政地名信息库数据质量建设等</w:t>
      </w:r>
      <w:r>
        <w:rPr>
          <w:rFonts w:hint="eastAsia" w:ascii="仿宋_GB2312" w:hAnsi="仿宋_GB2312" w:eastAsia="仿宋_GB2312" w:cs="仿宋_GB2312"/>
          <w:color w:val="000000"/>
          <w:kern w:val="0"/>
          <w:sz w:val="32"/>
          <w:szCs w:val="32"/>
          <w:lang w:val="en-US" w:eastAsia="zh-CN" w:bidi="ar-SA"/>
        </w:rPr>
        <w:t>。</w:t>
      </w:r>
    </w:p>
    <w:p w14:paraId="22204462">
      <w:pPr>
        <w:widowControl w:val="0"/>
        <w:autoSpaceDE w:val="0"/>
        <w:autoSpaceDN w:val="0"/>
        <w:adjustRightInd w:val="0"/>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举办节庆、晚会、论坛、赛事活动年初预算0万元，支出决算为0万元，2023年本部门未举办节庆、晚会、论坛、赛事活动，开支0万元。</w:t>
      </w:r>
    </w:p>
    <w:p w14:paraId="2F2AC19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60E9311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rPr>
        <w:t>本部门202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年度政府采购支出总额</w:t>
      </w:r>
      <w:r>
        <w:rPr>
          <w:rFonts w:hint="eastAsia" w:ascii="仿宋_GB2312" w:hAnsi="仿宋_GB2312" w:eastAsia="仿宋_GB2312" w:cs="仿宋_GB2312"/>
          <w:color w:val="auto"/>
          <w:sz w:val="32"/>
          <w:szCs w:val="32"/>
          <w:lang w:val="en-US" w:eastAsia="zh-CN"/>
        </w:rPr>
        <w:t>801</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363.17</w:t>
      </w:r>
      <w:r>
        <w:rPr>
          <w:rFonts w:hint="eastAsia" w:ascii="仿宋_GB2312" w:hAnsi="仿宋_GB2312" w:eastAsia="仿宋_GB2312" w:cs="仿宋_GB2312"/>
          <w:color w:val="auto"/>
          <w:sz w:val="32"/>
          <w:szCs w:val="32"/>
        </w:rPr>
        <w:t>万元、政府采购工程支出</w:t>
      </w:r>
      <w:r>
        <w:rPr>
          <w:rFonts w:hint="eastAsia" w:ascii="仿宋_GB2312" w:hAnsi="仿宋_GB2312" w:eastAsia="仿宋_GB2312" w:cs="仿宋_GB2312"/>
          <w:color w:val="auto"/>
          <w:sz w:val="32"/>
          <w:szCs w:val="32"/>
          <w:lang w:val="en-US" w:eastAsia="zh-CN"/>
        </w:rPr>
        <w:t>376.42</w:t>
      </w:r>
      <w:r>
        <w:rPr>
          <w:rFonts w:hint="eastAsia" w:ascii="仿宋_GB2312" w:hAnsi="仿宋_GB2312" w:eastAsia="仿宋_GB2312" w:cs="仿宋_GB2312"/>
          <w:color w:val="auto"/>
          <w:sz w:val="32"/>
          <w:szCs w:val="32"/>
        </w:rPr>
        <w:t>万元、政府采购服务支出</w:t>
      </w:r>
      <w:r>
        <w:rPr>
          <w:rFonts w:hint="eastAsia" w:ascii="仿宋_GB2312" w:hAnsi="仿宋_GB2312" w:eastAsia="仿宋_GB2312" w:cs="仿宋_GB2312"/>
          <w:color w:val="auto"/>
          <w:sz w:val="32"/>
          <w:szCs w:val="32"/>
          <w:lang w:val="en-US" w:eastAsia="zh-CN"/>
        </w:rPr>
        <w:t>61.41</w:t>
      </w:r>
      <w:r>
        <w:rPr>
          <w:rFonts w:hint="eastAsia" w:ascii="仿宋_GB2312" w:hAnsi="仿宋_GB2312" w:eastAsia="仿宋_GB2312" w:cs="仿宋_GB2312"/>
          <w:color w:val="auto"/>
          <w:sz w:val="32"/>
          <w:szCs w:val="32"/>
        </w:rPr>
        <w:t>万元。授予中小企业合同金额</w:t>
      </w:r>
      <w:r>
        <w:rPr>
          <w:rFonts w:hint="eastAsia" w:ascii="仿宋_GB2312" w:hAnsi="仿宋_GB2312" w:eastAsia="仿宋_GB2312" w:cs="仿宋_GB2312"/>
          <w:color w:val="auto"/>
          <w:sz w:val="32"/>
          <w:szCs w:val="32"/>
          <w:lang w:val="en-US" w:eastAsia="zh-CN"/>
        </w:rPr>
        <w:t>801</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222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27.72</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14:paraId="38021BF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5FEF2DF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Times New Roman" w:hAnsi="Times New Roman" w:eastAsia="仿宋_GB2312" w:cs="黑体"/>
          <w:color w:val="auto"/>
          <w:kern w:val="0"/>
          <w:sz w:val="32"/>
          <w:szCs w:val="32"/>
          <w:lang w:val="en-US" w:eastAsia="zh-CN" w:bidi="ar-SA"/>
        </w:rPr>
        <w:t>截至2023年12月31日，本单位共有车辆9辆，其中，主要领导干部用车0辆，机要通信用车0辆、应急保障用车0辆、执法执勤用车1辆、特种专业技术用车0辆、其他用车8辆，其他用车主要是</w:t>
      </w:r>
      <w:r>
        <w:rPr>
          <w:rFonts w:hint="eastAsia" w:ascii="Times New Roman" w:hAnsi="Times New Roman" w:eastAsia="仿宋_GB2312" w:cs="Times New Roman"/>
          <w:color w:val="auto"/>
          <w:kern w:val="0"/>
          <w:sz w:val="32"/>
          <w:szCs w:val="32"/>
          <w:lang w:val="en-US" w:eastAsia="zh-CN" w:bidi="ar-SA"/>
        </w:rPr>
        <w:t>用于机要通信和应急保障之外公务用途的车辆</w:t>
      </w:r>
      <w:r>
        <w:rPr>
          <w:rFonts w:hint="eastAsia" w:ascii="Times New Roman" w:hAnsi="Times New Roman" w:eastAsia="仿宋_GB2312" w:cs="黑体"/>
          <w:color w:val="auto"/>
          <w:kern w:val="0"/>
          <w:sz w:val="32"/>
          <w:szCs w:val="32"/>
          <w:lang w:val="en-US" w:eastAsia="zh-CN" w:bidi="ar-SA"/>
        </w:rPr>
        <w:t>；单位价值50万元以上通用设备0台（套）；单位价值100万元以上专用设备0台（套）。</w:t>
      </w:r>
    </w:p>
    <w:p w14:paraId="043B1B7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FF422AE">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5AF876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33D14FA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根据预算绩效管理要求，我们组织对2023年度整体支出和项目资金实施了全覆盖性的绩效评价，撰写了绩效自评报告。</w:t>
      </w:r>
    </w:p>
    <w:p w14:paraId="138854E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组织开展整体支出绩效评价，涉及一般公共预算支出7506.23万元，政府性基金预算支出629.08万元，国有资本经营预算支出0万元。从评价情况来看，整体支出绩效评价中，2023年整体支出14969.87万元，其中：基本支出11713.04万元，项目支出3256.83万元，本单位整体支出绩效自评综合评分98分，评价结果等次为优。</w:t>
      </w:r>
    </w:p>
    <w:p w14:paraId="0C8A4A25">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组织对一般公共预算项目支出全面开展绩效自评，项目19（16）个，共涉及资金1269.74万元，占一般公共预算项目支出总额的55.27%。组织对政府性基金预算项目支出开展绩效自评，项目5个，共涉及资金629.08万元，占政府性基金预算项目支出总额的100%。组织对国有资本经营预算项目支出开展绩效自评，项目0个，共涉及资金0万元，无法计算占国有资本经营预算项目支出总额的比重</w:t>
      </w:r>
      <w:bookmarkStart w:id="0" w:name="_GoBack"/>
      <w:bookmarkEnd w:id="0"/>
      <w:r>
        <w:rPr>
          <w:rFonts w:hint="eastAsia" w:ascii="仿宋_GB2312" w:hAnsi="仿宋_GB2312" w:eastAsia="仿宋_GB2312" w:cs="仿宋_GB2312"/>
          <w:b w:val="0"/>
          <w:bCs w:val="0"/>
          <w:color w:val="auto"/>
          <w:kern w:val="0"/>
          <w:sz w:val="32"/>
          <w:szCs w:val="32"/>
          <w:lang w:val="en-US" w:eastAsia="zh-CN" w:bidi="ar-SA"/>
        </w:rPr>
        <w:t>。从评价情况来看，项目绩效自评得分96分，评价结果等次为优。</w:t>
      </w:r>
    </w:p>
    <w:p w14:paraId="22E7906D">
      <w:pPr>
        <w:pStyle w:val="2"/>
        <w:rPr>
          <w:rFonts w:hint="eastAsia"/>
          <w:lang w:eastAsia="zh-CN"/>
        </w:rPr>
      </w:pPr>
    </w:p>
    <w:p w14:paraId="5462BD7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50163A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根据年初设定的绩效目标，绩效自评得分为98分。全年预算数为5732.8 万元，执行数为14969.87万元，完成预算的261.13%。绩效目标完成情况：</w:t>
      </w:r>
      <w:r>
        <w:rPr>
          <w:rFonts w:hint="eastAsia" w:ascii="仿宋_GB2312" w:hAnsi="仿宋_GB2312" w:eastAsia="仿宋_GB2312" w:cs="仿宋_GB2312"/>
          <w:b w:val="0"/>
          <w:bCs w:val="0"/>
          <w:color w:val="auto"/>
          <w:sz w:val="32"/>
          <w:szCs w:val="32"/>
          <w:lang w:val="en-US" w:eastAsia="zh-CN"/>
        </w:rPr>
        <w:t>一是全面从严治党深入推进。坚定党的政治路线，落实意识形态工作责任制，强化党的创新理论武装，坚定捍卫“两个确立”，坚决做到“两个维护”；二是基本民生保障持续改善；三是基本社会服务不断优化；四是基层社会治理活力彰显；五是民政治理效能持续提升；六是提高了服务对象满意度。</w:t>
      </w:r>
    </w:p>
    <w:p w14:paraId="6FE59139">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806EAA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存在的</w:t>
      </w:r>
      <w:r>
        <w:rPr>
          <w:rFonts w:hint="eastAsia" w:ascii="仿宋_GB2312" w:hAnsi="仿宋_GB2312" w:eastAsia="仿宋_GB2312" w:cs="仿宋_GB2312"/>
          <w:b w:val="0"/>
          <w:bCs w:val="0"/>
          <w:color w:val="000000"/>
          <w:kern w:val="0"/>
          <w:sz w:val="32"/>
          <w:szCs w:val="32"/>
          <w:lang w:val="en-US" w:eastAsia="zh-CN" w:bidi="ar-SA"/>
        </w:rPr>
        <w:t>主要问题及原因：</w:t>
      </w:r>
      <w:r>
        <w:rPr>
          <w:rFonts w:hint="eastAsia" w:ascii="仿宋_GB2312" w:hAnsi="仿宋_GB2312" w:eastAsia="仿宋_GB2312" w:cs="仿宋_GB2312"/>
          <w:b w:val="0"/>
          <w:bCs w:val="0"/>
          <w:color w:val="auto"/>
          <w:sz w:val="32"/>
          <w:szCs w:val="32"/>
          <w:lang w:val="en-US" w:eastAsia="zh-CN"/>
        </w:rPr>
        <w:t>主要是预算编制工作有待加强。我局部分项目纳入财政代编，导致单位预算执行率不准确。</w:t>
      </w:r>
    </w:p>
    <w:p w14:paraId="5C338588">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78686A0D">
      <w:pPr>
        <w:pStyle w:val="12"/>
        <w:jc w:val="both"/>
        <w:rPr>
          <w:rFonts w:hint="eastAsia" w:ascii="方正小标宋_GBK" w:hAnsi="方正小标宋_GBK" w:eastAsia="方正小标宋_GBK" w:cs="方正小标宋_GBK"/>
          <w:sz w:val="72"/>
          <w:szCs w:val="72"/>
        </w:rPr>
      </w:pPr>
    </w:p>
    <w:p w14:paraId="5A887FB2">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4378425">
      <w:pPr>
        <w:jc w:val="center"/>
        <w:rPr>
          <w:rFonts w:hint="eastAsia" w:ascii="方正小标宋_GBK" w:hAnsi="方正小标宋_GBK" w:eastAsia="方正小标宋_GBK" w:cs="方正小标宋_GBK"/>
          <w:color w:val="000000"/>
          <w:kern w:val="0"/>
          <w:sz w:val="70"/>
          <w:szCs w:val="70"/>
        </w:rPr>
      </w:pPr>
    </w:p>
    <w:p w14:paraId="6807F300">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61558568">
      <w:pPr>
        <w:pStyle w:val="2"/>
      </w:pPr>
    </w:p>
    <w:p w14:paraId="75977961">
      <w:pPr>
        <w:pStyle w:val="3"/>
      </w:pPr>
    </w:p>
    <w:p w14:paraId="342613F7"/>
    <w:p w14:paraId="3AB76350">
      <w:pPr>
        <w:pStyle w:val="2"/>
      </w:pPr>
    </w:p>
    <w:p w14:paraId="3100FE25">
      <w:pPr>
        <w:pStyle w:val="3"/>
      </w:pPr>
    </w:p>
    <w:p w14:paraId="05F10E06"/>
    <w:p w14:paraId="4A78EDD5">
      <w:pPr>
        <w:pStyle w:val="2"/>
      </w:pPr>
    </w:p>
    <w:p w14:paraId="270449D6">
      <w:pPr>
        <w:pStyle w:val="3"/>
      </w:pPr>
    </w:p>
    <w:p w14:paraId="307C3D5E"/>
    <w:p w14:paraId="6984BB6F">
      <w:pPr>
        <w:pStyle w:val="2"/>
      </w:pPr>
    </w:p>
    <w:p w14:paraId="6C34D0C0">
      <w:pPr>
        <w:pStyle w:val="3"/>
      </w:pPr>
    </w:p>
    <w:p w14:paraId="4FE15C31"/>
    <w:p w14:paraId="7F569B1B">
      <w:pPr>
        <w:pStyle w:val="2"/>
      </w:pPr>
    </w:p>
    <w:p w14:paraId="790AA049">
      <w:pPr>
        <w:pStyle w:val="3"/>
      </w:pPr>
    </w:p>
    <w:p w14:paraId="665BEAFF"/>
    <w:p w14:paraId="4BA9A5E4">
      <w:pPr>
        <w:pStyle w:val="2"/>
      </w:pPr>
    </w:p>
    <w:p w14:paraId="09D191ED">
      <w:pPr>
        <w:pStyle w:val="3"/>
      </w:pPr>
    </w:p>
    <w:p w14:paraId="5623C4CA"/>
    <w:p w14:paraId="3456CB77">
      <w:pPr>
        <w:pStyle w:val="2"/>
      </w:pPr>
    </w:p>
    <w:p w14:paraId="3BD63133">
      <w:pPr>
        <w:pStyle w:val="3"/>
      </w:pPr>
    </w:p>
    <w:p w14:paraId="5CC0B6E0"/>
    <w:p w14:paraId="5D28D705">
      <w:pPr>
        <w:pStyle w:val="2"/>
      </w:pPr>
    </w:p>
    <w:p w14:paraId="3139F579">
      <w:pPr>
        <w:pStyle w:val="3"/>
      </w:pPr>
    </w:p>
    <w:p w14:paraId="20B98F3C"/>
    <w:p w14:paraId="25EC333A">
      <w:pPr>
        <w:pStyle w:val="2"/>
      </w:pPr>
    </w:p>
    <w:p w14:paraId="3D7FD65F">
      <w:pPr>
        <w:pStyle w:val="3"/>
      </w:pPr>
    </w:p>
    <w:p w14:paraId="42B201DA"/>
    <w:p w14:paraId="4BAF7886">
      <w:pPr>
        <w:pStyle w:val="2"/>
      </w:pPr>
    </w:p>
    <w:p w14:paraId="77CB27FC">
      <w:pPr>
        <w:pStyle w:val="3"/>
      </w:pPr>
    </w:p>
    <w:p w14:paraId="7126E25D"/>
    <w:p w14:paraId="3CEEAD89">
      <w:pPr>
        <w:pStyle w:val="2"/>
      </w:pPr>
    </w:p>
    <w:p w14:paraId="29E42C38">
      <w:pPr>
        <w:autoSpaceDE w:val="0"/>
        <w:autoSpaceDN w:val="0"/>
        <w:adjustRightInd w:val="0"/>
        <w:jc w:val="left"/>
        <w:rPr>
          <w:rFonts w:hint="eastAsia" w:ascii="仿宋_GB2312" w:hAnsi="仿宋_GB2312" w:eastAsia="仿宋_GB2312" w:cs="仿宋_GB2312"/>
          <w:b w:val="0"/>
          <w:bCs w:val="0"/>
          <w:sz w:val="32"/>
          <w:szCs w:val="32"/>
          <w:lang w:val="en-US" w:eastAsia="zh-CN"/>
        </w:rPr>
      </w:pPr>
    </w:p>
    <w:p w14:paraId="72BAC696">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4B2F747">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4955F8F8">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1F39122">
      <w:pPr>
        <w:pStyle w:val="3"/>
      </w:pPr>
    </w:p>
    <w:p w14:paraId="14F6CAFB"/>
    <w:p w14:paraId="19C8F83C">
      <w:pPr>
        <w:pStyle w:val="2"/>
      </w:pPr>
    </w:p>
    <w:p w14:paraId="1F63DA49">
      <w:pPr>
        <w:pStyle w:val="3"/>
      </w:pPr>
    </w:p>
    <w:p w14:paraId="69EE7335"/>
    <w:p w14:paraId="271545C2">
      <w:pPr>
        <w:pStyle w:val="2"/>
      </w:pPr>
    </w:p>
    <w:p w14:paraId="72D77CA8">
      <w:pPr>
        <w:pStyle w:val="3"/>
      </w:pPr>
    </w:p>
    <w:p w14:paraId="0D378B66"/>
    <w:p w14:paraId="415E2A0F">
      <w:pPr>
        <w:pStyle w:val="2"/>
      </w:pPr>
    </w:p>
    <w:p w14:paraId="0F0CF79F">
      <w:pPr>
        <w:pStyle w:val="3"/>
      </w:pPr>
    </w:p>
    <w:p w14:paraId="5AB0FE0B"/>
    <w:p w14:paraId="1AFA51A9">
      <w:pPr>
        <w:pStyle w:val="2"/>
      </w:pPr>
    </w:p>
    <w:p w14:paraId="6B45017C">
      <w:pPr>
        <w:pStyle w:val="3"/>
      </w:pPr>
    </w:p>
    <w:p w14:paraId="0226E1CC"/>
    <w:p w14:paraId="1717B2F2">
      <w:pPr>
        <w:pStyle w:val="2"/>
      </w:pPr>
    </w:p>
    <w:p w14:paraId="21375518">
      <w:pPr>
        <w:pStyle w:val="3"/>
      </w:pPr>
    </w:p>
    <w:p w14:paraId="6A3F3C03"/>
    <w:p w14:paraId="431BC085">
      <w:pPr>
        <w:pStyle w:val="3"/>
        <w:ind w:left="0" w:leftChars="0" w:firstLine="0" w:firstLineChars="0"/>
      </w:pPr>
    </w:p>
    <w:p w14:paraId="00AB6296">
      <w:pPr>
        <w:pStyle w:val="12"/>
        <w:jc w:val="center"/>
        <w:rPr>
          <w:rFonts w:hint="eastAsia" w:ascii="方正小标宋_GBK" w:hAnsi="方正小标宋_GBK" w:eastAsia="方正小标宋_GBK" w:cs="方正小标宋_GBK"/>
          <w:sz w:val="72"/>
          <w:szCs w:val="72"/>
        </w:rPr>
      </w:pPr>
    </w:p>
    <w:p w14:paraId="347C1311">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748F162">
      <w:pPr>
        <w:pStyle w:val="12"/>
        <w:jc w:val="both"/>
        <w:rPr>
          <w:rFonts w:hint="eastAsia" w:ascii="方正小标宋_GBK" w:hAnsi="方正小标宋_GBK" w:eastAsia="方正小标宋_GBK" w:cs="方正小标宋_GBK"/>
          <w:sz w:val="70"/>
          <w:szCs w:val="70"/>
          <w:lang w:eastAsia="zh-CN"/>
        </w:rPr>
      </w:pPr>
    </w:p>
    <w:p w14:paraId="135362F0">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F2012F7">
      <w:pPr>
        <w:ind w:firstLine="640" w:firstLineChars="200"/>
        <w:jc w:val="left"/>
        <w:rPr>
          <w:rFonts w:hint="eastAsia" w:ascii="宋体" w:hAnsi="宋体" w:eastAsia="宋体" w:cs="黑体"/>
          <w:b/>
          <w:color w:val="000000"/>
          <w:kern w:val="0"/>
          <w:sz w:val="32"/>
          <w:szCs w:val="32"/>
          <w:lang w:val="en-US" w:eastAsia="zh-CN"/>
        </w:rPr>
      </w:pPr>
    </w:p>
    <w:p w14:paraId="681BBA3C">
      <w:pPr>
        <w:ind w:firstLine="640" w:firstLineChars="200"/>
        <w:jc w:val="left"/>
        <w:rPr>
          <w:rFonts w:hint="eastAsia" w:ascii="宋体" w:hAnsi="宋体" w:eastAsia="宋体" w:cs="黑体"/>
          <w:b/>
          <w:color w:val="auto"/>
          <w:kern w:val="0"/>
          <w:sz w:val="32"/>
          <w:szCs w:val="32"/>
          <w:lang w:val="en-US" w:eastAsia="zh-CN"/>
        </w:rPr>
      </w:pPr>
      <w:r>
        <w:rPr>
          <w:rFonts w:hint="eastAsia" w:ascii="宋体" w:hAnsi="宋体" w:eastAsia="宋体" w:cs="黑体"/>
          <w:b/>
          <w:color w:val="auto"/>
          <w:kern w:val="0"/>
          <w:sz w:val="32"/>
          <w:szCs w:val="32"/>
          <w:lang w:val="en-US" w:eastAsia="zh-CN"/>
        </w:rPr>
        <w:t>1、2023年部门决算公开表格</w:t>
      </w:r>
    </w:p>
    <w:p w14:paraId="351D2E1D">
      <w:pPr>
        <w:ind w:firstLine="640" w:firstLineChars="200"/>
        <w:jc w:val="left"/>
        <w:rPr>
          <w:rFonts w:ascii="宋体" w:hAnsi="宋体" w:eastAsia="宋体" w:cs="黑体"/>
          <w:color w:val="auto"/>
          <w:kern w:val="0"/>
          <w:sz w:val="32"/>
          <w:szCs w:val="32"/>
        </w:rPr>
      </w:pPr>
      <w:r>
        <w:rPr>
          <w:rFonts w:hint="eastAsia" w:ascii="宋体" w:hAnsi="宋体" w:eastAsia="宋体" w:cs="黑体"/>
          <w:b/>
          <w:color w:val="auto"/>
          <w:kern w:val="0"/>
          <w:sz w:val="32"/>
          <w:szCs w:val="32"/>
          <w:lang w:val="en-US" w:eastAsia="zh-CN"/>
        </w:rPr>
        <w:t>2、</w:t>
      </w:r>
      <w:r>
        <w:rPr>
          <w:rFonts w:hint="eastAsia" w:ascii="宋体" w:hAnsi="宋体" w:eastAsia="宋体" w:cs="黑体"/>
          <w:b/>
          <w:color w:val="auto"/>
          <w:kern w:val="0"/>
          <w:sz w:val="32"/>
          <w:szCs w:val="32"/>
        </w:rPr>
        <w:t>202</w:t>
      </w:r>
      <w:r>
        <w:rPr>
          <w:rFonts w:hint="eastAsia" w:ascii="宋体" w:hAnsi="宋体" w:eastAsia="宋体" w:cs="黑体"/>
          <w:b/>
          <w:color w:val="auto"/>
          <w:kern w:val="0"/>
          <w:sz w:val="32"/>
          <w:szCs w:val="32"/>
          <w:lang w:val="en-US" w:eastAsia="zh-CN"/>
        </w:rPr>
        <w:t>3</w:t>
      </w:r>
      <w:r>
        <w:rPr>
          <w:rFonts w:hint="eastAsia" w:ascii="宋体" w:hAnsi="宋体" w:eastAsia="宋体" w:cs="黑体"/>
          <w:b/>
          <w:color w:val="auto"/>
          <w:kern w:val="0"/>
          <w:sz w:val="32"/>
          <w:szCs w:val="32"/>
        </w:rPr>
        <w:t>年度部门整体支出绩效评价报告</w:t>
      </w:r>
    </w:p>
    <w:p w14:paraId="2B99002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13AA71-596C-4ED8-8D98-EA6CED833C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1CAE4A4D-E7D7-4F06-B5A8-F02B06985144}"/>
  </w:font>
  <w:font w:name="仿宋_GB2312">
    <w:altName w:val="仿宋"/>
    <w:panose1 w:val="02010609030101010101"/>
    <w:charset w:val="86"/>
    <w:family w:val="modern"/>
    <w:pitch w:val="default"/>
    <w:sig w:usb0="00000000" w:usb1="00000000" w:usb2="00000000" w:usb3="00000000" w:csb0="00040000" w:csb1="00000000"/>
    <w:embedRegular r:id="rId3" w:fontKey="{B9F8BEA4-3735-4E09-A730-D59BA5BD477B}"/>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88C29C56-223E-4C36-B2DB-B7FCDACC6D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746470"/>
    <w:multiLevelType w:val="singleLevel"/>
    <w:tmpl w:val="37746470"/>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06683B"/>
    <w:rsid w:val="059958AD"/>
    <w:rsid w:val="06C857E7"/>
    <w:rsid w:val="078C2BEA"/>
    <w:rsid w:val="08C24A73"/>
    <w:rsid w:val="12583BA5"/>
    <w:rsid w:val="13BA5B9C"/>
    <w:rsid w:val="1D97DEFF"/>
    <w:rsid w:val="1DFF72E5"/>
    <w:rsid w:val="1EFC6F07"/>
    <w:rsid w:val="1F0527A6"/>
    <w:rsid w:val="22AC03C2"/>
    <w:rsid w:val="237262F1"/>
    <w:rsid w:val="25980182"/>
    <w:rsid w:val="2FDF85B8"/>
    <w:rsid w:val="2FFFEE04"/>
    <w:rsid w:val="31C95635"/>
    <w:rsid w:val="34DF85B0"/>
    <w:rsid w:val="35686569"/>
    <w:rsid w:val="3B8F36BC"/>
    <w:rsid w:val="491FF225"/>
    <w:rsid w:val="4FFD214C"/>
    <w:rsid w:val="5352765A"/>
    <w:rsid w:val="5777D4F5"/>
    <w:rsid w:val="59DD8326"/>
    <w:rsid w:val="5DEF592A"/>
    <w:rsid w:val="5E26186E"/>
    <w:rsid w:val="5FC6BB1E"/>
    <w:rsid w:val="5FF720F1"/>
    <w:rsid w:val="604C110A"/>
    <w:rsid w:val="67FF5C0B"/>
    <w:rsid w:val="68C22B07"/>
    <w:rsid w:val="6BAA4A2F"/>
    <w:rsid w:val="6E4A7A58"/>
    <w:rsid w:val="6EFC0924"/>
    <w:rsid w:val="6FB74722"/>
    <w:rsid w:val="6FEF8B7E"/>
    <w:rsid w:val="71A6591B"/>
    <w:rsid w:val="735A5D28"/>
    <w:rsid w:val="737D59BA"/>
    <w:rsid w:val="737F32B1"/>
    <w:rsid w:val="74713D12"/>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7922</Words>
  <Characters>8748</Characters>
  <Lines>63</Lines>
  <Paragraphs>18</Paragraphs>
  <TotalTime>14</TotalTime>
  <ScaleCrop>false</ScaleCrop>
  <LinksUpToDate>false</LinksUpToDate>
  <CharactersWithSpaces>8780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梁沁</cp:lastModifiedBy>
  <cp:lastPrinted>2024-08-08T10:20:00Z</cp:lastPrinted>
  <dcterms:modified xsi:type="dcterms:W3CDTF">2025-11-19T07:25:18Z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D575B9DCDACB4A8FB013A4D94A48CEB7</vt:lpwstr>
  </property>
  <property fmtid="{D5CDD505-2E9C-101B-9397-08002B2CF9AE}" pid="4" name="KSOTemplateDocerSaveRecord">
    <vt:lpwstr>eyJoZGlkIjoiNDVkNjQwYWVlYmFmYWUxYTk5NmEwOTQyZDUzMGRhODkiLCJ1c2VySWQiOiIxNjU3NDA5MTg5In0=</vt:lpwstr>
  </property>
</Properties>
</file>