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CF726">
      <w:pPr>
        <w:pStyle w:val="12"/>
        <w:jc w:val="center"/>
        <w:rPr>
          <w:sz w:val="56"/>
          <w:szCs w:val="56"/>
        </w:rPr>
      </w:pPr>
    </w:p>
    <w:p w14:paraId="4307DCE0">
      <w:pPr>
        <w:pStyle w:val="12"/>
        <w:jc w:val="center"/>
        <w:rPr>
          <w:sz w:val="56"/>
          <w:szCs w:val="56"/>
        </w:rPr>
      </w:pPr>
    </w:p>
    <w:p w14:paraId="705C7581">
      <w:pPr>
        <w:pStyle w:val="12"/>
        <w:jc w:val="center"/>
        <w:rPr>
          <w:sz w:val="84"/>
          <w:szCs w:val="84"/>
        </w:rPr>
      </w:pPr>
    </w:p>
    <w:p w14:paraId="3C728AE8">
      <w:pPr>
        <w:pStyle w:val="12"/>
        <w:jc w:val="center"/>
        <w:rPr>
          <w:sz w:val="84"/>
          <w:szCs w:val="84"/>
        </w:rPr>
      </w:pPr>
    </w:p>
    <w:p w14:paraId="1282CA15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 w14:paraId="0E9885F4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岳阳市儿童福利院</w:t>
      </w:r>
    </w:p>
    <w:p w14:paraId="662C8C63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单位决算</w:t>
      </w:r>
    </w:p>
    <w:p w14:paraId="0E74DE53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B78A3A1">
      <w:pPr>
        <w:pStyle w:val="12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 w14:paraId="6F2F0A2E">
      <w:pPr>
        <w:pStyle w:val="12"/>
        <w:jc w:val="center"/>
        <w:rPr>
          <w:sz w:val="56"/>
          <w:szCs w:val="56"/>
        </w:rPr>
      </w:pPr>
    </w:p>
    <w:p w14:paraId="664A1878">
      <w:pPr>
        <w:pStyle w:val="12"/>
        <w:jc w:val="center"/>
        <w:rPr>
          <w:sz w:val="56"/>
          <w:szCs w:val="56"/>
        </w:rPr>
      </w:pPr>
    </w:p>
    <w:p w14:paraId="21B442EB">
      <w:pPr>
        <w:pStyle w:val="12"/>
        <w:jc w:val="center"/>
        <w:rPr>
          <w:sz w:val="56"/>
          <w:szCs w:val="56"/>
        </w:rPr>
      </w:pPr>
    </w:p>
    <w:p w14:paraId="2D7DC460">
      <w:pPr>
        <w:pStyle w:val="12"/>
        <w:jc w:val="center"/>
        <w:rPr>
          <w:sz w:val="32"/>
          <w:szCs w:val="32"/>
        </w:rPr>
      </w:pPr>
    </w:p>
    <w:p w14:paraId="3CA62C3B">
      <w:pPr>
        <w:pStyle w:val="12"/>
        <w:jc w:val="center"/>
        <w:rPr>
          <w:sz w:val="32"/>
          <w:szCs w:val="32"/>
        </w:rPr>
      </w:pPr>
    </w:p>
    <w:p w14:paraId="23DD1624">
      <w:pPr>
        <w:pStyle w:val="12"/>
        <w:jc w:val="center"/>
        <w:rPr>
          <w:sz w:val="32"/>
          <w:szCs w:val="32"/>
        </w:rPr>
      </w:pPr>
    </w:p>
    <w:p w14:paraId="476CF8AF">
      <w:pPr>
        <w:pStyle w:val="12"/>
        <w:jc w:val="center"/>
        <w:rPr>
          <w:sz w:val="32"/>
          <w:szCs w:val="32"/>
        </w:rPr>
      </w:pPr>
    </w:p>
    <w:p w14:paraId="1F3AB31E">
      <w:pPr>
        <w:pStyle w:val="12"/>
        <w:jc w:val="center"/>
        <w:rPr>
          <w:sz w:val="32"/>
          <w:szCs w:val="32"/>
        </w:rPr>
      </w:pPr>
    </w:p>
    <w:p w14:paraId="09F23A2C">
      <w:pPr>
        <w:pStyle w:val="12"/>
        <w:spacing w:line="540" w:lineRule="exact"/>
        <w:jc w:val="center"/>
        <w:rPr>
          <w:sz w:val="56"/>
          <w:szCs w:val="56"/>
        </w:rPr>
      </w:pPr>
    </w:p>
    <w:p w14:paraId="7E101E4A">
      <w:pPr>
        <w:pStyle w:val="12"/>
        <w:spacing w:line="500" w:lineRule="exact"/>
        <w:jc w:val="both"/>
        <w:rPr>
          <w:b/>
          <w:sz w:val="36"/>
          <w:szCs w:val="28"/>
        </w:rPr>
      </w:pPr>
    </w:p>
    <w:p w14:paraId="711CAE3F">
      <w:pPr>
        <w:pStyle w:val="12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 w14:paraId="684E0E93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>岳阳市儿童福利院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概况</w:t>
      </w:r>
    </w:p>
    <w:p w14:paraId="2F3A8D73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 w14:paraId="0D37BCD9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</w:p>
    <w:p w14:paraId="48F7D8FA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 w14:paraId="2304A8D9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 w14:paraId="3C313594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 w14:paraId="322E3410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 w14:paraId="7A97B320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 w14:paraId="017E2661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 w14:paraId="01A2A4C2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 w14:paraId="214870F7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 w14:paraId="019A022A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 w14:paraId="2EFB9D32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 w14:paraId="61BC883C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 w14:paraId="563E5E18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 w14:paraId="68F7C0E9"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 w14:paraId="05804F62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 w14:paraId="55AB8885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14:paraId="78E5FC36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14:paraId="2652005E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14:paraId="26BB0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 w14:paraId="6FA3F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 w14:paraId="23013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 w14:paraId="30EB3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 w14:paraId="53A36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 w14:paraId="5F01C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 w14:paraId="594F1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 w14:paraId="4F62641C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绩效情况的说明</w:t>
      </w:r>
    </w:p>
    <w:p w14:paraId="5F67800B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 w14:paraId="0801A76E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 w14:paraId="0032DD4C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D1A5E49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42375EC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 w14:paraId="2111FD61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1549F51"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岳阳市儿童福利院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单位概况</w:t>
      </w:r>
    </w:p>
    <w:p w14:paraId="093565AF"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E4DAD64"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E78F7D6"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F5BE13C"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F045662">
      <w:pPr>
        <w:pStyle w:val="13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 w14:paraId="430CFE61">
      <w:pPr>
        <w:ind w:firstLine="800" w:firstLineChars="250"/>
        <w:jc w:val="left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我院主要负责岳阳市地区孤残儿童养、治、教、康及国内外儿童收养工作。</w:t>
      </w:r>
    </w:p>
    <w:p w14:paraId="73CF96CD"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 w14:paraId="76615678">
      <w:pPr>
        <w:widowControl/>
        <w:spacing w:line="600" w:lineRule="exact"/>
        <w:rPr>
          <w:rFonts w:hint="eastAsia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岳阳市儿童福利院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单位内设机构包括：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办公室、财务室、儿童部。</w:t>
      </w:r>
    </w:p>
    <w:p w14:paraId="18F6B60F">
      <w:pPr>
        <w:jc w:val="left"/>
        <w:rPr>
          <w:rFonts w:ascii="仿宋_GB2312" w:eastAsia="仿宋_GB2312" w:hAnsiTheme="minorEastAsia"/>
          <w:sz w:val="28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岳阳市儿童福利院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单位202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年部门决算汇总公开单位构成包括：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岳阳市儿童福利院，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不包含下属单位。</w:t>
      </w:r>
    </w:p>
    <w:p w14:paraId="5C346DB7"/>
    <w:p w14:paraId="512F4B33">
      <w:pPr>
        <w:pStyle w:val="2"/>
      </w:pPr>
    </w:p>
    <w:p w14:paraId="67903B3D">
      <w:pPr>
        <w:pStyle w:val="3"/>
      </w:pPr>
    </w:p>
    <w:p w14:paraId="7A858E03"/>
    <w:p w14:paraId="2FBC1B19">
      <w:pPr>
        <w:pStyle w:val="2"/>
      </w:pPr>
    </w:p>
    <w:p w14:paraId="7C2294DD">
      <w:pPr>
        <w:pStyle w:val="3"/>
      </w:pPr>
    </w:p>
    <w:p w14:paraId="79911D03"/>
    <w:p w14:paraId="05C1C6ED">
      <w:pPr>
        <w:pStyle w:val="2"/>
      </w:pPr>
    </w:p>
    <w:p w14:paraId="7C43EBC1">
      <w:pPr>
        <w:pStyle w:val="3"/>
      </w:pPr>
    </w:p>
    <w:p w14:paraId="268DD194"/>
    <w:p w14:paraId="37C06F5E">
      <w:pPr>
        <w:pStyle w:val="2"/>
      </w:pPr>
    </w:p>
    <w:p w14:paraId="53FD6430">
      <w:pPr>
        <w:pStyle w:val="3"/>
      </w:pPr>
    </w:p>
    <w:p w14:paraId="7C22E865"/>
    <w:p w14:paraId="32B162D0">
      <w:pPr>
        <w:pStyle w:val="2"/>
      </w:pPr>
    </w:p>
    <w:p w14:paraId="5B0CFFD9">
      <w:pPr>
        <w:pStyle w:val="3"/>
      </w:pPr>
    </w:p>
    <w:p w14:paraId="0448D2BA"/>
    <w:p w14:paraId="1E7AEE36">
      <w:pPr>
        <w:pStyle w:val="2"/>
      </w:pPr>
    </w:p>
    <w:p w14:paraId="31071283">
      <w:pPr>
        <w:pStyle w:val="3"/>
      </w:pPr>
    </w:p>
    <w:p w14:paraId="71FF92E2"/>
    <w:p w14:paraId="207AC862">
      <w:pPr>
        <w:pStyle w:val="2"/>
      </w:pPr>
    </w:p>
    <w:p w14:paraId="3BBAE482">
      <w:pPr>
        <w:pStyle w:val="3"/>
      </w:pPr>
    </w:p>
    <w:p w14:paraId="2FBF31C7"/>
    <w:p w14:paraId="257ACD44">
      <w:pPr>
        <w:pStyle w:val="2"/>
      </w:pPr>
    </w:p>
    <w:p w14:paraId="79D39395">
      <w:pPr>
        <w:pStyle w:val="3"/>
      </w:pPr>
    </w:p>
    <w:p w14:paraId="7C0FEC69"/>
    <w:p w14:paraId="2BEC2325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F17D7C5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0B806B4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 w14:paraId="60FDFCD5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BAB4431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 w14:paraId="1BE7F3E1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 w14:paraId="0147F410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443CE2A8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7F801789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4BBF44E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0484024D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F3B431D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3BC98D5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4E9D1652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889C372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4492B6F"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E666E7A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 w14:paraId="3F97DAC6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50AAF90B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 w14:paraId="01F63EF8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4EF259C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 w14:paraId="293C84B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734.66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3.5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一般公共预算财政拨款收入增加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28.04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万元，增长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4%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；政府性基金预算财政拨款收入减少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50.11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万元，减少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98%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；其他收入增加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49.17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万元，增加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580%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；年初结转和结余减少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2.08万元，减少100%.</w:t>
      </w:r>
    </w:p>
    <w:p w14:paraId="5215B49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 w14:paraId="5C5EDA4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734.66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677.01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92.15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57.65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7.85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02524DE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 w14:paraId="496D44D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734.66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196.56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26.76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538.1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73.24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084AD4F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 w14:paraId="6C1D13F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677.01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3.16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一般公共预算财政拨款收入增加28.04万元，增长4%；政府性基金预算财政拨款收入减少50.11万元，减少98%。</w:t>
      </w:r>
    </w:p>
    <w:p w14:paraId="3EE780F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 w14:paraId="2F3407B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 w14:paraId="093C76D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675.95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百分比92.01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28.04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基本支出中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社会保障和就业支出较上年减少25.35万元，减少13%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，基本支出中卫生健康支出较上年增加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3.78万元，增加74%；项目支出中社会保障和就业支出较上年增加38.19万元，增长9%；</w:t>
      </w:r>
    </w:p>
    <w:p w14:paraId="6241D24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 w14:paraId="71652E7D">
      <w:pPr>
        <w:pStyle w:val="12"/>
        <w:ind w:firstLine="640" w:firstLineChars="200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675.95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万元，主要用于以下方面：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社会保障和就业（类）支出655.63万元，占比应该为96.99%；卫生健康（类）支出8.9万元，占1.32%；增添一个住房保障（类）支出11.41万元，占1.69%</w:t>
      </w:r>
    </w:p>
    <w:p w14:paraId="7F69774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 w14:paraId="7863D3B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473.89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675.95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142.64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 w14:paraId="61F6CED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1、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行政事业单位养老支出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机关事业单位基本养老保险缴费支出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。</w:t>
      </w:r>
    </w:p>
    <w:p w14:paraId="62A2622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11.34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11.34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万元，完成年初预算的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%，决算数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等于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年初预算数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我单位严格按照预算执行。</w:t>
      </w:r>
    </w:p>
    <w:p w14:paraId="67DD703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2、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社会福利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儿童福利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（项）。</w:t>
      </w:r>
    </w:p>
    <w:p w14:paraId="39B010A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386.97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563.5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万元，完成年初预算的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145.62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%，决算数大于年初预算数的主要原因是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按规定使用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上年结转资金。</w:t>
      </w:r>
    </w:p>
    <w:p w14:paraId="3A2A275B"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残疾人事业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其他残疾人事业支出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（项）。</w:t>
      </w:r>
    </w:p>
    <w:p w14:paraId="275E669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万元，支出决算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金额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2.3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由于预算数为0，无法计算年初预算完成率百分比，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决算数大于年初预算数的主要原因是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其他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残疾人事业支出资金未纳入财政年初预算。</w:t>
      </w:r>
    </w:p>
    <w:p w14:paraId="32CB923F"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最低生活保障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城市最低生活保障金支出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（项）。</w:t>
      </w:r>
    </w:p>
    <w:p w14:paraId="51676FB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0000FF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73.12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由于预算数为0，无法计算年初预算完成率百分比，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决算数大于年初预算数的主要原因是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最低生活保障资金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未纳入财政年初预算。</w:t>
      </w:r>
    </w:p>
    <w:p w14:paraId="17A740CE"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卫生健康支出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行政事业单位医疗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事业单位医疗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（项）。</w:t>
      </w:r>
    </w:p>
    <w:p w14:paraId="30ED038B">
      <w:pPr>
        <w:widowControl w:val="0"/>
        <w:autoSpaceDE w:val="0"/>
        <w:autoSpaceDN w:val="0"/>
        <w:adjustRightInd w:val="0"/>
        <w:ind w:firstLine="800" w:firstLineChars="250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8.9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8.9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万元，完成年初预算的100%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于年初预算数的主要原因是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我单位严格按照预算执行。</w:t>
      </w:r>
    </w:p>
    <w:p w14:paraId="3217A961"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其他社会保障和就业支出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其他社会保障和就业支出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（项）。</w:t>
      </w:r>
    </w:p>
    <w:p w14:paraId="2DEA5CAF">
      <w:pPr>
        <w:widowControl w:val="0"/>
        <w:autoSpaceDE w:val="0"/>
        <w:autoSpaceDN w:val="0"/>
        <w:adjustRightInd w:val="0"/>
        <w:ind w:firstLine="800" w:firstLineChars="250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0.47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万元，决算数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大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于年初预算数的主要原因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是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其他社会保障和就业支出未纳入财政年初预算。</w:t>
      </w:r>
    </w:p>
    <w:p w14:paraId="4230BEDC"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住房保障支出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住房改革支出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 xml:space="preserve"> 住房公积金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（项）。</w:t>
      </w:r>
    </w:p>
    <w:p w14:paraId="7DCD9B0A">
      <w:pPr>
        <w:widowControl w:val="0"/>
        <w:autoSpaceDE w:val="0"/>
        <w:autoSpaceDN w:val="0"/>
        <w:adjustRightInd w:val="0"/>
        <w:ind w:firstLine="800" w:firstLineChars="250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11.41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11.41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万元，完成年初预算的100%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于年初预算数的主要原因是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我单位严格按照预算执行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。</w:t>
      </w:r>
    </w:p>
    <w:p w14:paraId="7D3047A7">
      <w:pPr>
        <w:pStyle w:val="2"/>
        <w:numPr>
          <w:ilvl w:val="0"/>
          <w:numId w:val="2"/>
        </w:numPr>
        <w:ind w:left="0" w:leftChars="0" w:firstLine="800" w:firstLineChars="250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社会保障和就业支出（类）残疾人事业（款）残疾人康复（项）</w:t>
      </w:r>
    </w:p>
    <w:p w14:paraId="4FC05669">
      <w:pPr>
        <w:widowControl w:val="0"/>
        <w:autoSpaceDE w:val="0"/>
        <w:autoSpaceDN w:val="0"/>
        <w:adjustRightInd w:val="0"/>
        <w:ind w:firstLine="525" w:firstLineChars="250"/>
        <w:rPr>
          <w:rFonts w:hint="default" w:ascii="Times New Roman" w:hAnsi="Times New Roman" w:eastAsia="仿宋_GB2312"/>
          <w:color w:val="0000FF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4.9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4.9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万元，完成年初预算的100%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于年初预算数的主要原因是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我单位严格按照预算执行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。</w:t>
      </w:r>
    </w:p>
    <w:p w14:paraId="2BFE61F9">
      <w:pPr>
        <w:pStyle w:val="2"/>
        <w:rPr>
          <w:rFonts w:hint="default"/>
          <w:lang w:val="en-US"/>
        </w:rPr>
      </w:pPr>
    </w:p>
    <w:p w14:paraId="3FF2F5F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 w14:paraId="755E386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196.37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元，其中：</w:t>
      </w:r>
    </w:p>
    <w:p w14:paraId="3DA470C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176.1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89.68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%,主要包括</w:t>
      </w:r>
      <w:r>
        <w:rPr>
          <w:rFonts w:hint="eastAsia" w:ascii="Times New Roman" w:hAnsi="Times New Roman" w:eastAsia="仿宋_GB2312"/>
          <w:sz w:val="32"/>
          <w:szCs w:val="32"/>
        </w:rPr>
        <w:t>主要包括基本工资、津贴补贴、奖金、伙食补助费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、绩效工资、机关事业单位基本养老保险缴费、职工基本医疗保险缴费、其他社会保障缴费、住房公积金、医疗费、退休费、医疗费补助。</w:t>
      </w:r>
    </w:p>
    <w:p w14:paraId="787F365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10.32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</w:rPr>
        <w:t>主要包括办公费、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水费、电费、邮电费、差旅费、工会经费、公务用车运行维护费、其他交通费用、其他商品和服务支出</w:t>
      </w:r>
    </w:p>
    <w:p w14:paraId="2D599BE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 w14:paraId="3BCBBE5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年度政府性基金预算财政拨款收入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万元；年初结转和结余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万元；年末结转和结余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万元。具体情况如下：</w:t>
      </w:r>
    </w:p>
    <w:p w14:paraId="22879D7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1、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其他支出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彩票公益金安排的支出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用于社会福利的彩票公益金支出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（项）。</w:t>
      </w:r>
    </w:p>
    <w:p w14:paraId="2CDF78C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年初预算为0万元，支出决算为1.07万元，由于预算数为0，无法计算百分比，决算数大于年初预算数的主要原因是：2023年彩票公益金安排未纳入财政年初预算。</w:t>
      </w:r>
    </w:p>
    <w:p w14:paraId="3CD85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 w14:paraId="7B54CD2D">
      <w:pPr>
        <w:pStyle w:val="2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 xml:space="preserve"> 2023年度国有资本经营预算财政拨款收入0万元；年初结转和结余0万；支出0万元，其中：基本支出0万元，项目支出0万元；年末结转和结余0万元。</w:t>
      </w:r>
    </w:p>
    <w:p w14:paraId="77ACC08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 w14:paraId="3331BB1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 w14:paraId="7057D61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“三公”经费财政拨款支出预算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应该</w:t>
      </w: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万元，相应的完成预算的百分比也应该为100%。其中：</w:t>
      </w:r>
    </w:p>
    <w:p w14:paraId="1B4A0EB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由于预算数为0，无法计算百分比，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于预算数，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主要原因是预算执行落实到位；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上年度无因公出国（境）费用支出预算无决算，本年与上年度持平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主要原因是均无因公出国（境）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7E245E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公务接待费支出预算为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由于预算数为0，无法计算百分比，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于预算数，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主要原因是预算执行落实到位；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上年度无公务接待费支出预算无决算，本年与上年度持平，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主要原因是均无公务接待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7EECDB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公务用车购置费支出预算为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由于预算数为0，无法计算百分比，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于预算数，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主要原因是预算执行落实到位；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上年度无公务用车购置费支出预算无决算，本年与上年度持平，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主要原因是均无公务用车购置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C11404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公务用车运行维护费支出预算为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1.08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1.08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万元，完成预算的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于预算数的主要原因是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认真贯彻落实中央“八项规定”精神和厉行节约要求，从严控制“三公”经费开支。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与上年相比减少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1.96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64.47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%,减少（增长）的主要原因是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严格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控制公务用车使用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。</w:t>
      </w:r>
    </w:p>
    <w:p w14:paraId="73C9719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 w14:paraId="103B90B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年度“三公”经费财政拨款支出决算中，公务接待费支出决算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%,因公出国（境）费支出决算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%,公务用车购置费及运行维护费支出决算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%。其中：</w:t>
      </w:r>
    </w:p>
    <w:p w14:paraId="3C2021D3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万元，全年安排因公出国（境）团组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个，累计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</w:t>
      </w:r>
      <w:r>
        <w:rPr>
          <w:rFonts w:hint="eastAsia" w:ascii="仿宋_GB2312" w:hAnsi="仿宋_GB2312" w:eastAsia="仿宋_GB2312" w:cs="仿宋_GB2312"/>
          <w:b/>
          <w:bCs/>
          <w:i/>
          <w:color w:val="auto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无相关开支内容。</w:t>
      </w:r>
    </w:p>
    <w:p w14:paraId="1C102D9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2、公务接待费支出决算为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万元，全年共接待来访团组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个、来宾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无相关接待支出内容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122E89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3、公务用车购置费及运行维护费支出决算为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万元，其中：公务用车购置费0万元，当年没有购置公务用车。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</w:rPr>
        <w:t>主要是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按规定保留的公务用车的燃料费、维修费、过桥过路费、保险费等支出。</w:t>
      </w:r>
      <w:r>
        <w:rPr>
          <w:rFonts w:hint="eastAsia" w:ascii="Times New Roman" w:hAnsi="Times New Roman" w:eastAsia="仿宋_GB2312"/>
          <w:sz w:val="32"/>
          <w:szCs w:val="32"/>
        </w:rPr>
        <w:t>截止202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年12月31日，我单位开支财政拨款的公务用车保有量为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6CFA8B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 w14:paraId="47433BAD">
      <w:pPr>
        <w:pStyle w:val="12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本级和所属单位均为事业单位，按照机关运行经费的口径，本年度机关运行经费为0</w:t>
      </w:r>
      <w:r>
        <w:rPr>
          <w:rFonts w:hint="eastAsia" w:ascii="楷体" w:hAnsi="楷体" w:eastAsia="楷体" w:cs="楷体"/>
          <w:sz w:val="32"/>
          <w:szCs w:val="32"/>
        </w:rPr>
        <w:t>。</w:t>
      </w:r>
    </w:p>
    <w:p w14:paraId="4912ECA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 w14:paraId="3A87DCBF">
      <w:pPr>
        <w:pStyle w:val="12"/>
        <w:ind w:firstLine="640" w:firstLineChars="200"/>
        <w:rPr>
          <w:rFonts w:hint="eastAsia" w:ascii="楷体" w:hAnsi="楷体" w:eastAsia="楷体" w:cs="楷体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2022年度，本单位无会议费的预算和支出决算数；本单位无培训费的预算和支出决算数；本单位无举办节庆、晚会、论坛、赛事等活动的预算和支出决算数。</w:t>
      </w:r>
    </w:p>
    <w:p w14:paraId="01CAB50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 w14:paraId="3F44D29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424.61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152.55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92.59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179.47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万元。授予中小企业合同金额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424.61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万元，占政府采购支出总额的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%，其中：授予小微企业合同金额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424.61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%。货物采购授予中小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企业合同金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额占货物支出金额的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%，工程采购授予中小企业合同金额占工程支出金额的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%，服务采购授予中小企业合同金额占服务支出金额的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</w:t>
      </w:r>
    </w:p>
    <w:p w14:paraId="3EBA09F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 w14:paraId="01B3029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部门（单位）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共有车辆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套。</w:t>
      </w:r>
    </w:p>
    <w:p w14:paraId="1428855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绩效情况的说明</w:t>
      </w:r>
    </w:p>
    <w:p w14:paraId="620609E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18B32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根据预算绩效管理要求，我们组织对2023年度整体支出和项目资金实施了全覆盖性的绩效评价，撰写了绩效自评报告。</w:t>
      </w:r>
    </w:p>
    <w:p w14:paraId="10D86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开展整体支出绩效评价，涉及一般公共预算支出675.95万元，政府性基金预算支出1.06万元，国有资本经营预算支出0万元。从评价情况来看，整体支出绩效评价中，2023年整体支出675.95万元，其中：基本支出196.56万元，项目支出538.09万元，本单位整体支出绩效自评综合评分96分，评价结果等次为优。</w:t>
      </w:r>
      <w:bookmarkStart w:id="0" w:name="_GoBack"/>
      <w:bookmarkEnd w:id="0"/>
    </w:p>
    <w:p w14:paraId="625AE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对一般公共预算项目支出全面开展绩效自评，项目3个，共涉及资金180.5万元，占一般公共预算项目支出总额的37.64%。组织对政府性基金预算项目支出开展绩效自评，项目0个，共涉及资金0万元，无法计算占政府性基金预算项目支出总额的比重。组织对国有资本经营预算项目支出开展绩效自评，项目0个，共涉及资金0万元，无法计算占国有资本经营预算项目支出总额的比重。从评价情况来看，项目绩效自评得分97分，评价结果等次为优秀。</w:t>
      </w:r>
    </w:p>
    <w:p w14:paraId="1BB3379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16D35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根据年初设定的绩效目标，绩效自评得分为100 分。全年预算数为734.65万元，执行数为734.65万元，完成预算的100%。绩效目标完成情况：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是完善收养登记工作，全面提升儿童带养水平；二是科学开展医疗康复工作，创建特色康教品牌；三是完善儿童医保体系，联合定点医院开辟绿色就医通道；四是提升特教和心理康复服务建设；五是积极开展社会工作，建立定点合作机制；六是建立常规传染病防控机制，引进智能化检测和消杀设备；七是实施阳光采购，开展全流程线上云平台采购；八是充分利用政采云平台，阳光采购；九是丰富儿童业务活动，一年外出活动不少于2次，院内大型活动不少于2次。</w:t>
      </w:r>
    </w:p>
    <w:p w14:paraId="5E9920D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57C2048B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发现的主要问题及原因：固定资产管理有待加强。部分固定资产未及时进行报废清理。下一步改进措施：一是加强学习。建议除了组织财务人员，分管领导和相关部门工作人员也要开展绩效工作培训，加强绩效与预算联动管理意识；二是严格财务审核，按照预算规定的项目进行财务核算，在预算金额内严格控制费用开支；三是制定适用本单位的固定资产管理制度，包括涉及到从前遗留的资产问题，从资产采购、使用以及报废各环节规范固定资产的管理，提高固定资产使用效率，减少资金浪费。预算绩效管理开展情况、绩效目标和绩效评价报告等，已在市政府部门财政预决算公开平台上向社会公开，详见附件。</w:t>
      </w:r>
    </w:p>
    <w:p w14:paraId="4924DD46">
      <w:pPr>
        <w:pStyle w:val="12"/>
        <w:jc w:val="both"/>
        <w:rPr>
          <w:sz w:val="72"/>
          <w:szCs w:val="72"/>
        </w:rPr>
      </w:pPr>
    </w:p>
    <w:p w14:paraId="3BCC3C5A">
      <w:pPr>
        <w:pStyle w:val="12"/>
        <w:jc w:val="center"/>
        <w:rPr>
          <w:sz w:val="72"/>
          <w:szCs w:val="72"/>
        </w:rPr>
      </w:pPr>
    </w:p>
    <w:p w14:paraId="0C2A3957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192D8487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7F23938F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78AD172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DFCB7BD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 w14:paraId="5596E32E"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 w14:paraId="4918D0ED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 w14:paraId="7748C576">
      <w:pPr>
        <w:pStyle w:val="2"/>
      </w:pPr>
    </w:p>
    <w:p w14:paraId="0DAED681">
      <w:pPr>
        <w:pStyle w:val="3"/>
      </w:pPr>
    </w:p>
    <w:p w14:paraId="1AD13730"/>
    <w:p w14:paraId="389BFE6D">
      <w:pPr>
        <w:pStyle w:val="2"/>
      </w:pPr>
    </w:p>
    <w:p w14:paraId="5ABABF56">
      <w:pPr>
        <w:pStyle w:val="3"/>
      </w:pPr>
    </w:p>
    <w:p w14:paraId="17B3FE8D"/>
    <w:p w14:paraId="3BA0EF8E">
      <w:pPr>
        <w:pStyle w:val="2"/>
      </w:pPr>
    </w:p>
    <w:p w14:paraId="14CC3618">
      <w:pPr>
        <w:pStyle w:val="3"/>
      </w:pPr>
    </w:p>
    <w:p w14:paraId="489064AA"/>
    <w:p w14:paraId="0EB5AB07">
      <w:pPr>
        <w:pStyle w:val="2"/>
      </w:pPr>
    </w:p>
    <w:p w14:paraId="1FFED98F">
      <w:pPr>
        <w:pStyle w:val="3"/>
      </w:pPr>
    </w:p>
    <w:p w14:paraId="3EAD87AC"/>
    <w:p w14:paraId="557DC742">
      <w:pPr>
        <w:pStyle w:val="2"/>
      </w:pPr>
    </w:p>
    <w:p w14:paraId="6284E072">
      <w:pPr>
        <w:pStyle w:val="3"/>
      </w:pPr>
    </w:p>
    <w:p w14:paraId="3839830A"/>
    <w:p w14:paraId="5745E752">
      <w:pPr>
        <w:pStyle w:val="2"/>
      </w:pPr>
    </w:p>
    <w:p w14:paraId="65D3D857">
      <w:pPr>
        <w:pStyle w:val="3"/>
      </w:pPr>
    </w:p>
    <w:p w14:paraId="4B4CE16A"/>
    <w:p w14:paraId="3B653187">
      <w:pPr>
        <w:pStyle w:val="2"/>
      </w:pPr>
    </w:p>
    <w:p w14:paraId="15604DA6">
      <w:pPr>
        <w:pStyle w:val="3"/>
      </w:pPr>
    </w:p>
    <w:p w14:paraId="6A464968"/>
    <w:p w14:paraId="521CB427">
      <w:pPr>
        <w:pStyle w:val="2"/>
      </w:pPr>
    </w:p>
    <w:p w14:paraId="2C2D9650">
      <w:pPr>
        <w:pStyle w:val="3"/>
      </w:pPr>
    </w:p>
    <w:p w14:paraId="211F2D11"/>
    <w:p w14:paraId="4FFBBA75">
      <w:pPr>
        <w:pStyle w:val="2"/>
      </w:pPr>
    </w:p>
    <w:p w14:paraId="5273C7CC">
      <w:pPr>
        <w:pStyle w:val="3"/>
      </w:pPr>
    </w:p>
    <w:p w14:paraId="3901E042"/>
    <w:p w14:paraId="0CF372B9">
      <w:pPr>
        <w:pStyle w:val="2"/>
      </w:pPr>
    </w:p>
    <w:p w14:paraId="1B727431">
      <w:pPr>
        <w:pStyle w:val="3"/>
      </w:pPr>
    </w:p>
    <w:p w14:paraId="23D3FB1B"/>
    <w:p w14:paraId="5329C848">
      <w:pPr>
        <w:pStyle w:val="2"/>
      </w:pPr>
    </w:p>
    <w:p w14:paraId="220E9183">
      <w:pPr>
        <w:pStyle w:val="3"/>
      </w:pPr>
    </w:p>
    <w:p w14:paraId="329D128C">
      <w:pPr>
        <w:pStyle w:val="3"/>
      </w:pPr>
    </w:p>
    <w:p w14:paraId="3D352A89"/>
    <w:p w14:paraId="3B0DD201">
      <w:pPr>
        <w:pStyle w:val="2"/>
      </w:pPr>
    </w:p>
    <w:p w14:paraId="0A820C53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57342642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 w14:paraId="37E17777">
      <w:pPr>
        <w:pStyle w:val="12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C26D8EE">
      <w:pPr>
        <w:pStyle w:val="3"/>
      </w:pPr>
    </w:p>
    <w:p w14:paraId="44D5210D"/>
    <w:p w14:paraId="2A062F19">
      <w:pPr>
        <w:pStyle w:val="2"/>
      </w:pPr>
    </w:p>
    <w:p w14:paraId="7190A8A5">
      <w:pPr>
        <w:pStyle w:val="3"/>
      </w:pPr>
    </w:p>
    <w:p w14:paraId="6CBADE21"/>
    <w:p w14:paraId="6493B1D3">
      <w:pPr>
        <w:pStyle w:val="2"/>
      </w:pPr>
    </w:p>
    <w:p w14:paraId="12A2A550">
      <w:pPr>
        <w:pStyle w:val="3"/>
      </w:pPr>
    </w:p>
    <w:p w14:paraId="3A42C107"/>
    <w:p w14:paraId="02DA2BC3">
      <w:pPr>
        <w:pStyle w:val="2"/>
      </w:pPr>
    </w:p>
    <w:p w14:paraId="1A0EED63">
      <w:pPr>
        <w:pStyle w:val="3"/>
      </w:pPr>
    </w:p>
    <w:p w14:paraId="755D7CD5"/>
    <w:p w14:paraId="20497D32">
      <w:pPr>
        <w:pStyle w:val="2"/>
      </w:pPr>
    </w:p>
    <w:p w14:paraId="7D8BF3B3">
      <w:pPr>
        <w:pStyle w:val="3"/>
      </w:pPr>
    </w:p>
    <w:p w14:paraId="78B1D09E"/>
    <w:p w14:paraId="47DCDDD6">
      <w:pPr>
        <w:pStyle w:val="2"/>
      </w:pPr>
    </w:p>
    <w:p w14:paraId="67DE8411">
      <w:pPr>
        <w:pStyle w:val="3"/>
      </w:pPr>
    </w:p>
    <w:p w14:paraId="0D37408D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 w14:paraId="0DD684F9">
      <w:pPr>
        <w:pStyle w:val="12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275B628F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 w14:paraId="4C59A3A9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 w14:paraId="3AA9C14D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1、2023年部门决算公开表格</w:t>
      </w:r>
    </w:p>
    <w:p w14:paraId="3BA24000"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 w14:paraId="705465A0"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7B7AD23-26A2-4493-ACC9-F396F0DE7F4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5E22B5FE-8A1E-4692-97FB-E4D9382B5B4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BCAE7DA8-7C95-43DE-96A0-5BD2F6B581B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C318BAC-4602-4876-8DE9-EC6B84DA907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A37041"/>
    <w:multiLevelType w:val="singleLevel"/>
    <w:tmpl w:val="A9A37041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oNotDisplayPageBoundaries w:val="1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52742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40E7907"/>
    <w:rsid w:val="04B638C9"/>
    <w:rsid w:val="059958AD"/>
    <w:rsid w:val="06A470DD"/>
    <w:rsid w:val="0BE8478B"/>
    <w:rsid w:val="0CDA1805"/>
    <w:rsid w:val="0EB9058A"/>
    <w:rsid w:val="10A220B7"/>
    <w:rsid w:val="12583BA5"/>
    <w:rsid w:val="1282120A"/>
    <w:rsid w:val="12D470F0"/>
    <w:rsid w:val="13BA5B9C"/>
    <w:rsid w:val="13E855B5"/>
    <w:rsid w:val="16242208"/>
    <w:rsid w:val="17EB1F38"/>
    <w:rsid w:val="181C2A9C"/>
    <w:rsid w:val="182F3686"/>
    <w:rsid w:val="19185320"/>
    <w:rsid w:val="19831C24"/>
    <w:rsid w:val="19BC54FE"/>
    <w:rsid w:val="1ACA2024"/>
    <w:rsid w:val="1C1D7741"/>
    <w:rsid w:val="1CF42E6E"/>
    <w:rsid w:val="1D97DEFF"/>
    <w:rsid w:val="1DFF72E5"/>
    <w:rsid w:val="1E2774CA"/>
    <w:rsid w:val="1EDB6610"/>
    <w:rsid w:val="1EFC6F07"/>
    <w:rsid w:val="22A43A28"/>
    <w:rsid w:val="22AC03C2"/>
    <w:rsid w:val="29E21E79"/>
    <w:rsid w:val="2CFA7447"/>
    <w:rsid w:val="2DF126AA"/>
    <w:rsid w:val="2E5C5B8A"/>
    <w:rsid w:val="2EE04C57"/>
    <w:rsid w:val="2FDF85B8"/>
    <w:rsid w:val="2FFB02D5"/>
    <w:rsid w:val="2FFFEE04"/>
    <w:rsid w:val="307146AB"/>
    <w:rsid w:val="31C95635"/>
    <w:rsid w:val="331C0B79"/>
    <w:rsid w:val="34DF85B0"/>
    <w:rsid w:val="3559772B"/>
    <w:rsid w:val="36E43C19"/>
    <w:rsid w:val="3B8F36BC"/>
    <w:rsid w:val="3D980C71"/>
    <w:rsid w:val="3E8179C0"/>
    <w:rsid w:val="3EDC2C5B"/>
    <w:rsid w:val="3F65400E"/>
    <w:rsid w:val="40904741"/>
    <w:rsid w:val="4337101A"/>
    <w:rsid w:val="438A3197"/>
    <w:rsid w:val="478F1620"/>
    <w:rsid w:val="47B327EC"/>
    <w:rsid w:val="491FF225"/>
    <w:rsid w:val="4A4851A0"/>
    <w:rsid w:val="4A4A7064"/>
    <w:rsid w:val="4C862B00"/>
    <w:rsid w:val="4E036B32"/>
    <w:rsid w:val="4FFD214C"/>
    <w:rsid w:val="52385E3C"/>
    <w:rsid w:val="5352765A"/>
    <w:rsid w:val="54E76C7D"/>
    <w:rsid w:val="55387AD7"/>
    <w:rsid w:val="55E02539"/>
    <w:rsid w:val="576C5C80"/>
    <w:rsid w:val="5777D4F5"/>
    <w:rsid w:val="5875188F"/>
    <w:rsid w:val="59DD8326"/>
    <w:rsid w:val="5C7F2624"/>
    <w:rsid w:val="5DEF592A"/>
    <w:rsid w:val="5DF30FC9"/>
    <w:rsid w:val="5E194A6C"/>
    <w:rsid w:val="5FC6BB1E"/>
    <w:rsid w:val="5FF720F1"/>
    <w:rsid w:val="641A55BD"/>
    <w:rsid w:val="650B0753"/>
    <w:rsid w:val="65FB68AF"/>
    <w:rsid w:val="67857B63"/>
    <w:rsid w:val="67FF5C0B"/>
    <w:rsid w:val="69577E61"/>
    <w:rsid w:val="6BAA4A2F"/>
    <w:rsid w:val="6BC2492D"/>
    <w:rsid w:val="6CC21578"/>
    <w:rsid w:val="6EFC0924"/>
    <w:rsid w:val="6FB74722"/>
    <w:rsid w:val="6FEF8B7E"/>
    <w:rsid w:val="71A6591B"/>
    <w:rsid w:val="728D0A61"/>
    <w:rsid w:val="737D59BA"/>
    <w:rsid w:val="737F32B1"/>
    <w:rsid w:val="7529740C"/>
    <w:rsid w:val="76431932"/>
    <w:rsid w:val="77C37683"/>
    <w:rsid w:val="79FF515B"/>
    <w:rsid w:val="7AF3196E"/>
    <w:rsid w:val="7B2E4327"/>
    <w:rsid w:val="7C5C38D1"/>
    <w:rsid w:val="7DC963A0"/>
    <w:rsid w:val="7E9E1962"/>
    <w:rsid w:val="7E9F11B4"/>
    <w:rsid w:val="7F37EC1E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C3B4DA5A"/>
    <w:rsid w:val="CBFF70E0"/>
    <w:rsid w:val="CFF50B82"/>
    <w:rsid w:val="CFFFAD89"/>
    <w:rsid w:val="DFFE359E"/>
    <w:rsid w:val="DFFE4FFD"/>
    <w:rsid w:val="EEABED75"/>
    <w:rsid w:val="F56FDF51"/>
    <w:rsid w:val="F6B69F17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6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16</Pages>
  <Words>5233</Words>
  <Characters>5740</Characters>
  <Lines>63</Lines>
  <Paragraphs>18</Paragraphs>
  <TotalTime>0</TotalTime>
  <ScaleCrop>false</ScaleCrop>
  <LinksUpToDate>false</LinksUpToDate>
  <CharactersWithSpaces>5768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李航 null</dc:creator>
  <cp:lastModifiedBy>苏格拉没有底</cp:lastModifiedBy>
  <cp:lastPrinted>2024-08-08T10:20:00Z</cp:lastPrinted>
  <dcterms:modified xsi:type="dcterms:W3CDTF">2025-10-14T06:03:18Z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54C6D43C245E413B8F9043EAA20F9E8C</vt:lpwstr>
  </property>
  <property fmtid="{D5CDD505-2E9C-101B-9397-08002B2CF9AE}" pid="4" name="KSOTemplateDocerSaveRecord">
    <vt:lpwstr>eyJoZGlkIjoiMGQ1NjA0ZGExZjgwZmE0N2M0MmNlMzM3OTE1NTNkZDgiLCJ1c2VySWQiOiIzNjczMTIzNTAifQ==</vt:lpwstr>
  </property>
</Properties>
</file>