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20B5E">
      <w:pPr>
        <w:pStyle w:val="13"/>
        <w:jc w:val="center"/>
        <w:rPr>
          <w:sz w:val="56"/>
          <w:szCs w:val="56"/>
        </w:rPr>
      </w:pPr>
    </w:p>
    <w:p w14:paraId="670BDF13">
      <w:pPr>
        <w:pStyle w:val="13"/>
        <w:jc w:val="center"/>
        <w:rPr>
          <w:sz w:val="56"/>
          <w:szCs w:val="56"/>
        </w:rPr>
      </w:pPr>
    </w:p>
    <w:p w14:paraId="23CA1D62">
      <w:pPr>
        <w:pStyle w:val="13"/>
        <w:jc w:val="center"/>
        <w:rPr>
          <w:sz w:val="84"/>
          <w:szCs w:val="84"/>
        </w:rPr>
      </w:pPr>
    </w:p>
    <w:p w14:paraId="2689F86C">
      <w:pPr>
        <w:pStyle w:val="13"/>
        <w:jc w:val="center"/>
        <w:rPr>
          <w:sz w:val="84"/>
          <w:szCs w:val="84"/>
        </w:rPr>
      </w:pPr>
    </w:p>
    <w:p w14:paraId="6A1A6E5E">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2023年度</w:t>
      </w:r>
    </w:p>
    <w:p w14:paraId="7DE8669E">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岳阳市康复医院部门决算</w:t>
      </w:r>
    </w:p>
    <w:p w14:paraId="1C191604">
      <w:pPr>
        <w:pStyle w:val="13"/>
        <w:jc w:val="center"/>
        <w:rPr>
          <w:rFonts w:ascii="方正小标宋_GBK" w:hAnsi="方正小标宋_GBK" w:eastAsia="方正小标宋_GBK" w:cs="方正小标宋_GBK"/>
          <w:sz w:val="56"/>
          <w:szCs w:val="56"/>
        </w:rPr>
      </w:pPr>
    </w:p>
    <w:p w14:paraId="0E37BBE9">
      <w:pPr>
        <w:pStyle w:val="13"/>
        <w:jc w:val="center"/>
        <w:rPr>
          <w:sz w:val="56"/>
          <w:szCs w:val="56"/>
        </w:rPr>
      </w:pPr>
    </w:p>
    <w:p w14:paraId="3BC2931A">
      <w:pPr>
        <w:pStyle w:val="13"/>
        <w:jc w:val="center"/>
        <w:rPr>
          <w:sz w:val="56"/>
          <w:szCs w:val="56"/>
        </w:rPr>
      </w:pPr>
    </w:p>
    <w:p w14:paraId="4BC4F11A">
      <w:pPr>
        <w:pStyle w:val="13"/>
        <w:jc w:val="center"/>
        <w:rPr>
          <w:sz w:val="56"/>
          <w:szCs w:val="56"/>
        </w:rPr>
      </w:pPr>
    </w:p>
    <w:p w14:paraId="57B89572">
      <w:pPr>
        <w:pStyle w:val="13"/>
        <w:jc w:val="center"/>
        <w:rPr>
          <w:sz w:val="32"/>
          <w:szCs w:val="32"/>
        </w:rPr>
      </w:pPr>
    </w:p>
    <w:p w14:paraId="317B1E4C">
      <w:pPr>
        <w:pStyle w:val="13"/>
        <w:jc w:val="center"/>
        <w:rPr>
          <w:sz w:val="32"/>
          <w:szCs w:val="32"/>
        </w:rPr>
      </w:pPr>
    </w:p>
    <w:p w14:paraId="0DDB81E4">
      <w:pPr>
        <w:pStyle w:val="13"/>
        <w:jc w:val="center"/>
        <w:rPr>
          <w:sz w:val="32"/>
          <w:szCs w:val="32"/>
        </w:rPr>
      </w:pPr>
    </w:p>
    <w:p w14:paraId="7D4BE7F7">
      <w:pPr>
        <w:pStyle w:val="13"/>
        <w:jc w:val="center"/>
        <w:rPr>
          <w:sz w:val="32"/>
          <w:szCs w:val="32"/>
        </w:rPr>
      </w:pPr>
    </w:p>
    <w:p w14:paraId="646385DB">
      <w:pPr>
        <w:pStyle w:val="13"/>
        <w:jc w:val="center"/>
        <w:rPr>
          <w:sz w:val="32"/>
          <w:szCs w:val="32"/>
        </w:rPr>
      </w:pPr>
    </w:p>
    <w:p w14:paraId="5EA34AB3">
      <w:pPr>
        <w:pStyle w:val="13"/>
        <w:spacing w:line="540" w:lineRule="exact"/>
        <w:jc w:val="center"/>
        <w:rPr>
          <w:sz w:val="56"/>
          <w:szCs w:val="56"/>
        </w:rPr>
      </w:pPr>
    </w:p>
    <w:p w14:paraId="11817A64">
      <w:pPr>
        <w:pStyle w:val="13"/>
        <w:spacing w:line="500" w:lineRule="exact"/>
        <w:jc w:val="both"/>
        <w:rPr>
          <w:b/>
          <w:sz w:val="36"/>
          <w:szCs w:val="28"/>
        </w:rPr>
      </w:pPr>
    </w:p>
    <w:p w14:paraId="4CEB06E2">
      <w:pPr>
        <w:pStyle w:val="13"/>
        <w:spacing w:line="500" w:lineRule="exact"/>
        <w:jc w:val="center"/>
        <w:rPr>
          <w:b/>
          <w:sz w:val="36"/>
          <w:szCs w:val="28"/>
        </w:rPr>
      </w:pPr>
      <w:r>
        <w:rPr>
          <w:rFonts w:hint="eastAsia"/>
          <w:b/>
          <w:sz w:val="36"/>
          <w:szCs w:val="28"/>
        </w:rPr>
        <w:t>目录</w:t>
      </w:r>
    </w:p>
    <w:p w14:paraId="1681B00C">
      <w:pPr>
        <w:pStyle w:val="13"/>
        <w:spacing w:line="500" w:lineRule="exact"/>
        <w:rPr>
          <w:rFonts w:hAnsi="黑体"/>
          <w:bCs/>
          <w:sz w:val="28"/>
          <w:szCs w:val="28"/>
        </w:rPr>
      </w:pPr>
      <w:r>
        <w:rPr>
          <w:rFonts w:hint="eastAsia" w:hAnsi="黑体"/>
          <w:bCs/>
          <w:sz w:val="28"/>
          <w:szCs w:val="28"/>
        </w:rPr>
        <w:t>第一部分 岳阳市康复医院概况</w:t>
      </w:r>
    </w:p>
    <w:p w14:paraId="5995D2BA">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56C916AF">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498EC6D9">
      <w:pPr>
        <w:pStyle w:val="13"/>
        <w:spacing w:line="500" w:lineRule="exact"/>
        <w:rPr>
          <w:rFonts w:hAnsi="黑体"/>
          <w:bCs/>
          <w:sz w:val="28"/>
          <w:szCs w:val="28"/>
        </w:rPr>
      </w:pPr>
      <w:r>
        <w:rPr>
          <w:rFonts w:hint="eastAsia" w:hAnsi="黑体"/>
          <w:bCs/>
          <w:sz w:val="28"/>
          <w:szCs w:val="28"/>
        </w:rPr>
        <w:t>第二部分 部门决算表</w:t>
      </w:r>
    </w:p>
    <w:p w14:paraId="7C358F23">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6AC4C6B">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54C4A3C">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9DEA93A">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7FB250F">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F492045">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72FDD66">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66B5440">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070FB445">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01D35D7">
      <w:pPr>
        <w:pStyle w:val="13"/>
        <w:spacing w:line="500" w:lineRule="exact"/>
        <w:rPr>
          <w:rFonts w:hAnsi="黑体"/>
          <w:bCs/>
          <w:sz w:val="28"/>
          <w:szCs w:val="28"/>
        </w:rPr>
      </w:pPr>
      <w:r>
        <w:rPr>
          <w:rFonts w:hint="eastAsia" w:hAnsi="黑体"/>
          <w:bCs/>
          <w:sz w:val="28"/>
          <w:szCs w:val="28"/>
        </w:rPr>
        <w:t>第三部分 部门决算情况说明</w:t>
      </w:r>
    </w:p>
    <w:p w14:paraId="13DE73BA">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0BAB127">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DA51803">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965FBE4">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23F670C">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BCD87B3">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2B8F58C1">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2DD68F35">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国有资本经营预算财政拨款支出决算情况</w:t>
      </w:r>
    </w:p>
    <w:p w14:paraId="7EB17647">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九、财政拨款三公经费支出决算情况说明</w:t>
      </w:r>
    </w:p>
    <w:p w14:paraId="268F3505">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60B4C003">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7831E52">
      <w:pPr>
        <w:autoSpaceDE w:val="0"/>
        <w:autoSpaceDN w:val="0"/>
        <w:adjustRightInd w:val="0"/>
        <w:spacing w:line="48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46FEBDEF">
      <w:pPr>
        <w:autoSpaceDE w:val="0"/>
        <w:autoSpaceDN w:val="0"/>
        <w:adjustRightInd w:val="0"/>
        <w:spacing w:line="480" w:lineRule="exact"/>
        <w:ind w:firstLine="700" w:firstLineChars="25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十三、关于国有资产占用情况说明</w:t>
      </w:r>
    </w:p>
    <w:p w14:paraId="005A1503">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十四、关于</w:t>
      </w:r>
      <w:r>
        <w:rPr>
          <w:rFonts w:ascii="Times New Roman" w:hAnsi="Times New Roman" w:eastAsia="仿宋_GB2312" w:cs="Times New Roman"/>
          <w:sz w:val="28"/>
          <w:szCs w:val="28"/>
        </w:rPr>
        <w:t>2023</w:t>
      </w:r>
      <w:r>
        <w:rPr>
          <w:rFonts w:hint="eastAsia" w:ascii="仿宋_GB2312" w:hAnsi="仿宋_GB2312" w:eastAsia="仿宋_GB2312" w:cs="仿宋_GB2312"/>
          <w:sz w:val="28"/>
          <w:szCs w:val="28"/>
        </w:rPr>
        <w:t>年度预算绩效情况的说明</w:t>
      </w:r>
    </w:p>
    <w:p w14:paraId="7E09082B">
      <w:pPr>
        <w:pStyle w:val="13"/>
        <w:spacing w:line="500" w:lineRule="exact"/>
        <w:rPr>
          <w:rFonts w:hAnsi="黑体"/>
          <w:bCs/>
          <w:sz w:val="28"/>
          <w:szCs w:val="28"/>
        </w:rPr>
      </w:pPr>
      <w:r>
        <w:rPr>
          <w:rFonts w:hint="eastAsia" w:hAnsi="黑体"/>
          <w:bCs/>
          <w:sz w:val="28"/>
          <w:szCs w:val="28"/>
        </w:rPr>
        <w:t>第四部分 名词解释</w:t>
      </w:r>
    </w:p>
    <w:p w14:paraId="730B2C90">
      <w:pPr>
        <w:pStyle w:val="13"/>
        <w:spacing w:line="500" w:lineRule="exact"/>
        <w:rPr>
          <w:rFonts w:hAnsi="黑体"/>
          <w:bCs/>
          <w:sz w:val="28"/>
          <w:szCs w:val="28"/>
        </w:rPr>
      </w:pPr>
      <w:r>
        <w:rPr>
          <w:rFonts w:hint="eastAsia" w:hAnsi="黑体"/>
          <w:bCs/>
          <w:sz w:val="28"/>
          <w:szCs w:val="28"/>
        </w:rPr>
        <w:t>第五部分 附件</w:t>
      </w:r>
    </w:p>
    <w:p w14:paraId="6AD300EB">
      <w:pPr>
        <w:pStyle w:val="13"/>
        <w:jc w:val="center"/>
        <w:rPr>
          <w:rFonts w:ascii="方正小标宋_GBK" w:hAnsi="方正小标宋_GBK" w:eastAsia="方正小标宋_GBK" w:cs="方正小标宋_GBK"/>
          <w:sz w:val="84"/>
          <w:szCs w:val="84"/>
        </w:rPr>
      </w:pPr>
    </w:p>
    <w:p w14:paraId="5E3238E7">
      <w:pPr>
        <w:pStyle w:val="13"/>
        <w:jc w:val="center"/>
        <w:rPr>
          <w:rFonts w:ascii="方正小标宋_GBK" w:hAnsi="方正小标宋_GBK" w:eastAsia="方正小标宋_GBK" w:cs="方正小标宋_GBK"/>
          <w:sz w:val="84"/>
          <w:szCs w:val="84"/>
        </w:rPr>
      </w:pPr>
    </w:p>
    <w:p w14:paraId="0303FD70">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2696480">
      <w:pPr>
        <w:pStyle w:val="13"/>
        <w:jc w:val="center"/>
        <w:rPr>
          <w:rFonts w:ascii="方正小标宋_GBK" w:hAnsi="方正小标宋_GBK" w:eastAsia="方正小标宋_GBK" w:cs="方正小标宋_GBK"/>
          <w:sz w:val="84"/>
          <w:szCs w:val="84"/>
        </w:rPr>
      </w:pPr>
    </w:p>
    <w:p w14:paraId="25DF75AD">
      <w:pPr>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岳阳市康复医院概况</w:t>
      </w:r>
    </w:p>
    <w:p w14:paraId="65EC20D2">
      <w:pPr>
        <w:pStyle w:val="2"/>
        <w:rPr>
          <w:rFonts w:ascii="方正小标宋_GBK" w:hAnsi="方正小标宋_GBK" w:eastAsia="方正小标宋_GBK" w:cs="方正小标宋_GBK"/>
          <w:sz w:val="84"/>
          <w:szCs w:val="84"/>
        </w:rPr>
      </w:pPr>
    </w:p>
    <w:p w14:paraId="731FAFAB">
      <w:pPr>
        <w:pStyle w:val="3"/>
        <w:ind w:firstLine="1680"/>
        <w:rPr>
          <w:rFonts w:ascii="方正小标宋_GBK" w:hAnsi="方正小标宋_GBK" w:eastAsia="方正小标宋_GBK" w:cs="方正小标宋_GBK"/>
          <w:sz w:val="84"/>
          <w:szCs w:val="84"/>
        </w:rPr>
      </w:pPr>
    </w:p>
    <w:p w14:paraId="62167460">
      <w:pPr>
        <w:rPr>
          <w:rFonts w:ascii="方正小标宋_GBK" w:hAnsi="方正小标宋_GBK" w:eastAsia="方正小标宋_GBK" w:cs="方正小标宋_GBK"/>
          <w:sz w:val="84"/>
          <w:szCs w:val="84"/>
        </w:rPr>
      </w:pPr>
    </w:p>
    <w:p w14:paraId="72BF60AC">
      <w:pPr>
        <w:pStyle w:val="2"/>
        <w:rPr>
          <w:rFonts w:ascii="方正小标宋_GBK" w:hAnsi="方正小标宋_GBK" w:eastAsia="方正小标宋_GBK" w:cs="方正小标宋_GBK"/>
          <w:sz w:val="84"/>
          <w:szCs w:val="84"/>
        </w:rPr>
      </w:pPr>
    </w:p>
    <w:p w14:paraId="7D48892D">
      <w:pPr>
        <w:pStyle w:val="3"/>
        <w:ind w:firstLine="1680"/>
        <w:rPr>
          <w:rFonts w:ascii="方正小标宋_GBK" w:hAnsi="方正小标宋_GBK" w:eastAsia="方正小标宋_GBK" w:cs="方正小标宋_GBK"/>
          <w:sz w:val="84"/>
          <w:szCs w:val="84"/>
        </w:rPr>
      </w:pPr>
    </w:p>
    <w:p w14:paraId="474F50B6">
      <w:pPr>
        <w:pStyle w:val="14"/>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14:paraId="7D8A8B84">
      <w:pPr>
        <w:spacing w:before="95" w:line="396" w:lineRule="auto"/>
        <w:ind w:left="14" w:leftChars="7" w:right="11" w:firstLine="640" w:firstLineChars="200"/>
        <w:rPr>
          <w:rFonts w:ascii="宋体" w:hAnsi="宋体" w:eastAsia="宋体" w:cs="仿宋"/>
          <w:snapToGrid w:val="0"/>
          <w:color w:val="000000"/>
          <w:kern w:val="0"/>
          <w:sz w:val="24"/>
          <w:szCs w:val="24"/>
        </w:rPr>
      </w:pPr>
      <w:r>
        <w:rPr>
          <w:rFonts w:hint="eastAsia" w:ascii="Times New Roman" w:hAnsi="Times New Roman" w:eastAsia="仿宋_GB2312" w:cs="仿宋_GB2312"/>
          <w:sz w:val="32"/>
          <w:szCs w:val="32"/>
        </w:rPr>
        <w:t>（一）</w:t>
      </w:r>
      <w:bookmarkStart w:id="0" w:name="DY_BGJYSM"/>
      <w:r>
        <w:rPr>
          <w:rFonts w:hint="eastAsia" w:ascii="仿宋" w:hAnsi="仿宋" w:eastAsia="仿宋" w:cs="仿宋"/>
          <w:snapToGrid w:val="0"/>
          <w:color w:val="000000"/>
          <w:spacing w:val="9"/>
          <w:kern w:val="0"/>
          <w:sz w:val="29"/>
          <w:szCs w:val="29"/>
        </w:rPr>
        <w:t>岳阳市康复医院位于岳阳市康岳花园福颐路 48 号，占地 43 亩，集医疗、教学、科研于一体，是湖南省第二人民医院和中南大学湘雅二医院临床医疗协作医院，精神科系省级重点专科建设项目。医院成立于 1984 年，原名“岳阳地区精神病医院”，1988 年更名为“岳阳市康复医院”， 2004 年后相继加挂“岳阳市社会福利医院”、“岳阳市复退军人精神病医院”、“岳阳市复退军人慢性病疗养院”﹑“岳阳市优抚医院”、“岳阳市精神卫生中心”等牌子。医院承担着全市的精神疾病预防与诊疗，心理咨询与治疗、心理测量，优抚对象医疗巡诊、短期疗养、健康体检、伤残鉴定，精神病人司法、劳动、残疾、工伤鉴定，老年人医疗呵护，吸毒病人美沙酮维持治疗，流浪精神病人救治，肇事肇祸精神病人强制医疗等社会职能</w:t>
      </w:r>
      <w:bookmarkEnd w:id="0"/>
      <w:r>
        <w:rPr>
          <w:rFonts w:hint="eastAsia" w:ascii="仿宋" w:hAnsi="仿宋" w:eastAsia="仿宋" w:cs="仿宋"/>
          <w:snapToGrid w:val="0"/>
          <w:color w:val="000000"/>
          <w:spacing w:val="9"/>
          <w:kern w:val="0"/>
          <w:sz w:val="29"/>
          <w:szCs w:val="29"/>
        </w:rPr>
        <w:t>。</w:t>
      </w:r>
    </w:p>
    <w:p w14:paraId="0AA28827">
      <w:pPr>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w:t>
      </w:r>
      <w:r>
        <w:rPr>
          <w:rFonts w:hint="eastAsia" w:ascii="仿宋" w:hAnsi="仿宋" w:eastAsia="仿宋" w:cs="仿宋"/>
          <w:snapToGrid w:val="0"/>
          <w:color w:val="000000"/>
          <w:spacing w:val="9"/>
          <w:kern w:val="0"/>
          <w:sz w:val="29"/>
          <w:szCs w:val="29"/>
        </w:rPr>
        <w:t>医院系副处级全额拨款事业单位，行政上隶属市民政局管理，业务上接受市卫健委和市退役军人事务局的指导与监督，是岳阳市重要民生服务窗口单位。</w:t>
      </w:r>
    </w:p>
    <w:p w14:paraId="3846D2EF">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14:paraId="284AD73D">
      <w:pPr>
        <w:ind w:firstLine="640" w:firstLineChars="200"/>
        <w:jc w:val="left"/>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p>
    <w:p w14:paraId="0348D52D">
      <w:pPr>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bCs/>
          <w:kern w:val="0"/>
          <w:sz w:val="32"/>
          <w:szCs w:val="32"/>
        </w:rPr>
        <w:t>岳阳市康复医院内设机构包括：</w:t>
      </w:r>
      <w:r>
        <w:rPr>
          <w:rFonts w:hint="eastAsia" w:ascii="仿宋" w:hAnsi="仿宋" w:eastAsia="仿宋" w:cs="仿宋"/>
          <w:snapToGrid w:val="0"/>
          <w:color w:val="000000"/>
          <w:spacing w:val="9"/>
          <w:kern w:val="0"/>
          <w:sz w:val="29"/>
          <w:szCs w:val="29"/>
        </w:rPr>
        <w:t>办公室、人事科、财务科、医务科、护理部、后勤科、医保科、药剂科、信息科、院感科、科教科、质控科、设备科、安保科。医院现有干部职工 397人，在编人数15</w:t>
      </w:r>
      <w:r>
        <w:rPr>
          <w:rFonts w:ascii="仿宋" w:hAnsi="仿宋" w:eastAsia="仿宋" w:cs="仿宋"/>
          <w:snapToGrid w:val="0"/>
          <w:color w:val="000000"/>
          <w:spacing w:val="9"/>
          <w:kern w:val="0"/>
          <w:sz w:val="29"/>
          <w:szCs w:val="29"/>
        </w:rPr>
        <w:t>1</w:t>
      </w:r>
      <w:r>
        <w:rPr>
          <w:rFonts w:hint="eastAsia" w:ascii="仿宋" w:hAnsi="仿宋" w:eastAsia="仿宋" w:cs="仿宋"/>
          <w:snapToGrid w:val="0"/>
          <w:color w:val="000000"/>
          <w:spacing w:val="9"/>
          <w:kern w:val="0"/>
          <w:sz w:val="29"/>
          <w:szCs w:val="29"/>
        </w:rPr>
        <w:t>人，劳务派遣人员178人，退休职工69人，其中精神科首席专家、岳阳名医 1 人，精神、心理专业学术带头人 13 人，硕士研究生 2 人， 高级职称 27 人，中级职称 100 多人。编制床位 768 张，开放床位 900 张，年诊疗患者 6 万多人次。</w:t>
      </w:r>
    </w:p>
    <w:p w14:paraId="0AB638AB">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p>
    <w:p w14:paraId="04E0615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岳阳市康复医院</w:t>
      </w:r>
      <w:r>
        <w:rPr>
          <w:rFonts w:hint="eastAsia" w:ascii="仿宋_GB2312" w:hAnsi="仿宋_GB2312" w:eastAsia="仿宋_GB2312" w:cs="仿宋_GB2312"/>
          <w:sz w:val="32"/>
          <w:szCs w:val="32"/>
          <w:lang w:val="zh-CN"/>
        </w:rPr>
        <w:t>202</w:t>
      </w:r>
      <w:r>
        <w:rPr>
          <w:rFonts w:ascii="仿宋_GB2312" w:hAnsi="仿宋_GB2312" w:eastAsia="仿宋_GB2312" w:cs="仿宋_GB2312"/>
          <w:sz w:val="32"/>
          <w:szCs w:val="32"/>
        </w:rPr>
        <w:t>3</w:t>
      </w:r>
      <w:r>
        <w:rPr>
          <w:rFonts w:hint="eastAsia" w:ascii="仿宋_GB2312" w:hAnsi="仿宋_GB2312" w:eastAsia="仿宋_GB2312" w:cs="仿宋_GB2312"/>
          <w:sz w:val="32"/>
          <w:szCs w:val="32"/>
          <w:lang w:val="zh-CN"/>
        </w:rPr>
        <w:t>年部门决算汇总公开单位构成：</w:t>
      </w:r>
    </w:p>
    <w:p w14:paraId="174573D8">
      <w:pPr>
        <w:widowControl/>
        <w:spacing w:line="600" w:lineRule="exact"/>
        <w:ind w:firstLine="640" w:firstLineChars="200"/>
        <w:rPr>
          <w:rFonts w:ascii="宋体" w:hAnsi="宋体"/>
          <w:bCs/>
          <w:i/>
          <w:iCs/>
          <w:kern w:val="0"/>
          <w:sz w:val="32"/>
          <w:szCs w:val="32"/>
        </w:rPr>
      </w:pPr>
      <w:r>
        <w:rPr>
          <w:rFonts w:hint="eastAsia" w:ascii="仿宋_GB2312" w:hAnsi="仿宋_GB2312" w:eastAsia="仿宋_GB2312" w:cs="仿宋_GB2312"/>
          <w:sz w:val="32"/>
          <w:szCs w:val="32"/>
        </w:rPr>
        <w:t>岳阳市康复医院是隶属于岳阳市民政局的二级机构，</w:t>
      </w:r>
      <w:r>
        <w:rPr>
          <w:rFonts w:hint="eastAsia" w:ascii="仿宋_GB2312" w:hAnsi="仿宋_GB2312" w:eastAsia="仿宋_GB2312" w:cs="仿宋_GB2312"/>
          <w:kern w:val="0"/>
          <w:sz w:val="32"/>
          <w:szCs w:val="32"/>
          <w:lang w:val="zh-CN" w:bidi="ar"/>
        </w:rPr>
        <w:t>本单位无独立核算的下属单位，</w:t>
      </w:r>
      <w:r>
        <w:rPr>
          <w:rFonts w:hint="eastAsia" w:ascii="仿宋_GB2312" w:hAnsi="仿宋_GB2312" w:eastAsia="仿宋_GB2312" w:cs="仿宋_GB2312"/>
          <w:kern w:val="0"/>
          <w:sz w:val="32"/>
          <w:szCs w:val="32"/>
          <w:lang w:bidi="ar"/>
        </w:rPr>
        <w:t>202</w:t>
      </w:r>
      <w:r>
        <w:rPr>
          <w:rFonts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bidi="ar"/>
        </w:rPr>
        <w:t>年度部门决算汇总公开单位仅包括岳阳市康复医院本级</w:t>
      </w:r>
      <w:r>
        <w:rPr>
          <w:rFonts w:hint="eastAsia" w:ascii="仿宋_GB2312" w:hAnsi="仿宋_GB2312" w:eastAsia="仿宋_GB2312" w:cs="仿宋_GB2312"/>
          <w:kern w:val="0"/>
          <w:sz w:val="32"/>
          <w:szCs w:val="32"/>
          <w:lang w:val="zh-CN" w:bidi="ar"/>
        </w:rPr>
        <w:t>。</w:t>
      </w:r>
    </w:p>
    <w:p w14:paraId="6F59DB2D"/>
    <w:p w14:paraId="3AB07ED6">
      <w:pPr>
        <w:pStyle w:val="2"/>
      </w:pPr>
    </w:p>
    <w:p w14:paraId="367D03EC">
      <w:pPr>
        <w:pStyle w:val="3"/>
        <w:ind w:firstLine="480"/>
      </w:pPr>
    </w:p>
    <w:p w14:paraId="302F1D86"/>
    <w:p w14:paraId="7C8CFEA5">
      <w:pPr>
        <w:pStyle w:val="2"/>
      </w:pPr>
    </w:p>
    <w:p w14:paraId="5E38D5BD">
      <w:pPr>
        <w:pStyle w:val="3"/>
        <w:ind w:firstLine="480"/>
      </w:pPr>
    </w:p>
    <w:p w14:paraId="79F36A19"/>
    <w:p w14:paraId="66E9B9A3">
      <w:pPr>
        <w:pStyle w:val="2"/>
      </w:pPr>
    </w:p>
    <w:p w14:paraId="7A372651">
      <w:pPr>
        <w:pStyle w:val="3"/>
        <w:ind w:firstLine="480"/>
      </w:pPr>
    </w:p>
    <w:p w14:paraId="28F22804"/>
    <w:p w14:paraId="01F1CF17">
      <w:pPr>
        <w:pStyle w:val="2"/>
      </w:pPr>
    </w:p>
    <w:p w14:paraId="50A753E6">
      <w:pPr>
        <w:pStyle w:val="3"/>
        <w:ind w:firstLine="480"/>
      </w:pPr>
    </w:p>
    <w:p w14:paraId="0AD8F877"/>
    <w:p w14:paraId="65C442F6">
      <w:pPr>
        <w:pStyle w:val="2"/>
      </w:pPr>
    </w:p>
    <w:p w14:paraId="24BEEB14">
      <w:pPr>
        <w:pStyle w:val="3"/>
        <w:ind w:firstLine="480"/>
      </w:pPr>
    </w:p>
    <w:p w14:paraId="18062FCF"/>
    <w:p w14:paraId="5D94EEB6">
      <w:pPr>
        <w:pStyle w:val="2"/>
      </w:pPr>
    </w:p>
    <w:p w14:paraId="5D6A5AE4">
      <w:pPr>
        <w:pStyle w:val="3"/>
        <w:ind w:firstLine="480"/>
      </w:pPr>
    </w:p>
    <w:p w14:paraId="73B38485"/>
    <w:p w14:paraId="2B25079E">
      <w:pPr>
        <w:pStyle w:val="2"/>
      </w:pPr>
    </w:p>
    <w:p w14:paraId="78E4215C">
      <w:pPr>
        <w:pStyle w:val="3"/>
        <w:ind w:firstLine="480"/>
      </w:pPr>
    </w:p>
    <w:p w14:paraId="6082A5BB"/>
    <w:p w14:paraId="3E6C447D">
      <w:pPr>
        <w:pStyle w:val="2"/>
      </w:pPr>
    </w:p>
    <w:p w14:paraId="305E4746">
      <w:pPr>
        <w:pStyle w:val="3"/>
        <w:ind w:firstLine="480"/>
      </w:pPr>
    </w:p>
    <w:p w14:paraId="6615D55E"/>
    <w:p w14:paraId="6D3455A8">
      <w:pPr>
        <w:pStyle w:val="13"/>
        <w:jc w:val="center"/>
        <w:rPr>
          <w:rFonts w:ascii="方正小标宋_GBK" w:hAnsi="方正小标宋_GBK" w:eastAsia="方正小标宋_GBK" w:cs="方正小标宋_GBK"/>
          <w:sz w:val="84"/>
          <w:szCs w:val="84"/>
        </w:rPr>
      </w:pPr>
    </w:p>
    <w:p w14:paraId="636784D2">
      <w:pPr>
        <w:pStyle w:val="13"/>
        <w:jc w:val="center"/>
        <w:rPr>
          <w:rFonts w:ascii="方正小标宋_GBK" w:hAnsi="方正小标宋_GBK" w:eastAsia="方正小标宋_GBK" w:cs="方正小标宋_GBK"/>
          <w:sz w:val="84"/>
          <w:szCs w:val="84"/>
        </w:rPr>
      </w:pPr>
    </w:p>
    <w:p w14:paraId="477B52C5">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FD8BD3C">
      <w:pPr>
        <w:pStyle w:val="13"/>
        <w:jc w:val="center"/>
        <w:rPr>
          <w:rFonts w:ascii="方正小标宋_GBK" w:hAnsi="方正小标宋_GBK" w:eastAsia="方正小标宋_GBK" w:cs="方正小标宋_GBK"/>
          <w:sz w:val="84"/>
          <w:szCs w:val="84"/>
        </w:rPr>
      </w:pPr>
    </w:p>
    <w:p w14:paraId="5680F2F4">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47E99916">
      <w:pPr>
        <w:pStyle w:val="13"/>
        <w:jc w:val="center"/>
        <w:rPr>
          <w:rFonts w:ascii="仿宋_GB2312" w:hAnsi="仿宋_GB2312" w:eastAsia="仿宋_GB2312" w:cs="仿宋_GB2312"/>
          <w:sz w:val="72"/>
          <w:szCs w:val="72"/>
        </w:rPr>
      </w:pPr>
      <w:r>
        <w:rPr>
          <w:rFonts w:hint="eastAsia" w:ascii="仿宋_GB2312" w:hAnsi="仿宋_GB2312" w:eastAsia="仿宋_GB2312" w:cs="仿宋_GB2312"/>
          <w:sz w:val="72"/>
          <w:szCs w:val="72"/>
        </w:rPr>
        <w:t>（见附件）</w:t>
      </w:r>
    </w:p>
    <w:p w14:paraId="745D2DCC">
      <w:pPr>
        <w:pStyle w:val="13"/>
        <w:jc w:val="center"/>
        <w:rPr>
          <w:rFonts w:ascii="仿宋_GB2312" w:hAnsi="仿宋_GB2312" w:eastAsia="仿宋_GB2312" w:cs="仿宋_GB2312"/>
          <w:sz w:val="72"/>
          <w:szCs w:val="72"/>
        </w:rPr>
      </w:pPr>
    </w:p>
    <w:p w14:paraId="59378B93">
      <w:pPr>
        <w:pStyle w:val="13"/>
        <w:jc w:val="center"/>
        <w:rPr>
          <w:rFonts w:ascii="仿宋_GB2312" w:hAnsi="仿宋_GB2312" w:eastAsia="仿宋_GB2312" w:cs="仿宋_GB2312"/>
          <w:sz w:val="72"/>
          <w:szCs w:val="72"/>
        </w:rPr>
      </w:pPr>
    </w:p>
    <w:p w14:paraId="06BFBCD9">
      <w:pPr>
        <w:pStyle w:val="13"/>
        <w:jc w:val="center"/>
        <w:rPr>
          <w:rFonts w:ascii="仿宋_GB2312" w:hAnsi="仿宋_GB2312" w:eastAsia="仿宋_GB2312" w:cs="仿宋_GB2312"/>
          <w:sz w:val="72"/>
          <w:szCs w:val="72"/>
        </w:rPr>
      </w:pPr>
    </w:p>
    <w:p w14:paraId="330D269D">
      <w:pPr>
        <w:pStyle w:val="13"/>
        <w:jc w:val="center"/>
        <w:rPr>
          <w:rFonts w:ascii="仿宋_GB2312" w:hAnsi="仿宋_GB2312" w:eastAsia="仿宋_GB2312" w:cs="仿宋_GB2312"/>
          <w:sz w:val="72"/>
          <w:szCs w:val="72"/>
        </w:rPr>
      </w:pPr>
    </w:p>
    <w:p w14:paraId="223CA76F">
      <w:pPr>
        <w:pStyle w:val="13"/>
        <w:jc w:val="center"/>
        <w:rPr>
          <w:rFonts w:ascii="仿宋_GB2312" w:hAnsi="仿宋_GB2312" w:eastAsia="仿宋_GB2312" w:cs="仿宋_GB2312"/>
          <w:sz w:val="72"/>
          <w:szCs w:val="72"/>
        </w:rPr>
      </w:pPr>
    </w:p>
    <w:p w14:paraId="32EF35DD">
      <w:pPr>
        <w:pStyle w:val="13"/>
        <w:jc w:val="center"/>
        <w:rPr>
          <w:rFonts w:ascii="仿宋_GB2312" w:hAnsi="仿宋_GB2312" w:eastAsia="仿宋_GB2312" w:cs="仿宋_GB2312"/>
          <w:sz w:val="72"/>
          <w:szCs w:val="72"/>
        </w:rPr>
      </w:pPr>
    </w:p>
    <w:p w14:paraId="004461DB">
      <w:pPr>
        <w:pStyle w:val="13"/>
        <w:jc w:val="center"/>
        <w:rPr>
          <w:rFonts w:ascii="仿宋_GB2312" w:hAnsi="仿宋_GB2312" w:eastAsia="仿宋_GB2312" w:cs="仿宋_GB2312"/>
          <w:sz w:val="72"/>
          <w:szCs w:val="72"/>
        </w:rPr>
      </w:pPr>
    </w:p>
    <w:p w14:paraId="276D1177">
      <w:pPr>
        <w:pStyle w:val="13"/>
        <w:jc w:val="center"/>
        <w:rPr>
          <w:rFonts w:ascii="方正小标宋_GBK" w:hAnsi="方正小标宋_GBK" w:eastAsia="方正小标宋_GBK" w:cs="方正小标宋_GBK"/>
          <w:sz w:val="72"/>
          <w:szCs w:val="72"/>
        </w:rPr>
      </w:pPr>
    </w:p>
    <w:p w14:paraId="658FA788">
      <w:pPr>
        <w:pStyle w:val="13"/>
        <w:jc w:val="center"/>
        <w:rPr>
          <w:rFonts w:ascii="方正小标宋_GBK" w:hAnsi="方正小标宋_GBK" w:eastAsia="方正小标宋_GBK" w:cs="方正小标宋_GBK"/>
          <w:sz w:val="72"/>
          <w:szCs w:val="72"/>
        </w:rPr>
      </w:pPr>
    </w:p>
    <w:p w14:paraId="11FBDABA">
      <w:pPr>
        <w:pStyle w:val="13"/>
        <w:jc w:val="both"/>
        <w:rPr>
          <w:rFonts w:ascii="方正小标宋_GBK" w:hAnsi="方正小标宋_GBK" w:eastAsia="方正小标宋_GBK" w:cs="方正小标宋_GBK"/>
          <w:sz w:val="72"/>
          <w:szCs w:val="72"/>
        </w:rPr>
      </w:pPr>
    </w:p>
    <w:p w14:paraId="61DFCA12">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42136475">
      <w:pPr>
        <w:pStyle w:val="13"/>
        <w:jc w:val="center"/>
        <w:rPr>
          <w:rFonts w:ascii="方正小标宋_GBK" w:hAnsi="方正小标宋_GBK" w:eastAsia="方正小标宋_GBK" w:cs="方正小标宋_GBK"/>
          <w:sz w:val="70"/>
          <w:szCs w:val="70"/>
        </w:rPr>
      </w:pPr>
    </w:p>
    <w:p w14:paraId="066254EF">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2023年度部门决算情况说明</w:t>
      </w:r>
    </w:p>
    <w:p w14:paraId="0203980C">
      <w:pPr>
        <w:pStyle w:val="13"/>
        <w:jc w:val="center"/>
        <w:rPr>
          <w:rFonts w:ascii="方正小标宋_GBK" w:hAnsi="方正小标宋_GBK" w:eastAsia="方正小标宋_GBK" w:cs="方正小标宋_GBK"/>
          <w:sz w:val="70"/>
          <w:szCs w:val="70"/>
        </w:rPr>
      </w:pPr>
    </w:p>
    <w:p w14:paraId="33E0C1B4">
      <w:pPr>
        <w:pStyle w:val="13"/>
        <w:jc w:val="center"/>
        <w:rPr>
          <w:rFonts w:ascii="方正小标宋_GBK" w:hAnsi="方正小标宋_GBK" w:eastAsia="方正小标宋_GBK" w:cs="方正小标宋_GBK"/>
          <w:sz w:val="70"/>
          <w:szCs w:val="70"/>
        </w:rPr>
      </w:pPr>
    </w:p>
    <w:p w14:paraId="2C8668E1">
      <w:pPr>
        <w:pStyle w:val="13"/>
        <w:jc w:val="center"/>
        <w:rPr>
          <w:rFonts w:ascii="方正小标宋_GBK" w:hAnsi="方正小标宋_GBK" w:eastAsia="方正小标宋_GBK" w:cs="方正小标宋_GBK"/>
          <w:sz w:val="70"/>
          <w:szCs w:val="70"/>
        </w:rPr>
      </w:pPr>
    </w:p>
    <w:p w14:paraId="0A036008">
      <w:pPr>
        <w:pStyle w:val="13"/>
        <w:jc w:val="center"/>
        <w:rPr>
          <w:rFonts w:ascii="方正小标宋_GBK" w:hAnsi="方正小标宋_GBK" w:eastAsia="方正小标宋_GBK" w:cs="方正小标宋_GBK"/>
          <w:sz w:val="70"/>
          <w:szCs w:val="70"/>
        </w:rPr>
      </w:pPr>
    </w:p>
    <w:p w14:paraId="1CD5A329">
      <w:pPr>
        <w:pStyle w:val="13"/>
        <w:jc w:val="center"/>
        <w:rPr>
          <w:rFonts w:ascii="方正小标宋_GBK" w:hAnsi="方正小标宋_GBK" w:eastAsia="方正小标宋_GBK" w:cs="方正小标宋_GBK"/>
          <w:sz w:val="70"/>
          <w:szCs w:val="70"/>
        </w:rPr>
      </w:pPr>
    </w:p>
    <w:p w14:paraId="2FC31DCA">
      <w:pPr>
        <w:pStyle w:val="13"/>
        <w:jc w:val="center"/>
        <w:rPr>
          <w:rFonts w:ascii="方正小标宋_GBK" w:hAnsi="方正小标宋_GBK" w:eastAsia="方正小标宋_GBK" w:cs="方正小标宋_GBK"/>
          <w:sz w:val="70"/>
          <w:szCs w:val="70"/>
        </w:rPr>
      </w:pPr>
    </w:p>
    <w:p w14:paraId="5C295671">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XX%”。）</w:t>
      </w:r>
    </w:p>
    <w:p w14:paraId="1A808C14">
      <w:pPr>
        <w:pStyle w:val="13"/>
        <w:spacing w:line="600" w:lineRule="exact"/>
        <w:ind w:firstLine="640" w:firstLineChars="200"/>
        <w:rPr>
          <w:rFonts w:hAnsi="黑体"/>
          <w:bCs/>
          <w:sz w:val="32"/>
          <w:szCs w:val="32"/>
        </w:rPr>
      </w:pPr>
      <w:r>
        <w:rPr>
          <w:rFonts w:hint="eastAsia" w:hAnsi="黑体"/>
          <w:bCs/>
          <w:sz w:val="32"/>
          <w:szCs w:val="32"/>
        </w:rPr>
        <w:t>一、收入支出决算总体情况说明</w:t>
      </w:r>
    </w:p>
    <w:p w14:paraId="5F37E788">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2023年度收、支总计</w:t>
      </w:r>
      <w:r>
        <w:rPr>
          <w:rFonts w:ascii="仿宋_GB2312" w:hAnsi="仿宋_GB2312" w:eastAsia="仿宋_GB2312" w:cs="仿宋_GB2312"/>
          <w:sz w:val="32"/>
          <w:szCs w:val="32"/>
        </w:rPr>
        <w:t>8488.76</w:t>
      </w:r>
      <w:r>
        <w:rPr>
          <w:rFonts w:hint="eastAsia" w:ascii="仿宋_GB2312" w:hAnsi="仿宋_GB2312" w:eastAsia="仿宋_GB2312" w:cs="仿宋_GB2312"/>
          <w:sz w:val="32"/>
          <w:szCs w:val="32"/>
        </w:rPr>
        <w:t>万元。与上年相比，增加1</w:t>
      </w:r>
      <w:r>
        <w:rPr>
          <w:rFonts w:ascii="仿宋_GB2312" w:hAnsi="仿宋_GB2312" w:eastAsia="仿宋_GB2312" w:cs="仿宋_GB2312"/>
          <w:sz w:val="32"/>
          <w:szCs w:val="32"/>
        </w:rPr>
        <w:t>533.15</w:t>
      </w:r>
      <w:r>
        <w:rPr>
          <w:rFonts w:hint="eastAsia" w:ascii="仿宋_GB2312" w:hAnsi="仿宋_GB2312" w:eastAsia="仿宋_GB2312" w:cs="仿宋_GB2312"/>
          <w:sz w:val="32"/>
          <w:szCs w:val="32"/>
        </w:rPr>
        <w:t>万元，增长2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%，主要是因为本单位业务收入（事业收入与其他收入之和）比上年增长9</w:t>
      </w:r>
      <w:r>
        <w:rPr>
          <w:rFonts w:ascii="仿宋_GB2312" w:hAnsi="仿宋_GB2312" w:eastAsia="仿宋_GB2312" w:cs="仿宋_GB2312"/>
          <w:sz w:val="32"/>
          <w:szCs w:val="32"/>
        </w:rPr>
        <w:t>15.43万元；财政拨款收入与使用非财政拨款结余比上年增长</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17.72万元。</w:t>
      </w:r>
    </w:p>
    <w:p w14:paraId="23CDBB8F">
      <w:pPr>
        <w:pStyle w:val="13"/>
        <w:spacing w:line="600" w:lineRule="exact"/>
        <w:ind w:firstLine="640" w:firstLineChars="200"/>
        <w:rPr>
          <w:rFonts w:hAnsi="黑体"/>
          <w:bCs/>
          <w:sz w:val="32"/>
          <w:szCs w:val="32"/>
        </w:rPr>
      </w:pPr>
      <w:r>
        <w:rPr>
          <w:rFonts w:hint="eastAsia" w:hAnsi="黑体"/>
          <w:bCs/>
          <w:sz w:val="32"/>
          <w:szCs w:val="32"/>
        </w:rPr>
        <w:t>二、收入决算情况说明</w:t>
      </w:r>
    </w:p>
    <w:p w14:paraId="6D495E38">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2023年度收入合计</w:t>
      </w:r>
      <w:r>
        <w:rPr>
          <w:rFonts w:ascii="仿宋_GB2312" w:hAnsi="仿宋_GB2312" w:eastAsia="仿宋_GB2312" w:cs="仿宋_GB2312"/>
          <w:sz w:val="32"/>
          <w:szCs w:val="32"/>
        </w:rPr>
        <w:t>8488.76</w:t>
      </w:r>
      <w:r>
        <w:rPr>
          <w:rFonts w:hint="eastAsia" w:ascii="仿宋_GB2312" w:hAnsi="仿宋_GB2312" w:eastAsia="仿宋_GB2312" w:cs="仿宋_GB2312"/>
          <w:sz w:val="32"/>
          <w:szCs w:val="32"/>
        </w:rPr>
        <w:t>万元，其中：财政拨款收入</w:t>
      </w:r>
      <w:r>
        <w:rPr>
          <w:rFonts w:ascii="仿宋_GB2312" w:hAnsi="仿宋_GB2312" w:eastAsia="仿宋_GB2312" w:cs="仿宋_GB2312"/>
          <w:sz w:val="32"/>
          <w:szCs w:val="32"/>
        </w:rPr>
        <w:t>2032.71</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23.95</w:t>
      </w:r>
      <w:r>
        <w:rPr>
          <w:rFonts w:hint="eastAsia" w:ascii="仿宋_GB2312" w:hAnsi="仿宋_GB2312" w:eastAsia="仿宋_GB2312" w:cs="仿宋_GB2312"/>
          <w:sz w:val="32"/>
          <w:szCs w:val="32"/>
        </w:rPr>
        <w:t>%；上级补助收入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%；事业收入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%；经营收入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%；附属单位上缴收入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6456.05</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76.05</w:t>
      </w:r>
      <w:r>
        <w:rPr>
          <w:rFonts w:hint="eastAsia" w:ascii="仿宋_GB2312" w:hAnsi="仿宋_GB2312" w:eastAsia="仿宋_GB2312" w:cs="仿宋_GB2312"/>
          <w:sz w:val="32"/>
          <w:szCs w:val="32"/>
        </w:rPr>
        <w:t>%。</w:t>
      </w:r>
    </w:p>
    <w:p w14:paraId="36D693AF">
      <w:pPr>
        <w:pStyle w:val="13"/>
        <w:spacing w:line="600" w:lineRule="exact"/>
        <w:ind w:firstLine="640" w:firstLineChars="200"/>
        <w:rPr>
          <w:rFonts w:hAnsi="黑体"/>
          <w:bCs/>
          <w:sz w:val="32"/>
          <w:szCs w:val="32"/>
        </w:rPr>
      </w:pPr>
      <w:r>
        <w:rPr>
          <w:rFonts w:hint="eastAsia" w:hAnsi="黑体"/>
          <w:bCs/>
          <w:sz w:val="32"/>
          <w:szCs w:val="32"/>
        </w:rPr>
        <w:t>三、支出决算情况说明</w:t>
      </w:r>
    </w:p>
    <w:p w14:paraId="2C9D1963">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2023年度支出合计</w:t>
      </w:r>
      <w:r>
        <w:rPr>
          <w:rFonts w:ascii="仿宋_GB2312" w:hAnsi="仿宋_GB2312" w:eastAsia="仿宋_GB2312" w:cs="仿宋_GB2312"/>
          <w:sz w:val="32"/>
          <w:szCs w:val="32"/>
        </w:rPr>
        <w:t>8295.5万</w:t>
      </w:r>
      <w:r>
        <w:rPr>
          <w:rFonts w:hint="eastAsia" w:ascii="仿宋_GB2312" w:hAnsi="仿宋_GB2312" w:eastAsia="仿宋_GB2312" w:cs="仿宋_GB2312"/>
          <w:sz w:val="32"/>
          <w:szCs w:val="32"/>
        </w:rPr>
        <w:t>元，其中：基本支出</w:t>
      </w:r>
      <w:r>
        <w:rPr>
          <w:rFonts w:ascii="仿宋_GB2312" w:hAnsi="仿宋_GB2312" w:eastAsia="仿宋_GB2312" w:cs="仿宋_GB2312"/>
          <w:sz w:val="32"/>
          <w:szCs w:val="32"/>
        </w:rPr>
        <w:t>8189.6</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98.72</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105.9</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1.28</w:t>
      </w:r>
      <w:r>
        <w:rPr>
          <w:rFonts w:hint="eastAsia" w:ascii="仿宋_GB2312" w:hAnsi="仿宋_GB2312" w:eastAsia="仿宋_GB2312" w:cs="仿宋_GB2312"/>
          <w:sz w:val="32"/>
          <w:szCs w:val="32"/>
        </w:rPr>
        <w:t>%；上缴上级支出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%；经营支出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%；对附属单位补助支出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w:t>
      </w:r>
    </w:p>
    <w:p w14:paraId="50E6A872">
      <w:pPr>
        <w:pStyle w:val="13"/>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14:paraId="3C42C2E3">
      <w:pPr>
        <w:pStyle w:val="13"/>
        <w:spacing w:line="600" w:lineRule="exact"/>
        <w:rPr>
          <w:rFonts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2023年度财政拨款收、支总计</w:t>
      </w:r>
      <w:r>
        <w:rPr>
          <w:rFonts w:ascii="仿宋_GB2312" w:hAnsi="仿宋_GB2312" w:eastAsia="仿宋_GB2312" w:cs="仿宋_GB2312"/>
          <w:sz w:val="32"/>
          <w:szCs w:val="32"/>
        </w:rPr>
        <w:t>2032.71</w:t>
      </w:r>
      <w:r>
        <w:rPr>
          <w:rFonts w:hint="eastAsia" w:ascii="仿宋_GB2312" w:hAnsi="仿宋_GB2312" w:eastAsia="仿宋_GB2312" w:cs="仿宋_GB2312"/>
          <w:sz w:val="32"/>
          <w:szCs w:val="32"/>
        </w:rPr>
        <w:t>万元，与上年相比，增加6</w:t>
      </w:r>
      <w:r>
        <w:rPr>
          <w:rFonts w:ascii="仿宋_GB2312" w:hAnsi="仿宋_GB2312" w:eastAsia="仿宋_GB2312" w:cs="仿宋_GB2312"/>
          <w:sz w:val="32"/>
          <w:szCs w:val="32"/>
        </w:rPr>
        <w:t>25.38</w:t>
      </w:r>
      <w:r>
        <w:rPr>
          <w:rFonts w:hint="eastAsia" w:ascii="仿宋_GB2312" w:hAnsi="仿宋_GB2312" w:eastAsia="仿宋_GB2312" w:cs="仿宋_GB2312"/>
          <w:sz w:val="32"/>
          <w:szCs w:val="32"/>
        </w:rPr>
        <w:t>万元,增长4</w:t>
      </w:r>
      <w:r>
        <w:rPr>
          <w:rFonts w:ascii="仿宋_GB2312" w:hAnsi="仿宋_GB2312" w:eastAsia="仿宋_GB2312" w:cs="仿宋_GB2312"/>
          <w:sz w:val="32"/>
          <w:szCs w:val="32"/>
        </w:rPr>
        <w:t>4.44</w:t>
      </w:r>
      <w:r>
        <w:rPr>
          <w:rFonts w:hint="eastAsia" w:ascii="仿宋_GB2312" w:hAnsi="仿宋_GB2312" w:eastAsia="仿宋_GB2312" w:cs="仿宋_GB2312"/>
          <w:sz w:val="32"/>
          <w:szCs w:val="32"/>
        </w:rPr>
        <w:t>%，主要是因为一般公共预算财政拨款与上年相比增加了</w:t>
      </w:r>
      <w:r>
        <w:rPr>
          <w:rFonts w:ascii="仿宋_GB2312" w:hAnsi="仿宋_GB2312" w:eastAsia="仿宋_GB2312" w:cs="仿宋_GB2312"/>
          <w:sz w:val="32"/>
          <w:szCs w:val="32"/>
        </w:rPr>
        <w:t>661.22万元，政府性基金预算财政拨款与上年相比较减少了</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5.84万元。</w:t>
      </w:r>
    </w:p>
    <w:p w14:paraId="7CA79B8D">
      <w:pPr>
        <w:pStyle w:val="13"/>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14:paraId="515CA968">
      <w:pPr>
        <w:pStyle w:val="13"/>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（一）一般公共预算财政拨款支出决算总体情况</w:t>
      </w:r>
    </w:p>
    <w:p w14:paraId="1B680E9A">
      <w:pPr>
        <w:pStyle w:val="13"/>
        <w:spacing w:line="600" w:lineRule="exact"/>
        <w:ind w:firstLine="640" w:firstLineChars="200"/>
        <w:rPr>
          <w:rFonts w:ascii="仿宋_GB2312" w:hAnsi="仿宋_GB2312" w:eastAsia="仿宋_GB2312" w:cs="仿宋_GB2312"/>
          <w:i/>
          <w:iCs/>
          <w:color w:val="FF0000"/>
          <w:sz w:val="32"/>
          <w:szCs w:val="32"/>
        </w:rPr>
      </w:pPr>
      <w:r>
        <w:rPr>
          <w:rFonts w:hint="eastAsia" w:ascii="仿宋_GB2312" w:hAnsi="仿宋_GB2312" w:eastAsia="仿宋_GB2312" w:cs="仿宋_GB2312"/>
          <w:sz w:val="32"/>
          <w:szCs w:val="32"/>
        </w:rPr>
        <w:t>2023年度财政拨款支出</w:t>
      </w:r>
      <w:r>
        <w:rPr>
          <w:rFonts w:ascii="仿宋_GB2312" w:hAnsi="仿宋_GB2312" w:eastAsia="仿宋_GB2312" w:cs="仿宋_GB2312"/>
          <w:sz w:val="32"/>
          <w:szCs w:val="32"/>
        </w:rPr>
        <w:t>1926.81</w:t>
      </w:r>
      <w:r>
        <w:rPr>
          <w:rFonts w:hint="eastAsia" w:ascii="仿宋_GB2312" w:hAnsi="仿宋_GB2312" w:eastAsia="仿宋_GB2312" w:cs="仿宋_GB2312"/>
          <w:sz w:val="32"/>
          <w:szCs w:val="32"/>
        </w:rPr>
        <w:t>万元，占本年支出合计的</w:t>
      </w:r>
      <w:r>
        <w:rPr>
          <w:rFonts w:ascii="仿宋_GB2312" w:hAnsi="仿宋_GB2312" w:eastAsia="仿宋_GB2312" w:cs="仿宋_GB2312"/>
          <w:sz w:val="32"/>
          <w:szCs w:val="32"/>
        </w:rPr>
        <w:t>23.23</w:t>
      </w:r>
      <w:r>
        <w:rPr>
          <w:rFonts w:hint="eastAsia" w:ascii="仿宋_GB2312" w:hAnsi="仿宋_GB2312" w:eastAsia="仿宋_GB2312" w:cs="仿宋_GB2312"/>
          <w:sz w:val="32"/>
          <w:szCs w:val="32"/>
        </w:rPr>
        <w:t>%，与上年相比，财政拨款支出增加6</w:t>
      </w:r>
      <w:r>
        <w:rPr>
          <w:rFonts w:ascii="仿宋_GB2312" w:hAnsi="仿宋_GB2312" w:eastAsia="仿宋_GB2312" w:cs="仿宋_GB2312"/>
          <w:sz w:val="32"/>
          <w:szCs w:val="32"/>
        </w:rPr>
        <w:t>61.22</w:t>
      </w:r>
      <w:r>
        <w:rPr>
          <w:rFonts w:hint="eastAsia" w:ascii="仿宋_GB2312" w:hAnsi="仿宋_GB2312" w:eastAsia="仿宋_GB2312" w:cs="仿宋_GB2312"/>
          <w:sz w:val="32"/>
          <w:szCs w:val="32"/>
        </w:rPr>
        <w:t>万元，增长5</w:t>
      </w:r>
      <w:r>
        <w:rPr>
          <w:rFonts w:ascii="仿宋_GB2312" w:hAnsi="仿宋_GB2312" w:eastAsia="仿宋_GB2312" w:cs="仿宋_GB2312"/>
          <w:sz w:val="32"/>
          <w:szCs w:val="32"/>
        </w:rPr>
        <w:t>2.25</w:t>
      </w:r>
      <w:r>
        <w:rPr>
          <w:rFonts w:hint="eastAsia" w:ascii="仿宋_GB2312" w:hAnsi="仿宋_GB2312" w:eastAsia="仿宋_GB2312" w:cs="仿宋_GB2312"/>
          <w:sz w:val="32"/>
          <w:szCs w:val="32"/>
        </w:rPr>
        <w:t>%，主要是因为社会保障和就业支出与上年相比增加了3</w:t>
      </w:r>
      <w:r>
        <w:rPr>
          <w:rFonts w:ascii="仿宋_GB2312" w:hAnsi="仿宋_GB2312" w:eastAsia="仿宋_GB2312" w:cs="仿宋_GB2312"/>
          <w:sz w:val="32"/>
          <w:szCs w:val="32"/>
        </w:rPr>
        <w:t>65.11万元，</w:t>
      </w:r>
      <w:r>
        <w:rPr>
          <w:rFonts w:hint="eastAsia" w:ascii="仿宋_GB2312" w:hAnsi="仿宋_GB2312" w:eastAsia="仿宋_GB2312" w:cs="仿宋_GB2312"/>
          <w:sz w:val="32"/>
          <w:szCs w:val="32"/>
        </w:rPr>
        <w:t>卫生健康支出与上年相比增加了</w:t>
      </w:r>
      <w:r>
        <w:rPr>
          <w:rFonts w:ascii="仿宋_GB2312" w:hAnsi="仿宋_GB2312" w:eastAsia="仿宋_GB2312" w:cs="仿宋_GB2312"/>
          <w:sz w:val="32"/>
          <w:szCs w:val="32"/>
        </w:rPr>
        <w:t>161.34万元，</w:t>
      </w:r>
      <w:r>
        <w:rPr>
          <w:rFonts w:hint="eastAsia" w:ascii="仿宋_GB2312" w:hAnsi="仿宋_GB2312" w:eastAsia="仿宋_GB2312" w:cs="仿宋_GB2312"/>
          <w:sz w:val="32"/>
          <w:szCs w:val="32"/>
        </w:rPr>
        <w:t>住房保障支出与上年相比增加了</w:t>
      </w:r>
      <w:r>
        <w:rPr>
          <w:rFonts w:ascii="仿宋_GB2312" w:hAnsi="仿宋_GB2312" w:eastAsia="仿宋_GB2312" w:cs="仿宋_GB2312"/>
          <w:sz w:val="32"/>
          <w:szCs w:val="32"/>
        </w:rPr>
        <w:t>134.77万元，其中住房保障支出的增加是由于财政拨款方式改变而增加的。</w:t>
      </w:r>
    </w:p>
    <w:p w14:paraId="068F3FDB">
      <w:pPr>
        <w:pStyle w:val="13"/>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（二）一般公共预算财政拨款支出决算结构情况</w:t>
      </w:r>
    </w:p>
    <w:p w14:paraId="152AE69E">
      <w:pPr>
        <w:pStyle w:val="13"/>
        <w:ind w:firstLine="640" w:firstLineChars="200"/>
        <w:rPr>
          <w:rFonts w:ascii="楷体" w:hAnsi="楷体" w:eastAsia="楷体" w:cs="楷体"/>
          <w:sz w:val="32"/>
          <w:szCs w:val="32"/>
        </w:rPr>
      </w:pPr>
      <w:r>
        <w:rPr>
          <w:rFonts w:hint="eastAsia" w:ascii="仿宋_GB2312" w:hAnsi="仿宋_GB2312" w:eastAsia="仿宋_GB2312" w:cs="仿宋_GB2312"/>
          <w:sz w:val="32"/>
          <w:szCs w:val="32"/>
        </w:rPr>
        <w:t>2023年度财政拨款支出</w:t>
      </w:r>
      <w:r>
        <w:rPr>
          <w:rFonts w:ascii="仿宋_GB2312" w:hAnsi="仿宋_GB2312" w:eastAsia="仿宋_GB2312" w:cs="仿宋_GB2312"/>
          <w:sz w:val="32"/>
          <w:szCs w:val="32"/>
        </w:rPr>
        <w:t>1926.81</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color w:val="auto"/>
          <w:sz w:val="32"/>
          <w:szCs w:val="32"/>
        </w:rPr>
        <w:t>社会保障和就业支出</w:t>
      </w:r>
      <w:r>
        <w:rPr>
          <w:rFonts w:ascii="仿宋_GB2312" w:hAnsi="仿宋_GB2312" w:eastAsia="仿宋_GB2312" w:cs="仿宋_GB2312"/>
          <w:color w:val="auto"/>
          <w:sz w:val="32"/>
          <w:szCs w:val="32"/>
        </w:rPr>
        <w:t>1420.61万元</w:t>
      </w:r>
      <w:r>
        <w:rPr>
          <w:rFonts w:hint="eastAsia" w:ascii="仿宋_GB2312" w:hAnsi="仿宋_GB2312" w:eastAsia="仿宋_GB2312" w:cs="仿宋_GB2312"/>
          <w:color w:val="auto"/>
          <w:sz w:val="32"/>
          <w:szCs w:val="32"/>
        </w:rPr>
        <w:t>，占比</w:t>
      </w:r>
      <w:r>
        <w:rPr>
          <w:rFonts w:ascii="仿宋_GB2312" w:hAnsi="仿宋_GB2312" w:eastAsia="仿宋_GB2312" w:cs="仿宋_GB2312"/>
          <w:color w:val="auto"/>
          <w:sz w:val="32"/>
          <w:szCs w:val="32"/>
        </w:rPr>
        <w:t>73.73</w:t>
      </w:r>
      <w:r>
        <w:rPr>
          <w:rFonts w:hint="eastAsia" w:ascii="仿宋_GB2312" w:hAnsi="仿宋_GB2312" w:eastAsia="仿宋_GB2312" w:cs="仿宋_GB2312"/>
          <w:color w:val="auto"/>
          <w:sz w:val="32"/>
          <w:szCs w:val="32"/>
        </w:rPr>
        <w:t>%；卫生健康支出</w:t>
      </w:r>
      <w:r>
        <w:rPr>
          <w:rFonts w:ascii="仿宋_GB2312" w:hAnsi="仿宋_GB2312" w:eastAsia="仿宋_GB2312" w:cs="仿宋_GB2312"/>
          <w:color w:val="auto"/>
          <w:sz w:val="32"/>
          <w:szCs w:val="32"/>
        </w:rPr>
        <w:t>371.45</w:t>
      </w:r>
      <w:r>
        <w:rPr>
          <w:rFonts w:hint="eastAsia" w:ascii="仿宋_GB2312" w:hAnsi="仿宋_GB2312" w:eastAsia="仿宋_GB2312" w:cs="仿宋_GB2312"/>
          <w:color w:val="auto"/>
          <w:sz w:val="32"/>
          <w:szCs w:val="32"/>
        </w:rPr>
        <w:t>万元，占比</w:t>
      </w:r>
      <w:r>
        <w:rPr>
          <w:rFonts w:ascii="仿宋_GB2312" w:hAnsi="仿宋_GB2312" w:eastAsia="仿宋_GB2312" w:cs="仿宋_GB2312"/>
          <w:color w:val="auto"/>
          <w:sz w:val="32"/>
          <w:szCs w:val="32"/>
        </w:rPr>
        <w:t>19.28</w:t>
      </w:r>
      <w:r>
        <w:rPr>
          <w:rFonts w:hint="eastAsia" w:ascii="仿宋_GB2312" w:hAnsi="仿宋_GB2312" w:eastAsia="仿宋_GB2312" w:cs="仿宋_GB2312"/>
          <w:color w:val="auto"/>
          <w:sz w:val="32"/>
          <w:szCs w:val="32"/>
        </w:rPr>
        <w:t>%；住房保障支出1</w:t>
      </w:r>
      <w:r>
        <w:rPr>
          <w:rFonts w:ascii="仿宋_GB2312" w:hAnsi="仿宋_GB2312" w:eastAsia="仿宋_GB2312" w:cs="仿宋_GB2312"/>
          <w:color w:val="auto"/>
          <w:sz w:val="32"/>
          <w:szCs w:val="32"/>
        </w:rPr>
        <w:t>34.77万元，</w:t>
      </w:r>
      <w:r>
        <w:rPr>
          <w:rFonts w:hint="eastAsia" w:ascii="仿宋_GB2312" w:hAnsi="仿宋_GB2312" w:eastAsia="仿宋_GB2312" w:cs="仿宋_GB2312"/>
          <w:color w:val="auto"/>
          <w:sz w:val="32"/>
          <w:szCs w:val="32"/>
        </w:rPr>
        <w:t>占比</w:t>
      </w:r>
      <w:r>
        <w:rPr>
          <w:rFonts w:ascii="仿宋_GB2312" w:hAnsi="仿宋_GB2312" w:eastAsia="仿宋_GB2312" w:cs="仿宋_GB2312"/>
          <w:color w:val="auto"/>
          <w:sz w:val="32"/>
          <w:szCs w:val="32"/>
        </w:rPr>
        <w:t>6.99</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w:t>
      </w:r>
    </w:p>
    <w:p w14:paraId="5349118A">
      <w:pPr>
        <w:pStyle w:val="13"/>
        <w:spacing w:line="600" w:lineRule="exact"/>
        <w:ind w:firstLine="800" w:firstLineChars="2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（三）一般公共预算财政拨款支出决算具体情况</w:t>
      </w:r>
    </w:p>
    <w:p w14:paraId="007D8745">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2023年度财政拨款支出年初预算数为</w:t>
      </w:r>
      <w:r>
        <w:rPr>
          <w:rFonts w:ascii="仿宋_GB2312" w:hAnsi="仿宋_GB2312" w:eastAsia="仿宋_GB2312" w:cs="仿宋_GB2312"/>
          <w:sz w:val="32"/>
          <w:szCs w:val="32"/>
        </w:rPr>
        <w:t>1667.76</w:t>
      </w:r>
      <w:r>
        <w:rPr>
          <w:rFonts w:hint="eastAsia" w:ascii="仿宋_GB2312" w:hAnsi="仿宋_GB2312" w:eastAsia="仿宋_GB2312" w:cs="仿宋_GB2312"/>
          <w:sz w:val="32"/>
          <w:szCs w:val="32"/>
        </w:rPr>
        <w:t>万元（下单位数为1</w:t>
      </w:r>
      <w:r>
        <w:rPr>
          <w:rFonts w:ascii="仿宋_GB2312" w:hAnsi="仿宋_GB2312" w:eastAsia="仿宋_GB2312" w:cs="仿宋_GB2312"/>
          <w:sz w:val="32"/>
          <w:szCs w:val="32"/>
        </w:rPr>
        <w:t>660.42万元，财政代扣工会经费</w:t>
      </w:r>
      <w:r>
        <w:rPr>
          <w:rFonts w:hint="eastAsia" w:ascii="仿宋_GB2312" w:hAnsi="仿宋_GB2312" w:eastAsia="仿宋_GB2312" w:cs="仿宋_GB2312"/>
          <w:sz w:val="32"/>
          <w:szCs w:val="32"/>
        </w:rPr>
        <w:t>7</w:t>
      </w:r>
      <w:r>
        <w:rPr>
          <w:rFonts w:ascii="仿宋_GB2312" w:hAnsi="仿宋_GB2312" w:eastAsia="仿宋_GB2312" w:cs="仿宋_GB2312"/>
          <w:sz w:val="32"/>
          <w:szCs w:val="32"/>
        </w:rPr>
        <w:t>.34万元</w:t>
      </w:r>
      <w:r>
        <w:rPr>
          <w:rFonts w:hint="eastAsia" w:ascii="仿宋_GB2312" w:hAnsi="仿宋_GB2312" w:eastAsia="仿宋_GB2312" w:cs="仿宋_GB2312"/>
          <w:sz w:val="32"/>
          <w:szCs w:val="32"/>
        </w:rPr>
        <w:t>），支出决算数为</w:t>
      </w:r>
      <w:r>
        <w:rPr>
          <w:rFonts w:ascii="仿宋_GB2312" w:hAnsi="仿宋_GB2312" w:eastAsia="仿宋_GB2312" w:cs="仿宋_GB2312"/>
          <w:sz w:val="32"/>
          <w:szCs w:val="32"/>
        </w:rPr>
        <w:t>1926.81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115.53</w:t>
      </w:r>
      <w:r>
        <w:rPr>
          <w:rFonts w:hint="eastAsia" w:ascii="仿宋_GB2312" w:hAnsi="仿宋_GB2312" w:eastAsia="仿宋_GB2312" w:cs="仿宋_GB2312"/>
          <w:sz w:val="32"/>
          <w:szCs w:val="32"/>
        </w:rPr>
        <w:t>%，，其中：</w:t>
      </w:r>
    </w:p>
    <w:p w14:paraId="7D83B887">
      <w:pPr>
        <w:pStyle w:val="13"/>
        <w:numPr>
          <w:ilvl w:val="0"/>
          <w:numId w:val="2"/>
        </w:numPr>
        <w:spacing w:line="600" w:lineRule="exact"/>
        <w:ind w:firstLine="80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社会保障和就业支出（类）民政管理事务（款）其他民政管理事务支出（项）。年初预算为1</w:t>
      </w:r>
      <w:r>
        <w:rPr>
          <w:rFonts w:ascii="仿宋_GB2312" w:hAnsi="仿宋_GB2312" w:eastAsia="仿宋_GB2312" w:cs="仿宋_GB2312"/>
          <w:sz w:val="32"/>
          <w:szCs w:val="32"/>
        </w:rPr>
        <w:t>246.02</w:t>
      </w:r>
      <w:r>
        <w:rPr>
          <w:rFonts w:hint="eastAsia" w:ascii="仿宋_GB2312" w:hAnsi="仿宋_GB2312" w:eastAsia="仿宋_GB2312" w:cs="仿宋_GB2312"/>
          <w:sz w:val="32"/>
          <w:szCs w:val="32"/>
        </w:rPr>
        <w:t>万元，支出决算为1</w:t>
      </w:r>
      <w:r>
        <w:rPr>
          <w:rFonts w:ascii="仿宋_GB2312" w:hAnsi="仿宋_GB2312" w:eastAsia="仿宋_GB2312" w:cs="仿宋_GB2312"/>
          <w:sz w:val="32"/>
          <w:szCs w:val="32"/>
        </w:rPr>
        <w:t>234.48</w:t>
      </w:r>
      <w:r>
        <w:rPr>
          <w:rFonts w:hint="eastAsia" w:ascii="仿宋_GB2312" w:hAnsi="仿宋_GB2312" w:eastAsia="仿宋_GB2312" w:cs="仿宋_GB2312"/>
          <w:sz w:val="32"/>
          <w:szCs w:val="32"/>
        </w:rPr>
        <w:t>万元，完成年初预算的9</w:t>
      </w:r>
      <w:r>
        <w:rPr>
          <w:rFonts w:ascii="仿宋_GB2312" w:hAnsi="仿宋_GB2312" w:eastAsia="仿宋_GB2312" w:cs="仿宋_GB2312"/>
          <w:sz w:val="32"/>
          <w:szCs w:val="32"/>
        </w:rPr>
        <w:t>9.07</w:t>
      </w:r>
      <w:r>
        <w:rPr>
          <w:rFonts w:hint="eastAsia" w:ascii="仿宋_GB2312" w:hAnsi="仿宋_GB2312" w:eastAsia="仿宋_GB2312" w:cs="仿宋_GB2312"/>
          <w:sz w:val="32"/>
          <w:szCs w:val="32"/>
        </w:rPr>
        <w:t>%。决算数小于预算数的主要原因是运转类（公用）项目支出</w:t>
      </w:r>
      <w:r>
        <w:rPr>
          <w:rFonts w:ascii="仿宋_GB2312" w:hAnsi="仿宋_GB2312" w:eastAsia="仿宋_GB2312" w:cs="仿宋_GB2312"/>
          <w:sz w:val="32"/>
          <w:szCs w:val="32"/>
        </w:rPr>
        <w:t>未在财政关账前及时支付。</w:t>
      </w:r>
    </w:p>
    <w:p w14:paraId="583C2FF1">
      <w:pPr>
        <w:pStyle w:val="13"/>
        <w:numPr>
          <w:ilvl w:val="0"/>
          <w:numId w:val="2"/>
        </w:numPr>
        <w:spacing w:line="600" w:lineRule="exact"/>
        <w:ind w:firstLine="707"/>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社会保障和就业支出（类）行政事业单位养老支出（款）机关事业单位基本养老保险缴费支出（项）。年初预算为1</w:t>
      </w:r>
      <w:r>
        <w:rPr>
          <w:rFonts w:ascii="仿宋_GB2312" w:hAnsi="仿宋_GB2312" w:eastAsia="仿宋_GB2312" w:cs="仿宋_GB2312"/>
          <w:sz w:val="32"/>
          <w:szCs w:val="32"/>
        </w:rPr>
        <w:t>79.69</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177.33万元，</w:t>
      </w:r>
      <w:r>
        <w:rPr>
          <w:rFonts w:hint="eastAsia" w:ascii="仿宋_GB2312" w:hAnsi="仿宋_GB2312" w:eastAsia="仿宋_GB2312" w:cs="仿宋_GB2312"/>
          <w:sz w:val="32"/>
          <w:szCs w:val="32"/>
        </w:rPr>
        <w:t>完成年初预算的9</w:t>
      </w:r>
      <w:r>
        <w:rPr>
          <w:rFonts w:ascii="仿宋_GB2312" w:hAnsi="仿宋_GB2312" w:eastAsia="仿宋_GB2312" w:cs="仿宋_GB2312"/>
          <w:sz w:val="32"/>
          <w:szCs w:val="32"/>
        </w:rPr>
        <w:t>8.6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%。决算数小于预算数的主要原因是</w:t>
      </w:r>
      <w:r>
        <w:rPr>
          <w:rFonts w:ascii="仿宋_GB2312" w:hAnsi="仿宋_GB2312" w:eastAsia="仿宋_GB2312" w:cs="仿宋_GB2312"/>
          <w:sz w:val="32"/>
          <w:szCs w:val="32"/>
        </w:rPr>
        <w:t>本年度中途有职工</w:t>
      </w:r>
      <w:r>
        <w:rPr>
          <w:rFonts w:hint="eastAsia" w:ascii="仿宋_GB2312" w:hAnsi="仿宋_GB2312" w:eastAsia="仿宋_GB2312" w:cs="仿宋_GB2312"/>
          <w:sz w:val="32"/>
          <w:szCs w:val="32"/>
        </w:rPr>
        <w:t>外调异动。</w:t>
      </w:r>
    </w:p>
    <w:p w14:paraId="33BA8C96">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社会保障和就业支出（类）其他社会保障和就业支出（款）其他社会保障和就业支出（项）。年初预算为5</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万元，支出决算为7</w:t>
      </w:r>
      <w:r>
        <w:rPr>
          <w:rFonts w:ascii="仿宋_GB2312" w:hAnsi="仿宋_GB2312" w:eastAsia="仿宋_GB2312" w:cs="仿宋_GB2312"/>
          <w:sz w:val="32"/>
          <w:szCs w:val="32"/>
        </w:rPr>
        <w:t>.97</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44.9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%。决算数大于预算数，主要原因是调整了年初预算，财政追加了新精神卫生大楼建设预算资金。</w:t>
      </w:r>
    </w:p>
    <w:p w14:paraId="19742570">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社会保障和就业支出（类）抚恤（款）其他优抚支出（项）。年初预算为0万元，支出决算为0.83万元，决算数大于预算数的主要原因是调整了年初预算，增加了遗属补助预算。</w:t>
      </w:r>
    </w:p>
    <w:p w14:paraId="626EDFCB">
      <w:pPr>
        <w:pStyle w:val="13"/>
        <w:numPr>
          <w:ilvl w:val="0"/>
          <w:numId w:val="2"/>
        </w:numPr>
        <w:ind w:firstLine="640"/>
        <w:rPr>
          <w:rFonts w:ascii="仿宋_GB2312" w:hAnsi="仿宋_GB2312" w:eastAsia="仿宋_GB2312" w:cs="仿宋_GB2312"/>
          <w:sz w:val="32"/>
          <w:szCs w:val="32"/>
        </w:rPr>
      </w:pPr>
      <w:r>
        <w:rPr>
          <w:rFonts w:ascii="仿宋_GB2312" w:hAnsi="仿宋_GB2312" w:eastAsia="仿宋_GB2312" w:cs="仿宋_GB2312"/>
          <w:sz w:val="32"/>
          <w:szCs w:val="32"/>
        </w:rPr>
        <w:t>卫生健康</w:t>
      </w:r>
      <w:r>
        <w:rPr>
          <w:rFonts w:hint="eastAsia" w:ascii="仿宋_GB2312" w:hAnsi="仿宋_GB2312" w:eastAsia="仿宋_GB2312" w:cs="仿宋_GB2312"/>
          <w:sz w:val="32"/>
          <w:szCs w:val="32"/>
        </w:rPr>
        <w:t>支出（类）公立医院（款）其他公立医院支出（项）。年初预算为0万元，支出决算为1</w:t>
      </w:r>
      <w:r>
        <w:rPr>
          <w:rFonts w:ascii="仿宋_GB2312" w:hAnsi="仿宋_GB2312" w:eastAsia="仿宋_GB2312" w:cs="仿宋_GB2312"/>
          <w:sz w:val="32"/>
          <w:szCs w:val="32"/>
        </w:rPr>
        <w:t>9.06</w:t>
      </w:r>
      <w:r>
        <w:rPr>
          <w:rFonts w:hint="eastAsia" w:ascii="仿宋_GB2312" w:hAnsi="仿宋_GB2312" w:eastAsia="仿宋_GB2312" w:cs="仿宋_GB2312"/>
          <w:sz w:val="32"/>
          <w:szCs w:val="32"/>
        </w:rPr>
        <w:t>万元，决算数大于预算数的主要原因是调整了年初预算，增加了公立医院改革补助预算。</w:t>
      </w:r>
    </w:p>
    <w:p w14:paraId="5FF7BFB1">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卫生健康支出（类）公立医院（款）康复医院（项）。年初预算为0万元，支出决算为8</w:t>
      </w:r>
      <w:r>
        <w:rPr>
          <w:rFonts w:ascii="仿宋_GB2312" w:hAnsi="仿宋_GB2312" w:eastAsia="仿宋_GB2312" w:cs="仿宋_GB2312"/>
          <w:sz w:val="32"/>
          <w:szCs w:val="32"/>
        </w:rPr>
        <w:t>8.03</w:t>
      </w:r>
      <w:r>
        <w:rPr>
          <w:rFonts w:hint="eastAsia" w:ascii="仿宋_GB2312" w:hAnsi="仿宋_GB2312" w:eastAsia="仿宋_GB2312" w:cs="仿宋_GB2312"/>
          <w:sz w:val="32"/>
          <w:szCs w:val="32"/>
        </w:rPr>
        <w:t>万元，决算数大于预算数的主要原因是调整了年初预算，增加了退休费预算。</w:t>
      </w:r>
    </w:p>
    <w:p w14:paraId="4B9BB068">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卫生健康支出（类）行政事业单位医疗（款）事业单位医疗（项）。年初预算为9</w:t>
      </w:r>
      <w:r>
        <w:rPr>
          <w:rFonts w:ascii="仿宋_GB2312" w:hAnsi="仿宋_GB2312" w:eastAsia="仿宋_GB2312" w:cs="仿宋_GB2312"/>
          <w:sz w:val="32"/>
          <w:szCs w:val="32"/>
        </w:rPr>
        <w:t>4.44</w:t>
      </w:r>
      <w:r>
        <w:rPr>
          <w:rFonts w:hint="eastAsia" w:ascii="仿宋_GB2312" w:hAnsi="仿宋_GB2312" w:eastAsia="仿宋_GB2312" w:cs="仿宋_GB2312"/>
          <w:sz w:val="32"/>
          <w:szCs w:val="32"/>
        </w:rPr>
        <w:t>万元，支出决算为9</w:t>
      </w:r>
      <w:r>
        <w:rPr>
          <w:rFonts w:ascii="仿宋_GB2312" w:hAnsi="仿宋_GB2312" w:eastAsia="仿宋_GB2312" w:cs="仿宋_GB2312"/>
          <w:sz w:val="32"/>
          <w:szCs w:val="32"/>
        </w:rPr>
        <w:t>4.44</w:t>
      </w:r>
      <w:r>
        <w:rPr>
          <w:rFonts w:hint="eastAsia" w:ascii="仿宋_GB2312" w:hAnsi="仿宋_GB2312" w:eastAsia="仿宋_GB2312" w:cs="仿宋_GB2312"/>
          <w:sz w:val="32"/>
          <w:szCs w:val="32"/>
        </w:rPr>
        <w:t>万元，完成年初预算的100%。决算数与预算数一致，主要原因是我单位严格按预算执行决算。</w:t>
      </w:r>
    </w:p>
    <w:p w14:paraId="3DF2E5B8">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卫生健康支出（类）公共卫生（款）重大公共卫生服务（项）。年初预算为0万元，支出决算为1</w:t>
      </w:r>
      <w:r>
        <w:rPr>
          <w:rFonts w:ascii="仿宋_GB2312" w:hAnsi="仿宋_GB2312" w:eastAsia="仿宋_GB2312" w:cs="仿宋_GB2312"/>
          <w:sz w:val="32"/>
          <w:szCs w:val="32"/>
        </w:rPr>
        <w:t>02.43</w:t>
      </w:r>
      <w:r>
        <w:rPr>
          <w:rFonts w:hint="eastAsia" w:ascii="仿宋_GB2312" w:hAnsi="仿宋_GB2312" w:eastAsia="仿宋_GB2312" w:cs="仿宋_GB2312"/>
          <w:sz w:val="32"/>
          <w:szCs w:val="32"/>
        </w:rPr>
        <w:t>万元，决算数大于预算数的主要原因是调整了年初预算，我院挂牌“岳阳市精神卫生中心”牌子承担该中心业务从而增加相应预算。</w:t>
      </w:r>
    </w:p>
    <w:p w14:paraId="64EE97C7">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卫生健康支出（类）公共卫生（款）突发公共卫生事件应急处理（项）。年初预算为0万元，支出决算为6</w:t>
      </w:r>
      <w:r>
        <w:rPr>
          <w:rFonts w:ascii="仿宋_GB2312" w:hAnsi="仿宋_GB2312" w:eastAsia="仿宋_GB2312" w:cs="仿宋_GB2312"/>
          <w:sz w:val="32"/>
          <w:szCs w:val="32"/>
        </w:rPr>
        <w:t>7.49</w:t>
      </w:r>
      <w:r>
        <w:rPr>
          <w:rFonts w:hint="eastAsia" w:ascii="仿宋_GB2312" w:hAnsi="仿宋_GB2312" w:eastAsia="仿宋_GB2312" w:cs="仿宋_GB2312"/>
          <w:sz w:val="32"/>
          <w:szCs w:val="32"/>
        </w:rPr>
        <w:t>万元，决算数大于预算数的主要原因是调整了年初预算，增加了医务人员临时防疫工作补助预算。</w:t>
      </w:r>
    </w:p>
    <w:p w14:paraId="70ECE2C0">
      <w:pPr>
        <w:pStyle w:val="13"/>
        <w:numPr>
          <w:ilvl w:val="0"/>
          <w:numId w:val="2"/>
        </w:num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住房保障支出（类）住房改革支出（款）住房公积金（项）年初预算为1</w:t>
      </w:r>
      <w:r>
        <w:rPr>
          <w:rFonts w:ascii="仿宋_GB2312" w:hAnsi="仿宋_GB2312" w:eastAsia="仿宋_GB2312" w:cs="仿宋_GB2312"/>
          <w:sz w:val="32"/>
          <w:szCs w:val="32"/>
        </w:rPr>
        <w:t>34.77</w:t>
      </w:r>
      <w:r>
        <w:rPr>
          <w:rFonts w:hint="eastAsia" w:ascii="仿宋_GB2312" w:hAnsi="仿宋_GB2312" w:eastAsia="仿宋_GB2312" w:cs="仿宋_GB2312"/>
          <w:sz w:val="32"/>
          <w:szCs w:val="32"/>
        </w:rPr>
        <w:t>万元，支出决算为1</w:t>
      </w:r>
      <w:r>
        <w:rPr>
          <w:rFonts w:ascii="仿宋_GB2312" w:hAnsi="仿宋_GB2312" w:eastAsia="仿宋_GB2312" w:cs="仿宋_GB2312"/>
          <w:sz w:val="32"/>
          <w:szCs w:val="32"/>
        </w:rPr>
        <w:t>34.77</w:t>
      </w:r>
      <w:r>
        <w:rPr>
          <w:rFonts w:hint="eastAsia" w:ascii="仿宋_GB2312" w:hAnsi="仿宋_GB2312" w:eastAsia="仿宋_GB2312" w:cs="仿宋_GB2312"/>
          <w:sz w:val="32"/>
          <w:szCs w:val="32"/>
        </w:rPr>
        <w:t>万元，完成年初预算的100%。决算数与预算数一致，主要原因是我单位严格按预算执行决算。</w:t>
      </w:r>
    </w:p>
    <w:p w14:paraId="2127D735">
      <w:pPr>
        <w:pStyle w:val="13"/>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14:paraId="24CF8E0D">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2023年度财政拨款基本支出</w:t>
      </w:r>
      <w:r>
        <w:rPr>
          <w:rFonts w:ascii="仿宋_GB2312" w:hAnsi="仿宋_GB2312" w:eastAsia="仿宋_GB2312" w:cs="仿宋_GB2312"/>
          <w:sz w:val="32"/>
          <w:szCs w:val="32"/>
        </w:rPr>
        <w:t>1926.81</w:t>
      </w:r>
      <w:r>
        <w:rPr>
          <w:rFonts w:hint="eastAsia" w:ascii="仿宋_GB2312" w:hAnsi="仿宋_GB2312" w:eastAsia="仿宋_GB2312" w:cs="仿宋_GB2312"/>
          <w:sz w:val="32"/>
          <w:szCs w:val="32"/>
        </w:rPr>
        <w:t>万元，其中：</w:t>
      </w:r>
    </w:p>
    <w:p w14:paraId="743839EB">
      <w:pPr>
        <w:pStyle w:val="13"/>
        <w:spacing w:line="60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b/>
          <w:bCs/>
          <w:sz w:val="32"/>
          <w:szCs w:val="32"/>
        </w:rPr>
        <w:t>人员经费</w:t>
      </w:r>
      <w:r>
        <w:rPr>
          <w:rFonts w:ascii="仿宋_GB2312" w:hAnsi="仿宋_GB2312" w:eastAsia="仿宋_GB2312" w:cs="仿宋_GB2312"/>
          <w:sz w:val="32"/>
          <w:szCs w:val="32"/>
        </w:rPr>
        <w:t>1332.95</w:t>
      </w:r>
      <w:r>
        <w:rPr>
          <w:rFonts w:hint="eastAsia" w:ascii="仿宋_GB2312" w:hAnsi="仿宋_GB2312" w:eastAsia="仿宋_GB2312" w:cs="仿宋_GB2312"/>
          <w:sz w:val="32"/>
          <w:szCs w:val="32"/>
        </w:rPr>
        <w:t>万元，占基本支出的</w:t>
      </w:r>
      <w:r>
        <w:rPr>
          <w:rFonts w:ascii="仿宋_GB2312" w:hAnsi="仿宋_GB2312" w:eastAsia="仿宋_GB2312" w:cs="仿宋_GB2312"/>
          <w:sz w:val="32"/>
          <w:szCs w:val="32"/>
        </w:rPr>
        <w:t>69.18</w:t>
      </w:r>
      <w:r>
        <w:rPr>
          <w:rFonts w:hint="eastAsia" w:ascii="仿宋_GB2312" w:hAnsi="仿宋_GB2312" w:eastAsia="仿宋_GB2312" w:cs="仿宋_GB2312"/>
          <w:sz w:val="32"/>
          <w:szCs w:val="32"/>
        </w:rPr>
        <w:t>%</w:t>
      </w:r>
      <w:r>
        <w:rPr>
          <w:rFonts w:hint="eastAsia" w:ascii="仿宋_GB2312" w:hAnsi="仿宋_GB2312" w:eastAsia="仿宋_GB2312" w:cs="仿宋_GB2312"/>
          <w:i/>
          <w:sz w:val="32"/>
          <w:szCs w:val="32"/>
        </w:rPr>
        <w:t>,</w:t>
      </w:r>
      <w:r>
        <w:rPr>
          <w:rFonts w:hint="eastAsia" w:ascii="仿宋_GB2312" w:hAnsi="仿宋_GB2312" w:eastAsia="仿宋_GB2312" w:cs="仿宋_GB2312"/>
          <w:sz w:val="32"/>
          <w:szCs w:val="32"/>
        </w:rPr>
        <w:t>主要包括基本工资、津贴补贴、绩效工资、</w:t>
      </w:r>
      <w:r>
        <w:rPr>
          <w:rFonts w:hint="eastAsia" w:ascii="Times New Roman" w:hAnsi="Times New Roman" w:eastAsia="仿宋_GB2312"/>
          <w:sz w:val="32"/>
          <w:szCs w:val="32"/>
        </w:rPr>
        <w:t>社会保险费、住房公积金、退休人员绩效和生活补助等。</w:t>
      </w:r>
    </w:p>
    <w:p w14:paraId="2BEA2CE4">
      <w:pPr>
        <w:pStyle w:val="13"/>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
          <w:bCs/>
          <w:sz w:val="32"/>
          <w:szCs w:val="32"/>
        </w:rPr>
        <w:t>公用经费</w:t>
      </w:r>
      <w:r>
        <w:rPr>
          <w:rFonts w:ascii="仿宋_GB2312" w:hAnsi="仿宋_GB2312" w:eastAsia="仿宋_GB2312" w:cs="仿宋_GB2312"/>
          <w:sz w:val="32"/>
          <w:szCs w:val="32"/>
        </w:rPr>
        <w:t>593.87</w:t>
      </w:r>
      <w:r>
        <w:rPr>
          <w:rFonts w:hint="eastAsia" w:ascii="仿宋_GB2312" w:hAnsi="仿宋_GB2312" w:eastAsia="仿宋_GB2312" w:cs="仿宋_GB2312"/>
          <w:sz w:val="32"/>
          <w:szCs w:val="32"/>
        </w:rPr>
        <w:t>万元，占基本支出的</w:t>
      </w:r>
      <w:r>
        <w:rPr>
          <w:rFonts w:ascii="仿宋_GB2312" w:hAnsi="仿宋_GB2312" w:eastAsia="仿宋_GB2312" w:cs="仿宋_GB2312"/>
          <w:sz w:val="32"/>
          <w:szCs w:val="32"/>
        </w:rPr>
        <w:t>30.82</w:t>
      </w:r>
      <w:r>
        <w:rPr>
          <w:rFonts w:hint="eastAsia" w:ascii="仿宋_GB2312" w:hAnsi="仿宋_GB2312" w:eastAsia="仿宋_GB2312" w:cs="仿宋_GB2312"/>
          <w:sz w:val="32"/>
          <w:szCs w:val="32"/>
        </w:rPr>
        <w:t>%，主要包括水费、电费、差旅费、专用材料费、福利费、工会经费、公务用车运行维护费等。</w:t>
      </w:r>
    </w:p>
    <w:p w14:paraId="6A9DD62B">
      <w:pPr>
        <w:pStyle w:val="13"/>
        <w:spacing w:line="600" w:lineRule="exact"/>
        <w:ind w:firstLine="640" w:firstLineChars="200"/>
        <w:rPr>
          <w:rFonts w:hAnsi="黑体"/>
          <w:bCs/>
          <w:sz w:val="32"/>
          <w:szCs w:val="32"/>
        </w:rPr>
      </w:pPr>
      <w:r>
        <w:rPr>
          <w:rFonts w:hint="eastAsia" w:hAnsi="黑体"/>
          <w:bCs/>
          <w:sz w:val="32"/>
          <w:szCs w:val="32"/>
        </w:rPr>
        <w:t>七、政府性基金预算收入支出决算情况</w:t>
      </w:r>
    </w:p>
    <w:p w14:paraId="60C668DC">
      <w:pPr>
        <w:pStyle w:val="13"/>
        <w:spacing w:line="600" w:lineRule="exact"/>
        <w:rPr>
          <w:rFonts w:ascii="仿宋_GB2312" w:hAnsi="仿宋_GB2312" w:eastAsia="仿宋_GB2312" w:cs="仿宋_GB2312"/>
          <w:b/>
          <w:bCs/>
          <w:i/>
          <w:color w:val="auto"/>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2023年度政府性基金预算财政拨款收入</w:t>
      </w:r>
      <w:r>
        <w:rPr>
          <w:rFonts w:ascii="仿宋_GB2312" w:hAnsi="仿宋_GB2312" w:eastAsia="仿宋_GB2312" w:cs="仿宋_GB2312"/>
          <w:sz w:val="32"/>
          <w:szCs w:val="32"/>
        </w:rPr>
        <w:t>105.9</w:t>
      </w:r>
      <w:r>
        <w:rPr>
          <w:rFonts w:hint="eastAsia" w:ascii="仿宋_GB2312" w:hAnsi="仿宋_GB2312" w:eastAsia="仿宋_GB2312" w:cs="仿宋_GB2312"/>
          <w:sz w:val="32"/>
          <w:szCs w:val="32"/>
        </w:rPr>
        <w:t>万元；年初结转和结余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万元；支出</w:t>
      </w:r>
      <w:r>
        <w:rPr>
          <w:rFonts w:ascii="仿宋_GB2312" w:hAnsi="仿宋_GB2312" w:eastAsia="仿宋_GB2312" w:cs="仿宋_GB2312"/>
          <w:sz w:val="32"/>
          <w:szCs w:val="32"/>
        </w:rPr>
        <w:t>105.9</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105.9</w:t>
      </w:r>
      <w:r>
        <w:rPr>
          <w:rFonts w:hint="eastAsia" w:ascii="仿宋_GB2312" w:hAnsi="仿宋_GB2312" w:eastAsia="仿宋_GB2312" w:cs="仿宋_GB2312"/>
          <w:sz w:val="32"/>
          <w:szCs w:val="32"/>
        </w:rPr>
        <w:t>万元；年末结转和结余</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万元。具体情况如下：</w:t>
      </w:r>
    </w:p>
    <w:p w14:paraId="74FD69A3">
      <w:pPr>
        <w:pStyle w:val="13"/>
        <w:spacing w:line="60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1、</w:t>
      </w:r>
      <w:r>
        <w:rPr>
          <w:rFonts w:hint="eastAsia" w:ascii="Times New Roman" w:hAnsi="Times New Roman" w:eastAsia="仿宋_GB2312"/>
          <w:sz w:val="32"/>
          <w:szCs w:val="32"/>
        </w:rPr>
        <w:t>其他支出（类）彩票公益金安排支出（款）用于社会福利的彩票公益金支出（项）。</w:t>
      </w:r>
    </w:p>
    <w:p w14:paraId="15639D67">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ascii="Times New Roman" w:hAnsi="Times New Roman" w:eastAsia="仿宋_GB2312"/>
          <w:sz w:val="32"/>
          <w:szCs w:val="32"/>
        </w:rPr>
        <w:t>105.9</w:t>
      </w:r>
      <w:r>
        <w:rPr>
          <w:rFonts w:hint="eastAsia" w:ascii="Times New Roman" w:hAnsi="Times New Roman" w:eastAsia="仿宋_GB2312"/>
          <w:sz w:val="32"/>
          <w:szCs w:val="32"/>
        </w:rPr>
        <w:t>万元，决算数大于年初预算数的主要原因是调整了年初预算。</w:t>
      </w:r>
    </w:p>
    <w:p w14:paraId="46342417">
      <w:pPr>
        <w:autoSpaceDE w:val="0"/>
        <w:autoSpaceDN w:val="0"/>
        <w:adjustRightInd w:val="0"/>
        <w:spacing w:line="600" w:lineRule="exact"/>
        <w:ind w:firstLine="640" w:firstLineChars="200"/>
        <w:rPr>
          <w:rFonts w:ascii="黑体" w:hAnsi="黑体" w:eastAsia="黑体" w:cs="黑体"/>
          <w:bCs/>
          <w:color w:val="000000"/>
          <w:kern w:val="0"/>
          <w:sz w:val="32"/>
          <w:szCs w:val="32"/>
        </w:rPr>
      </w:pPr>
      <w:r>
        <w:rPr>
          <w:rFonts w:hint="eastAsia" w:ascii="黑体" w:hAnsi="黑体" w:eastAsia="黑体" w:cs="黑体"/>
          <w:bCs/>
          <w:color w:val="000000"/>
          <w:kern w:val="0"/>
          <w:sz w:val="32"/>
          <w:szCs w:val="32"/>
        </w:rPr>
        <w:t>八、国有资本经营预算财政拨款支出决算情况</w:t>
      </w:r>
    </w:p>
    <w:p w14:paraId="6824110D">
      <w:pPr>
        <w:autoSpaceDE w:val="0"/>
        <w:autoSpaceDN w:val="0"/>
        <w:adjustRightInd w:val="0"/>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2023年度国有资本经营预算财政拨款收入0万元；年初结转和结余0万；支出0万元，其中：基本支出0万元，项目支出0万元；年末结转和结余0万元。我单位没有国有资本经营预算财政拨款支出与决算。</w:t>
      </w:r>
    </w:p>
    <w:p w14:paraId="26FB399E">
      <w:pPr>
        <w:pStyle w:val="13"/>
        <w:spacing w:line="600" w:lineRule="exact"/>
        <w:ind w:firstLine="640" w:firstLineChars="200"/>
        <w:rPr>
          <w:rFonts w:ascii="Times New Roman" w:hAnsi="Times New Roman" w:eastAsia="仿宋_GB2312"/>
          <w:b/>
          <w:sz w:val="32"/>
          <w:szCs w:val="32"/>
        </w:rPr>
      </w:pPr>
      <w:r>
        <w:rPr>
          <w:rFonts w:hint="eastAsia" w:hAnsi="黑体"/>
          <w:bCs/>
          <w:sz w:val="32"/>
          <w:szCs w:val="32"/>
        </w:rPr>
        <w:t>九、财政拨款三公经费支出决算情况说明</w:t>
      </w:r>
    </w:p>
    <w:p w14:paraId="0CFFF393">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14:paraId="55DC675B">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%，决算数等于预算数的主要原因是</w:t>
      </w:r>
      <w:r>
        <w:rPr>
          <w:rFonts w:hint="eastAsia" w:ascii="Times New Roman" w:hAnsi="Times New Roman" w:eastAsia="仿宋_GB2312"/>
          <w:sz w:val="32"/>
          <w:szCs w:val="32"/>
        </w:rPr>
        <w:t>我单位严格按预算执行决算</w:t>
      </w:r>
      <w:r>
        <w:rPr>
          <w:rFonts w:hint="eastAsia" w:ascii="仿宋_GB2312" w:hAnsi="仿宋_GB2312" w:eastAsia="仿宋_GB2312" w:cs="仿宋_GB2312"/>
          <w:sz w:val="32"/>
          <w:szCs w:val="32"/>
        </w:rPr>
        <w:t>，与上年相比减少3</w:t>
      </w:r>
      <w:r>
        <w:rPr>
          <w:rFonts w:ascii="仿宋_GB2312" w:hAnsi="仿宋_GB2312" w:eastAsia="仿宋_GB2312" w:cs="仿宋_GB2312"/>
          <w:sz w:val="32"/>
          <w:szCs w:val="32"/>
        </w:rPr>
        <w:t>.62</w:t>
      </w:r>
      <w:r>
        <w:rPr>
          <w:rFonts w:hint="eastAsia" w:ascii="仿宋_GB2312" w:hAnsi="仿宋_GB2312" w:eastAsia="仿宋_GB2312" w:cs="仿宋_GB2312"/>
          <w:sz w:val="32"/>
          <w:szCs w:val="32"/>
        </w:rPr>
        <w:t>万元，减少4</w:t>
      </w:r>
      <w:r>
        <w:rPr>
          <w:rFonts w:ascii="仿宋_GB2312" w:hAnsi="仿宋_GB2312" w:eastAsia="仿宋_GB2312" w:cs="仿宋_GB2312"/>
          <w:sz w:val="32"/>
          <w:szCs w:val="32"/>
        </w:rPr>
        <w:t>0.22</w:t>
      </w:r>
      <w:r>
        <w:rPr>
          <w:rFonts w:hint="eastAsia" w:ascii="仿宋_GB2312" w:hAnsi="仿宋_GB2312" w:eastAsia="仿宋_GB2312" w:cs="仿宋_GB2312"/>
          <w:sz w:val="32"/>
          <w:szCs w:val="32"/>
        </w:rPr>
        <w:t>%,减少的主要原因是本年度公车状况相对较好，公车运行维护费降低。其中：</w:t>
      </w:r>
    </w:p>
    <w:p w14:paraId="6A4E868D">
      <w:pPr>
        <w:autoSpaceDE w:val="0"/>
        <w:autoSpaceDN w:val="0"/>
        <w:adjustRightIn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因公出国（境）费支出预算为0万元，支出决算为0万元，决算数等于预算数，主要原因是我单位严格按预算执行决算；与上年一致，无增减变动，主要原因是未安排因公出国（境）活动。</w:t>
      </w:r>
    </w:p>
    <w:p w14:paraId="4CCEC364">
      <w:pPr>
        <w:autoSpaceDE w:val="0"/>
        <w:autoSpaceDN w:val="0"/>
        <w:adjustRightInd w:val="0"/>
        <w:spacing w:line="60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公务接待费支出预算为0万元，支出决算为0万元，决算数等于预算数，主要原因是严格执行中央八项规定；与上年一致，无增减变动，主要原因是按有关政策厉行节约，严控公务接待支出。  </w:t>
      </w:r>
    </w:p>
    <w:p w14:paraId="7CC776FB">
      <w:pPr>
        <w:autoSpaceDE w:val="0"/>
        <w:autoSpaceDN w:val="0"/>
        <w:adjustRightInd w:val="0"/>
        <w:spacing w:line="600" w:lineRule="exact"/>
        <w:ind w:firstLine="640" w:firstLineChars="200"/>
        <w:rPr>
          <w:rFonts w:ascii="仿宋_GB2312" w:hAnsi="仿宋_GB2312" w:eastAsia="仿宋_GB2312" w:cs="仿宋_GB2312"/>
          <w:bCs/>
          <w:color w:val="FF0000"/>
          <w:kern w:val="0"/>
          <w:sz w:val="32"/>
          <w:szCs w:val="32"/>
        </w:rPr>
      </w:pPr>
      <w:r>
        <w:rPr>
          <w:rFonts w:hint="eastAsia" w:ascii="仿宋_GB2312" w:hAnsi="仿宋_GB2312" w:eastAsia="仿宋_GB2312" w:cs="仿宋_GB2312"/>
          <w:color w:val="000000"/>
          <w:kern w:val="0"/>
          <w:sz w:val="32"/>
          <w:szCs w:val="32"/>
        </w:rPr>
        <w:t xml:space="preserve">公务用车购置费支出预算为0万元，支出决算为0万元，决算数等于预算数，主要原因是我单位严格按预算执行决算；与上年一致，无增减变动，主要原因是两年均未购置公务用车。 </w:t>
      </w:r>
      <w:r>
        <w:rPr>
          <w:rFonts w:hint="eastAsia" w:ascii="仿宋_GB2312" w:hAnsi="仿宋_GB2312" w:eastAsia="仿宋_GB2312" w:cs="仿宋_GB2312"/>
          <w:bCs/>
          <w:color w:val="FF0000"/>
          <w:kern w:val="0"/>
          <w:sz w:val="32"/>
          <w:szCs w:val="32"/>
        </w:rPr>
        <w:t xml:space="preserve"> </w:t>
      </w:r>
    </w:p>
    <w:p w14:paraId="617FC713">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万元，完成预算的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%，决算数等于预算数的主要原因是我单位严格执行预算，与上年相比减少</w:t>
      </w:r>
      <w:r>
        <w:rPr>
          <w:rFonts w:ascii="仿宋_GB2312" w:hAnsi="仿宋_GB2312" w:eastAsia="仿宋_GB2312" w:cs="仿宋_GB2312"/>
          <w:sz w:val="32"/>
          <w:szCs w:val="32"/>
        </w:rPr>
        <w:t>3.62</w:t>
      </w:r>
      <w:r>
        <w:rPr>
          <w:rFonts w:hint="eastAsia" w:ascii="仿宋_GB2312" w:hAnsi="仿宋_GB2312" w:eastAsia="仿宋_GB2312" w:cs="仿宋_GB2312"/>
          <w:sz w:val="32"/>
          <w:szCs w:val="32"/>
        </w:rPr>
        <w:t>万元，减少4</w:t>
      </w:r>
      <w:r>
        <w:rPr>
          <w:rFonts w:ascii="仿宋_GB2312" w:hAnsi="仿宋_GB2312" w:eastAsia="仿宋_GB2312" w:cs="仿宋_GB2312"/>
          <w:sz w:val="32"/>
          <w:szCs w:val="32"/>
        </w:rPr>
        <w:t>0.22</w:t>
      </w:r>
      <w:r>
        <w:rPr>
          <w:rFonts w:hint="eastAsia" w:ascii="仿宋_GB2312" w:hAnsi="仿宋_GB2312" w:eastAsia="仿宋_GB2312" w:cs="仿宋_GB2312"/>
          <w:sz w:val="32"/>
          <w:szCs w:val="32"/>
        </w:rPr>
        <w:t>%,减少的主要原因是本年度公车车况相对较好，公车运行维护费降低。</w:t>
      </w:r>
    </w:p>
    <w:p w14:paraId="49C56224">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14:paraId="3ED00B8D">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2023年度“三公”经费财政拨款支出决算中，公务接待费支出决算0万元，因公出国（境）费支出决算0万元，公务用车购置费及运行维护费支出决算</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%。其中：</w:t>
      </w:r>
    </w:p>
    <w:p w14:paraId="1188EBEA">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因公出国（境）费支出决算为0万元，全年安排因公出国（境）团组0个，累计0人次，我单位2023年度无因公出国（境）费支出。  </w:t>
      </w:r>
    </w:p>
    <w:p w14:paraId="5EA658AC">
      <w:pPr>
        <w:pStyle w:val="13"/>
        <w:spacing w:line="60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2、公务接待费支出决算为0万元，全年共接待来访团组0个、来宾0人次，我单位2023年度无公务接待费支出。</w:t>
      </w:r>
    </w:p>
    <w:p w14:paraId="239F2CF2">
      <w:pPr>
        <w:pStyle w:val="13"/>
        <w:spacing w:line="600" w:lineRule="exact"/>
        <w:ind w:firstLine="800" w:firstLineChars="250"/>
        <w:rPr>
          <w:rFonts w:ascii="仿宋_GB2312" w:hAnsi="仿宋_GB2312" w:eastAsia="仿宋_GB2312" w:cs="仿宋_GB2312"/>
          <w:b/>
          <w:bCs/>
          <w:i/>
          <w:sz w:val="32"/>
          <w:szCs w:val="32"/>
        </w:rPr>
      </w:pPr>
      <w:r>
        <w:rPr>
          <w:rFonts w:hint="eastAsia" w:ascii="仿宋_GB2312" w:hAnsi="仿宋_GB2312" w:eastAsia="仿宋_GB2312" w:cs="仿宋_GB2312"/>
          <w:sz w:val="32"/>
          <w:szCs w:val="32"/>
        </w:rPr>
        <w:t>3、公务用车购置费及运行维护费支出决算为</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万元，其中：公务用车购置费0万元，当年没有购置公务用车。公务用车运行维护费</w:t>
      </w:r>
      <w:r>
        <w:rPr>
          <w:rFonts w:ascii="仿宋_GB2312" w:hAnsi="仿宋_GB2312" w:eastAsia="仿宋_GB2312" w:cs="仿宋_GB2312"/>
          <w:sz w:val="32"/>
          <w:szCs w:val="32"/>
        </w:rPr>
        <w:t>5.38</w:t>
      </w:r>
      <w:r>
        <w:rPr>
          <w:rFonts w:hint="eastAsia" w:ascii="仿宋_GB2312" w:hAnsi="仿宋_GB2312" w:eastAsia="仿宋_GB2312" w:cs="仿宋_GB2312"/>
          <w:sz w:val="32"/>
          <w:szCs w:val="32"/>
        </w:rPr>
        <w:t>万元，主要是公务用车保险费、油料费、长途过路过桥费及车辆维保费用支出，截止2023年12月31日，我单位开支财政拨款的公务用车保有量为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辆。</w:t>
      </w:r>
    </w:p>
    <w:p w14:paraId="6A8A4E06">
      <w:pPr>
        <w:pStyle w:val="13"/>
        <w:spacing w:line="600" w:lineRule="exact"/>
        <w:ind w:firstLine="640" w:firstLineChars="200"/>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十、关于机关运行经费支出说明</w:t>
      </w:r>
    </w:p>
    <w:p w14:paraId="63CF2ED9">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本级和所属单位均为事业单位，按照机关运行经费的口径，本年度机关运行经费为0。</w:t>
      </w:r>
    </w:p>
    <w:p w14:paraId="7D4DC6AB">
      <w:pPr>
        <w:pStyle w:val="13"/>
        <w:spacing w:line="600" w:lineRule="exact"/>
        <w:ind w:firstLine="640" w:firstLineChars="200"/>
        <w:rPr>
          <w:rFonts w:hAnsi="黑体"/>
          <w:bCs/>
          <w:sz w:val="32"/>
          <w:szCs w:val="32"/>
        </w:rPr>
      </w:pPr>
      <w:r>
        <w:rPr>
          <w:rFonts w:hint="eastAsia" w:hAnsi="黑体"/>
          <w:bCs/>
          <w:sz w:val="32"/>
          <w:szCs w:val="32"/>
        </w:rPr>
        <w:t>十一、一般性支出情况说明</w:t>
      </w:r>
    </w:p>
    <w:p w14:paraId="192F4622">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2023年年度，本单位无会议费的预算和支出决算数。</w:t>
      </w:r>
    </w:p>
    <w:p w14:paraId="3D8B3405">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培训费年初预算</w:t>
      </w:r>
      <w:r>
        <w:rPr>
          <w:rFonts w:ascii="仿宋_GB2312" w:hAnsi="仿宋_GB2312" w:eastAsia="仿宋_GB2312" w:cs="仿宋_GB2312"/>
          <w:sz w:val="32"/>
          <w:szCs w:val="32"/>
        </w:rPr>
        <w:t>2.8</w:t>
      </w:r>
      <w:r>
        <w:rPr>
          <w:rFonts w:hint="eastAsia" w:ascii="仿宋_GB2312" w:hAnsi="仿宋_GB2312" w:eastAsia="仿宋_GB2312" w:cs="仿宋_GB2312"/>
          <w:sz w:val="32"/>
          <w:szCs w:val="32"/>
        </w:rPr>
        <w:t>万元，支出决算为</w:t>
      </w:r>
      <w:r>
        <w:rPr>
          <w:rFonts w:ascii="仿宋_GB2312" w:hAnsi="仿宋_GB2312" w:eastAsia="仿宋_GB2312" w:cs="仿宋_GB2312"/>
          <w:sz w:val="32"/>
          <w:szCs w:val="32"/>
        </w:rPr>
        <w:t>2.8</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%。用于开展精神卫生防治中心儿、少项目的培训，人数</w:t>
      </w:r>
      <w:r>
        <w:rPr>
          <w:rFonts w:ascii="仿宋_GB2312" w:hAnsi="仿宋_GB2312" w:eastAsia="仿宋_GB2312" w:cs="仿宋_GB2312"/>
          <w:sz w:val="32"/>
          <w:szCs w:val="32"/>
        </w:rPr>
        <w:t>5000</w:t>
      </w:r>
      <w:r>
        <w:rPr>
          <w:rFonts w:hint="eastAsia" w:ascii="仿宋_GB2312" w:hAnsi="仿宋_GB2312" w:eastAsia="仿宋_GB2312" w:cs="仿宋_GB2312"/>
          <w:sz w:val="32"/>
          <w:szCs w:val="32"/>
        </w:rPr>
        <w:t>人，内容为儿童、少年心理健康促进项目走进校园，共计9场培训。</w:t>
      </w:r>
    </w:p>
    <w:p w14:paraId="55FAE3D0">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本单位无举办节庆、晚会、论坛、赛事等活动的预算和支出决算数。</w:t>
      </w:r>
    </w:p>
    <w:p w14:paraId="099076C0">
      <w:pPr>
        <w:pStyle w:val="13"/>
        <w:spacing w:line="600" w:lineRule="exact"/>
        <w:ind w:firstLine="640" w:firstLineChars="200"/>
        <w:rPr>
          <w:rFonts w:hAnsi="黑体"/>
          <w:bCs/>
          <w:sz w:val="32"/>
          <w:szCs w:val="32"/>
        </w:rPr>
      </w:pPr>
      <w:r>
        <w:rPr>
          <w:rFonts w:hint="eastAsia" w:hAnsi="黑体"/>
          <w:bCs/>
          <w:sz w:val="32"/>
          <w:szCs w:val="32"/>
        </w:rPr>
        <w:t>十二、关于政府采购支出说明</w:t>
      </w:r>
    </w:p>
    <w:p w14:paraId="7FD33D66">
      <w:pPr>
        <w:pStyle w:val="13"/>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本部门2023年度政府采购支出总额803.24万元，其中：政府采购货物支出75.29万元、政府采购工程支出283.83万元、政府采购服务支出444.12万元。授予中小企业合同金额</w:t>
      </w:r>
      <w:r>
        <w:rPr>
          <w:rFonts w:ascii="仿宋_GB2312" w:hAnsi="仿宋_GB2312" w:eastAsia="仿宋_GB2312" w:cs="仿宋_GB2312"/>
          <w:sz w:val="32"/>
          <w:szCs w:val="32"/>
        </w:rPr>
        <w:t>781.61</w:t>
      </w:r>
      <w:r>
        <w:rPr>
          <w:rFonts w:hint="eastAsia" w:ascii="仿宋_GB2312" w:hAnsi="仿宋_GB2312" w:eastAsia="仿宋_GB2312" w:cs="仿宋_GB2312"/>
          <w:sz w:val="32"/>
          <w:szCs w:val="32"/>
        </w:rPr>
        <w:t>万元，占政府采购支出总额的</w:t>
      </w:r>
      <w:r>
        <w:rPr>
          <w:rFonts w:ascii="仿宋_GB2312" w:hAnsi="仿宋_GB2312" w:eastAsia="仿宋_GB2312" w:cs="仿宋_GB2312"/>
          <w:sz w:val="32"/>
          <w:szCs w:val="32"/>
        </w:rPr>
        <w:t>97.3</w:t>
      </w:r>
      <w:r>
        <w:rPr>
          <w:rFonts w:hint="eastAsia" w:ascii="仿宋_GB2312" w:hAnsi="仿宋_GB2312" w:eastAsia="仿宋_GB2312" w:cs="仿宋_GB2312"/>
          <w:sz w:val="32"/>
          <w:szCs w:val="32"/>
        </w:rPr>
        <w:t>%，其中：授予小微企业合同金额712.45万元，占授予中小微企业合同金额的91</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bookmarkStart w:id="1" w:name="_GoBack"/>
      <w:bookmarkEnd w:id="1"/>
      <w:r>
        <w:rPr>
          <w:rFonts w:hint="eastAsia" w:ascii="仿宋_GB2312" w:hAnsi="仿宋_GB2312" w:eastAsia="仿宋_GB2312" w:cs="仿宋_GB2312"/>
          <w:sz w:val="32"/>
          <w:szCs w:val="32"/>
        </w:rPr>
        <w:t>%。货物采购授予中小企业合同金额占货物支出金额的</w:t>
      </w:r>
      <w:r>
        <w:rPr>
          <w:rFonts w:ascii="仿宋_GB2312" w:hAnsi="仿宋_GB2312" w:eastAsia="仿宋_GB2312" w:cs="仿宋_GB2312"/>
          <w:sz w:val="32"/>
          <w:szCs w:val="32"/>
        </w:rPr>
        <w:t>99.8</w:t>
      </w:r>
      <w:r>
        <w:rPr>
          <w:rFonts w:hint="eastAsia" w:ascii="仿宋_GB2312" w:hAnsi="仿宋_GB2312" w:eastAsia="仿宋_GB2312" w:cs="仿宋_GB2312"/>
          <w:sz w:val="32"/>
          <w:szCs w:val="32"/>
        </w:rPr>
        <w:t>%，工程采购授予中小企业合同金额占工程支出金额的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%，服务采购授予中小企业合同金额占服务支出金额的</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w:t>
      </w:r>
    </w:p>
    <w:p w14:paraId="24435E39">
      <w:pPr>
        <w:pStyle w:val="13"/>
        <w:spacing w:line="580" w:lineRule="exact"/>
        <w:ind w:firstLine="640" w:firstLineChars="200"/>
        <w:rPr>
          <w:rFonts w:hAnsi="黑体"/>
          <w:bCs/>
          <w:color w:val="auto"/>
          <w:sz w:val="32"/>
          <w:szCs w:val="32"/>
        </w:rPr>
      </w:pPr>
      <w:r>
        <w:rPr>
          <w:rFonts w:hint="eastAsia" w:hAnsi="黑体"/>
          <w:bCs/>
          <w:color w:val="auto"/>
          <w:sz w:val="32"/>
          <w:szCs w:val="32"/>
        </w:rPr>
        <w:t>十三、关于国有资产占用情况说明</w:t>
      </w:r>
    </w:p>
    <w:p w14:paraId="3FEED08B">
      <w:pPr>
        <w:pStyle w:val="13"/>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截至2023年12月31日，部门（单位）共有车辆2辆，其中，副部（省）级及以上领导用车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辆、主要负责人用车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辆、机要通信用车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辆、应急保障用车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辆、执法执勤用车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辆、特种专业技术用车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辆、离退休干部服务用车</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辆、其他用车</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用于医疗单位配置使用</w:t>
      </w:r>
      <w:r>
        <w:rPr>
          <w:rFonts w:hint="eastAsia" w:ascii="仿宋_GB2312" w:hAnsi="仿宋_GB2312" w:eastAsia="仿宋_GB2312" w:cs="仿宋_GB2312"/>
          <w:color w:val="auto"/>
          <w:sz w:val="32"/>
          <w:szCs w:val="32"/>
        </w:rPr>
        <w:t>；单位价值100万元以上设备（不含车辆）</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台（套）。</w:t>
      </w:r>
    </w:p>
    <w:p w14:paraId="1D1254D9">
      <w:pPr>
        <w:pStyle w:val="13"/>
        <w:spacing w:line="580" w:lineRule="exact"/>
        <w:ind w:firstLine="640" w:firstLineChars="200"/>
        <w:rPr>
          <w:rFonts w:hAnsi="黑体"/>
          <w:bCs/>
          <w:color w:val="auto"/>
          <w:sz w:val="32"/>
          <w:szCs w:val="32"/>
        </w:rPr>
      </w:pPr>
      <w:r>
        <w:rPr>
          <w:rFonts w:hint="eastAsia" w:hAnsi="黑体"/>
          <w:bCs/>
          <w:color w:val="auto"/>
          <w:sz w:val="32"/>
          <w:szCs w:val="32"/>
        </w:rPr>
        <w:t>十四、关于</w:t>
      </w:r>
      <w:r>
        <w:rPr>
          <w:rFonts w:hint="eastAsia" w:ascii="Times New Roman" w:hAnsi="Times New Roman" w:eastAsia="仿宋_GB2312"/>
          <w:color w:val="auto"/>
          <w:sz w:val="32"/>
          <w:szCs w:val="32"/>
        </w:rPr>
        <w:t>2023</w:t>
      </w:r>
      <w:r>
        <w:rPr>
          <w:rFonts w:hint="eastAsia" w:hAnsi="黑体"/>
          <w:bCs/>
          <w:color w:val="auto"/>
          <w:sz w:val="32"/>
          <w:szCs w:val="32"/>
        </w:rPr>
        <w:t>年度预算绩效情况的说明</w:t>
      </w:r>
    </w:p>
    <w:p w14:paraId="7AC52194">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（一）绩效管理工作开展情况</w:t>
      </w:r>
    </w:p>
    <w:p w14:paraId="725B4028">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根据预算绩效管理要求，我们组织对2023年度整体支出和项目资金实施了全覆盖性的绩效评价，撰写了绩效自评报告。</w:t>
      </w:r>
    </w:p>
    <w:p w14:paraId="1EAE558D">
      <w:pPr>
        <w:autoSpaceDE w:val="0"/>
        <w:autoSpaceDN w:val="0"/>
        <w:adjustRightInd w:val="0"/>
        <w:spacing w:line="60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组织开展整体支出绩效评价，涉及一般公共预算支出</w:t>
      </w:r>
      <w:r>
        <w:rPr>
          <w:rFonts w:ascii="仿宋_GB2312" w:hAnsi="仿宋_GB2312" w:eastAsia="仿宋_GB2312" w:cs="仿宋_GB2312"/>
          <w:color w:val="000000"/>
          <w:kern w:val="0"/>
          <w:sz w:val="32"/>
          <w:szCs w:val="32"/>
        </w:rPr>
        <w:t>1926.81</w:t>
      </w:r>
      <w:r>
        <w:rPr>
          <w:rFonts w:hint="eastAsia" w:ascii="仿宋_GB2312" w:hAnsi="仿宋_GB2312" w:eastAsia="仿宋_GB2312" w:cs="仿宋_GB2312"/>
          <w:color w:val="000000"/>
          <w:kern w:val="0"/>
          <w:sz w:val="32"/>
          <w:szCs w:val="32"/>
        </w:rPr>
        <w:t>万元，政府性基金预算支出</w:t>
      </w:r>
      <w:r>
        <w:rPr>
          <w:rFonts w:ascii="仿宋_GB2312" w:hAnsi="仿宋_GB2312" w:eastAsia="仿宋_GB2312" w:cs="仿宋_GB2312"/>
          <w:color w:val="000000"/>
          <w:kern w:val="0"/>
          <w:sz w:val="32"/>
          <w:szCs w:val="32"/>
        </w:rPr>
        <w:t>105.9</w:t>
      </w:r>
      <w:r>
        <w:rPr>
          <w:rFonts w:hint="eastAsia" w:ascii="仿宋_GB2312" w:hAnsi="仿宋_GB2312" w:eastAsia="仿宋_GB2312" w:cs="仿宋_GB2312"/>
          <w:color w:val="000000"/>
          <w:kern w:val="0"/>
          <w:sz w:val="32"/>
          <w:szCs w:val="32"/>
        </w:rPr>
        <w:t>万元，国有资本经营预算支出</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万元。从评价情况来看，整体支出绩效评价中，2023年整体支出</w:t>
      </w:r>
      <w:r>
        <w:rPr>
          <w:rFonts w:ascii="仿宋_GB2312" w:hAnsi="仿宋_GB2312" w:eastAsia="仿宋_GB2312" w:cs="仿宋_GB2312"/>
          <w:color w:val="000000"/>
          <w:kern w:val="0"/>
          <w:sz w:val="32"/>
          <w:szCs w:val="32"/>
        </w:rPr>
        <w:t>2032.71</w:t>
      </w:r>
      <w:r>
        <w:rPr>
          <w:rFonts w:hint="eastAsia" w:ascii="仿宋_GB2312" w:hAnsi="仿宋_GB2312" w:eastAsia="仿宋_GB2312" w:cs="仿宋_GB2312"/>
          <w:color w:val="000000"/>
          <w:kern w:val="0"/>
          <w:sz w:val="32"/>
          <w:szCs w:val="32"/>
        </w:rPr>
        <w:t>万元，其中：基本支出</w:t>
      </w:r>
      <w:r>
        <w:rPr>
          <w:rFonts w:ascii="仿宋_GB2312" w:hAnsi="仿宋_GB2312" w:eastAsia="仿宋_GB2312" w:cs="仿宋_GB2312"/>
          <w:color w:val="000000"/>
          <w:kern w:val="0"/>
          <w:sz w:val="32"/>
          <w:szCs w:val="32"/>
        </w:rPr>
        <w:t>1566.81</w:t>
      </w:r>
      <w:r>
        <w:rPr>
          <w:rFonts w:hint="eastAsia" w:ascii="仿宋_GB2312" w:hAnsi="仿宋_GB2312" w:eastAsia="仿宋_GB2312" w:cs="仿宋_GB2312"/>
          <w:color w:val="000000"/>
          <w:kern w:val="0"/>
          <w:sz w:val="32"/>
          <w:szCs w:val="32"/>
        </w:rPr>
        <w:t>万元，项目支出</w:t>
      </w:r>
      <w:r>
        <w:rPr>
          <w:rFonts w:ascii="仿宋_GB2312" w:hAnsi="仿宋_GB2312" w:eastAsia="仿宋_GB2312" w:cs="仿宋_GB2312"/>
          <w:color w:val="000000"/>
          <w:kern w:val="0"/>
          <w:sz w:val="32"/>
          <w:szCs w:val="32"/>
        </w:rPr>
        <w:t>465.9</w:t>
      </w:r>
      <w:r>
        <w:rPr>
          <w:rFonts w:hint="eastAsia" w:ascii="仿宋_GB2312" w:hAnsi="仿宋_GB2312" w:eastAsia="仿宋_GB2312" w:cs="仿宋_GB2312"/>
          <w:color w:val="000000"/>
          <w:kern w:val="0"/>
          <w:sz w:val="32"/>
          <w:szCs w:val="32"/>
        </w:rPr>
        <w:t>万元，本单位整体支出绩效自评综合评分</w:t>
      </w:r>
      <w:r>
        <w:rPr>
          <w:rFonts w:ascii="仿宋_GB2312" w:hAnsi="仿宋_GB2312" w:eastAsia="仿宋_GB2312" w:cs="仿宋_GB2312"/>
          <w:color w:val="000000"/>
          <w:kern w:val="0"/>
          <w:sz w:val="32"/>
          <w:szCs w:val="32"/>
        </w:rPr>
        <w:t>99.43%</w:t>
      </w:r>
      <w:r>
        <w:rPr>
          <w:rFonts w:hint="eastAsia" w:ascii="仿宋_GB2312" w:hAnsi="仿宋_GB2312" w:eastAsia="仿宋_GB2312" w:cs="仿宋_GB2312"/>
          <w:color w:val="000000"/>
          <w:kern w:val="0"/>
          <w:sz w:val="32"/>
          <w:szCs w:val="32"/>
        </w:rPr>
        <w:t>分，评价结果等次为</w:t>
      </w:r>
      <w:r>
        <w:rPr>
          <w:rFonts w:ascii="仿宋_GB2312" w:hAnsi="仿宋_GB2312" w:eastAsia="仿宋_GB2312" w:cs="仿宋_GB2312"/>
          <w:color w:val="000000"/>
          <w:kern w:val="0"/>
          <w:sz w:val="32"/>
          <w:szCs w:val="32"/>
        </w:rPr>
        <w:t>A</w:t>
      </w:r>
      <w:r>
        <w:rPr>
          <w:rFonts w:hint="eastAsia" w:ascii="仿宋_GB2312" w:hAnsi="仿宋_GB2312" w:eastAsia="仿宋_GB2312" w:cs="仿宋_GB2312"/>
          <w:color w:val="000000"/>
          <w:kern w:val="0"/>
          <w:sz w:val="32"/>
          <w:szCs w:val="32"/>
        </w:rPr>
        <w:t>。</w:t>
      </w:r>
    </w:p>
    <w:p w14:paraId="68D2C784">
      <w:pPr>
        <w:autoSpaceDE w:val="0"/>
        <w:autoSpaceDN w:val="0"/>
        <w:adjustRightInd w:val="0"/>
        <w:spacing w:line="600" w:lineRule="exact"/>
        <w:ind w:firstLine="640" w:firstLineChars="200"/>
        <w:jc w:val="left"/>
        <w:rPr>
          <w:rFonts w:ascii="仿宋_GB2312" w:hAnsi="仿宋_GB2312" w:eastAsia="仿宋_GB2312" w:cs="仿宋_GB2312"/>
          <w:b/>
          <w:bCs/>
          <w:sz w:val="32"/>
          <w:szCs w:val="32"/>
        </w:rPr>
      </w:pPr>
      <w:r>
        <w:rPr>
          <w:rFonts w:hint="eastAsia" w:ascii="仿宋_GB2312" w:hAnsi="仿宋_GB2312" w:eastAsia="仿宋_GB2312" w:cs="仿宋_GB2312"/>
          <w:color w:val="000000"/>
          <w:kern w:val="0"/>
          <w:sz w:val="32"/>
          <w:szCs w:val="32"/>
        </w:rPr>
        <w:t>组织对一般公共预算项目支出全面开展绩效自评，项目</w:t>
      </w: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个，共涉及资金</w:t>
      </w:r>
      <w:r>
        <w:rPr>
          <w:rFonts w:ascii="仿宋_GB2312" w:hAnsi="仿宋_GB2312" w:eastAsia="仿宋_GB2312" w:cs="仿宋_GB2312"/>
          <w:color w:val="000000"/>
          <w:kern w:val="0"/>
          <w:sz w:val="32"/>
          <w:szCs w:val="32"/>
        </w:rPr>
        <w:t>360</w:t>
      </w:r>
      <w:r>
        <w:rPr>
          <w:rFonts w:hint="eastAsia" w:ascii="仿宋_GB2312" w:hAnsi="仿宋_GB2312" w:eastAsia="仿宋_GB2312" w:cs="仿宋_GB2312"/>
          <w:color w:val="000000"/>
          <w:kern w:val="0"/>
          <w:sz w:val="32"/>
          <w:szCs w:val="32"/>
        </w:rPr>
        <w:t>万元，占一般公共预算项目支出总额的</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%。组织对政府性基金预算项目支出开展绩效自评，项目</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个，共涉及资金</w:t>
      </w:r>
      <w:r>
        <w:rPr>
          <w:rFonts w:ascii="仿宋_GB2312" w:hAnsi="仿宋_GB2312" w:eastAsia="仿宋_GB2312" w:cs="仿宋_GB2312"/>
          <w:color w:val="000000"/>
          <w:kern w:val="0"/>
          <w:sz w:val="32"/>
          <w:szCs w:val="32"/>
        </w:rPr>
        <w:t>105.9</w:t>
      </w:r>
      <w:r>
        <w:rPr>
          <w:rFonts w:hint="eastAsia" w:ascii="仿宋_GB2312" w:hAnsi="仿宋_GB2312" w:eastAsia="仿宋_GB2312" w:cs="仿宋_GB2312"/>
          <w:color w:val="000000"/>
          <w:kern w:val="0"/>
          <w:sz w:val="32"/>
          <w:szCs w:val="32"/>
        </w:rPr>
        <w:t xml:space="preserve"> 万元，占政府性基金预算项目支出总额的</w:t>
      </w:r>
      <w:r>
        <w:rPr>
          <w:rFonts w:ascii="仿宋_GB2312" w:hAnsi="仿宋_GB2312" w:eastAsia="仿宋_GB2312" w:cs="仿宋_GB2312"/>
          <w:color w:val="000000"/>
          <w:kern w:val="0"/>
          <w:sz w:val="32"/>
          <w:szCs w:val="32"/>
        </w:rPr>
        <w:t>100</w:t>
      </w:r>
      <w:r>
        <w:rPr>
          <w:rFonts w:hint="eastAsia" w:ascii="仿宋_GB2312" w:hAnsi="仿宋_GB2312" w:eastAsia="仿宋_GB2312" w:cs="仿宋_GB2312"/>
          <w:color w:val="000000"/>
          <w:kern w:val="0"/>
          <w:sz w:val="32"/>
          <w:szCs w:val="32"/>
        </w:rPr>
        <w:t>%。组织对国有资本经营预算项目支出开展绩效自评，项目</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个，共涉及资金</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万元，占国有资本经营预算项目支出总额的</w:t>
      </w:r>
      <w:r>
        <w:rPr>
          <w:rFonts w:ascii="仿宋_GB2312" w:hAnsi="仿宋_GB2312" w:eastAsia="仿宋_GB2312" w:cs="仿宋_GB2312"/>
          <w:color w:val="000000"/>
          <w:kern w:val="0"/>
          <w:sz w:val="32"/>
          <w:szCs w:val="32"/>
        </w:rPr>
        <w:t>0</w:t>
      </w:r>
      <w:r>
        <w:rPr>
          <w:rFonts w:hint="eastAsia" w:ascii="仿宋_GB2312" w:hAnsi="仿宋_GB2312" w:eastAsia="仿宋_GB2312" w:cs="仿宋_GB2312"/>
          <w:color w:val="000000"/>
          <w:kern w:val="0"/>
          <w:sz w:val="32"/>
          <w:szCs w:val="32"/>
        </w:rPr>
        <w:t>%。从评价情况来看，项目绩效自评得分</w:t>
      </w:r>
      <w:r>
        <w:rPr>
          <w:rFonts w:ascii="仿宋_GB2312" w:hAnsi="仿宋_GB2312" w:eastAsia="仿宋_GB2312" w:cs="仿宋_GB2312"/>
          <w:color w:val="000000"/>
          <w:kern w:val="0"/>
          <w:sz w:val="32"/>
          <w:szCs w:val="32"/>
        </w:rPr>
        <w:t>100</w:t>
      </w:r>
      <w:r>
        <w:rPr>
          <w:rFonts w:hint="eastAsia" w:ascii="仿宋_GB2312" w:hAnsi="仿宋_GB2312" w:eastAsia="仿宋_GB2312" w:cs="仿宋_GB2312"/>
          <w:color w:val="000000"/>
          <w:kern w:val="0"/>
          <w:sz w:val="32"/>
          <w:szCs w:val="32"/>
        </w:rPr>
        <w:t>分，评价结果等次为</w:t>
      </w:r>
      <w:r>
        <w:rPr>
          <w:rFonts w:ascii="仿宋_GB2312" w:hAnsi="仿宋_GB2312" w:eastAsia="仿宋_GB2312" w:cs="仿宋_GB2312"/>
          <w:color w:val="000000"/>
          <w:kern w:val="0"/>
          <w:sz w:val="32"/>
          <w:szCs w:val="32"/>
        </w:rPr>
        <w:t>A</w:t>
      </w:r>
      <w:r>
        <w:rPr>
          <w:rFonts w:hint="eastAsia" w:ascii="仿宋_GB2312" w:hAnsi="仿宋_GB2312" w:eastAsia="仿宋_GB2312" w:cs="仿宋_GB2312"/>
          <w:color w:val="000000"/>
          <w:kern w:val="0"/>
          <w:sz w:val="32"/>
          <w:szCs w:val="32"/>
        </w:rPr>
        <w:t>。</w:t>
      </w:r>
    </w:p>
    <w:p w14:paraId="30679E8A">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（二）部门（单位）整体支出绩效情况</w:t>
      </w:r>
    </w:p>
    <w:p w14:paraId="070CB2B7">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根据年初设定的绩效目标，绩效自评得分为</w:t>
      </w:r>
      <w:r>
        <w:rPr>
          <w:rFonts w:ascii="仿宋_GB2312" w:hAnsi="仿宋_GB2312" w:eastAsia="仿宋_GB2312" w:cs="仿宋_GB2312"/>
          <w:color w:val="000000"/>
          <w:kern w:val="0"/>
          <w:sz w:val="32"/>
          <w:szCs w:val="32"/>
        </w:rPr>
        <w:t>9.94</w:t>
      </w:r>
      <w:r>
        <w:rPr>
          <w:rFonts w:hint="eastAsia" w:ascii="仿宋_GB2312" w:hAnsi="仿宋_GB2312" w:eastAsia="仿宋_GB2312" w:cs="仿宋_GB2312"/>
          <w:color w:val="000000"/>
          <w:kern w:val="0"/>
          <w:sz w:val="32"/>
          <w:szCs w:val="32"/>
        </w:rPr>
        <w:t xml:space="preserve"> 分。全年预算数为</w:t>
      </w:r>
      <w:r>
        <w:rPr>
          <w:rFonts w:ascii="仿宋_GB2312" w:hAnsi="仿宋_GB2312" w:eastAsia="仿宋_GB2312" w:cs="仿宋_GB2312"/>
          <w:color w:val="000000"/>
          <w:kern w:val="0"/>
          <w:sz w:val="32"/>
          <w:szCs w:val="32"/>
        </w:rPr>
        <w:t>2044.25</w:t>
      </w:r>
      <w:r>
        <w:rPr>
          <w:rFonts w:hint="eastAsia" w:ascii="仿宋_GB2312" w:hAnsi="仿宋_GB2312" w:eastAsia="仿宋_GB2312" w:cs="仿宋_GB2312"/>
          <w:color w:val="000000"/>
          <w:kern w:val="0"/>
          <w:sz w:val="32"/>
          <w:szCs w:val="32"/>
        </w:rPr>
        <w:t>万元，执行数为</w:t>
      </w:r>
      <w:r>
        <w:rPr>
          <w:rFonts w:ascii="仿宋_GB2312" w:hAnsi="仿宋_GB2312" w:eastAsia="仿宋_GB2312" w:cs="仿宋_GB2312"/>
          <w:color w:val="000000"/>
          <w:kern w:val="0"/>
          <w:sz w:val="32"/>
          <w:szCs w:val="32"/>
        </w:rPr>
        <w:t>2032.71</w:t>
      </w:r>
      <w:r>
        <w:rPr>
          <w:rFonts w:hint="eastAsia" w:ascii="仿宋_GB2312" w:hAnsi="仿宋_GB2312" w:eastAsia="仿宋_GB2312" w:cs="仿宋_GB2312"/>
          <w:color w:val="000000"/>
          <w:kern w:val="0"/>
          <w:sz w:val="32"/>
          <w:szCs w:val="32"/>
        </w:rPr>
        <w:t>万元，完成预算的</w:t>
      </w:r>
      <w:r>
        <w:rPr>
          <w:rFonts w:ascii="仿宋_GB2312" w:hAnsi="仿宋_GB2312" w:eastAsia="仿宋_GB2312" w:cs="仿宋_GB2312"/>
          <w:color w:val="000000"/>
          <w:kern w:val="0"/>
          <w:sz w:val="32"/>
          <w:szCs w:val="32"/>
        </w:rPr>
        <w:t>99.43</w:t>
      </w:r>
      <w:r>
        <w:rPr>
          <w:rFonts w:hint="eastAsia" w:ascii="仿宋_GB2312" w:hAnsi="仿宋_GB2312" w:eastAsia="仿宋_GB2312" w:cs="仿宋_GB2312"/>
          <w:color w:val="000000"/>
          <w:kern w:val="0"/>
          <w:sz w:val="32"/>
          <w:szCs w:val="32"/>
        </w:rPr>
        <w:t>%。</w:t>
      </w:r>
    </w:p>
    <w:p w14:paraId="7A7F87F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我院从编制预算开始全流程绩效监控，包括绩效目标制定、实施、监控、动态跟踪等管理活动，资金使用严格按照“谁支出、谁负责”的原则，对照绩效目标进行各类业务活动。20</w:t>
      </w:r>
      <w:r>
        <w:rPr>
          <w:rFonts w:ascii="仿宋_GB2312" w:hAnsi="仿宋_GB2312" w:eastAsia="仿宋_GB2312" w:cs="仿宋_GB2312"/>
          <w:sz w:val="32"/>
          <w:szCs w:val="32"/>
        </w:rPr>
        <w:t>23年年初</w:t>
      </w:r>
      <w:r>
        <w:rPr>
          <w:rFonts w:hint="eastAsia" w:ascii="仿宋_GB2312" w:hAnsi="仿宋_GB2312" w:eastAsia="仿宋_GB2312" w:cs="仿宋_GB2312"/>
          <w:sz w:val="32"/>
          <w:szCs w:val="32"/>
        </w:rPr>
        <w:t>财政批复我院</w:t>
      </w:r>
      <w:r>
        <w:rPr>
          <w:rFonts w:ascii="仿宋_GB2312" w:hAnsi="仿宋_GB2312" w:eastAsia="仿宋_GB2312" w:cs="仿宋_GB2312"/>
          <w:sz w:val="32"/>
          <w:szCs w:val="32"/>
        </w:rPr>
        <w:t>一般公共预算</w:t>
      </w:r>
      <w:r>
        <w:rPr>
          <w:rFonts w:hint="eastAsia" w:ascii="仿宋_GB2312" w:hAnsi="仿宋_GB2312" w:eastAsia="仿宋_GB2312" w:cs="仿宋_GB2312"/>
          <w:sz w:val="32"/>
          <w:szCs w:val="32"/>
        </w:rPr>
        <w:t>预算拨款收入</w:t>
      </w:r>
      <w:r>
        <w:rPr>
          <w:rFonts w:ascii="仿宋_GB2312" w:hAnsi="仿宋_GB2312" w:eastAsia="仿宋_GB2312" w:cs="仿宋_GB2312"/>
          <w:sz w:val="32"/>
          <w:szCs w:val="32"/>
        </w:rPr>
        <w:t>1667.76</w:t>
      </w:r>
      <w:r>
        <w:rPr>
          <w:rFonts w:hint="eastAsia" w:ascii="仿宋_GB2312" w:hAnsi="仿宋_GB2312" w:eastAsia="仿宋_GB2312" w:cs="仿宋_GB2312"/>
          <w:sz w:val="32"/>
          <w:szCs w:val="32"/>
        </w:rPr>
        <w:t>万元，其中包含人员类项目支出：1</w:t>
      </w:r>
      <w:r>
        <w:rPr>
          <w:rFonts w:ascii="仿宋_GB2312" w:hAnsi="仿宋_GB2312" w:eastAsia="仿宋_GB2312" w:cs="仿宋_GB2312"/>
          <w:sz w:val="32"/>
          <w:szCs w:val="32"/>
        </w:rPr>
        <w:t>176.49万元</w:t>
      </w:r>
      <w:r>
        <w:rPr>
          <w:rFonts w:hint="eastAsia" w:ascii="仿宋_GB2312" w:hAnsi="仿宋_GB2312" w:eastAsia="仿宋_GB2312" w:cs="仿宋_GB2312"/>
          <w:sz w:val="32"/>
          <w:szCs w:val="32"/>
        </w:rPr>
        <w:t>，公用运转类项目支出：5</w:t>
      </w:r>
      <w:r>
        <w:rPr>
          <w:rFonts w:ascii="仿宋_GB2312" w:hAnsi="仿宋_GB2312" w:eastAsia="仿宋_GB2312" w:cs="仿宋_GB2312"/>
          <w:sz w:val="32"/>
          <w:szCs w:val="32"/>
        </w:rPr>
        <w:t>6.57万元，其他运转类项目支出：</w:t>
      </w:r>
      <w:r>
        <w:rPr>
          <w:rFonts w:hint="eastAsia" w:ascii="仿宋_GB2312" w:hAnsi="仿宋_GB2312" w:eastAsia="仿宋_GB2312" w:cs="仿宋_GB2312"/>
          <w:sz w:val="32"/>
          <w:szCs w:val="32"/>
        </w:rPr>
        <w:t>7</w:t>
      </w:r>
      <w:r>
        <w:rPr>
          <w:rFonts w:ascii="仿宋_GB2312" w:hAnsi="仿宋_GB2312" w:eastAsia="仿宋_GB2312" w:cs="仿宋_GB2312"/>
          <w:sz w:val="32"/>
          <w:szCs w:val="32"/>
        </w:rPr>
        <w:t>4.7万元</w:t>
      </w:r>
      <w:r>
        <w:rPr>
          <w:rFonts w:hint="eastAsia" w:ascii="仿宋_GB2312" w:hAnsi="仿宋_GB2312" w:eastAsia="仿宋_GB2312" w:cs="仿宋_GB2312"/>
          <w:sz w:val="32"/>
          <w:szCs w:val="32"/>
        </w:rPr>
        <w:t>，特定项目经费</w:t>
      </w:r>
      <w:r>
        <w:rPr>
          <w:rFonts w:ascii="仿宋_GB2312" w:hAnsi="仿宋_GB2312" w:eastAsia="仿宋_GB2312" w:cs="仿宋_GB2312"/>
          <w:sz w:val="32"/>
          <w:szCs w:val="32"/>
        </w:rPr>
        <w:t>360</w:t>
      </w:r>
      <w:r>
        <w:rPr>
          <w:rFonts w:hint="eastAsia" w:ascii="仿宋_GB2312" w:hAnsi="仿宋_GB2312" w:eastAsia="仿宋_GB2312" w:cs="仿宋_GB2312"/>
          <w:sz w:val="32"/>
          <w:szCs w:val="32"/>
        </w:rPr>
        <w:t>万元；上年结转指标8</w:t>
      </w:r>
      <w:r>
        <w:rPr>
          <w:rFonts w:ascii="仿宋_GB2312" w:hAnsi="仿宋_GB2312" w:eastAsia="仿宋_GB2312" w:cs="仿宋_GB2312"/>
          <w:sz w:val="32"/>
          <w:szCs w:val="32"/>
        </w:rPr>
        <w:t>6.92万元</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市级一般公共预算</w:t>
      </w:r>
      <w:r>
        <w:rPr>
          <w:rFonts w:hint="eastAsia" w:ascii="仿宋_GB2312" w:hAnsi="仿宋_GB2312" w:eastAsia="仿宋_GB2312" w:cs="仿宋_GB2312"/>
          <w:sz w:val="32"/>
          <w:szCs w:val="32"/>
        </w:rPr>
        <w:t>追加指标</w:t>
      </w:r>
      <w:r>
        <w:rPr>
          <w:rFonts w:ascii="仿宋_GB2312" w:hAnsi="仿宋_GB2312" w:eastAsia="仿宋_GB2312" w:cs="仿宋_GB2312"/>
          <w:sz w:val="32"/>
          <w:szCs w:val="32"/>
        </w:rPr>
        <w:t>183.67</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政府性基金支出105.9万元</w:t>
      </w:r>
      <w:r>
        <w:rPr>
          <w:rFonts w:hint="eastAsia" w:ascii="仿宋_GB2312" w:hAnsi="仿宋_GB2312" w:eastAsia="仿宋_GB2312" w:cs="仿宋_GB2312"/>
          <w:sz w:val="32"/>
          <w:szCs w:val="32"/>
        </w:rPr>
        <w:t>；全年预算总数为：</w:t>
      </w:r>
      <w:r>
        <w:rPr>
          <w:rFonts w:ascii="仿宋_GB2312" w:hAnsi="仿宋_GB2312" w:eastAsia="仿宋_GB2312" w:cs="仿宋_GB2312"/>
          <w:sz w:val="32"/>
          <w:szCs w:val="32"/>
        </w:rPr>
        <w:t>2044.25万元。</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023年</w:t>
      </w:r>
      <w:r>
        <w:rPr>
          <w:rFonts w:hint="eastAsia" w:ascii="仿宋_GB2312" w:hAnsi="仿宋_GB2312" w:eastAsia="仿宋_GB2312" w:cs="仿宋_GB2312"/>
          <w:sz w:val="32"/>
          <w:szCs w:val="32"/>
        </w:rPr>
        <w:t>全年完成市级预算指标整体支付</w:t>
      </w:r>
      <w:r>
        <w:rPr>
          <w:rFonts w:ascii="仿宋_GB2312" w:hAnsi="仿宋_GB2312" w:eastAsia="仿宋_GB2312" w:cs="仿宋_GB2312"/>
          <w:sz w:val="32"/>
          <w:szCs w:val="32"/>
        </w:rPr>
        <w:t>2032.71</w:t>
      </w:r>
      <w:r>
        <w:rPr>
          <w:rFonts w:hint="eastAsia" w:ascii="仿宋_GB2312" w:hAnsi="仿宋_GB2312" w:eastAsia="仿宋_GB2312" w:cs="仿宋_GB2312"/>
          <w:sz w:val="32"/>
          <w:szCs w:val="32"/>
        </w:rPr>
        <w:t>万元，整体支付执行率为：</w:t>
      </w:r>
      <w:r>
        <w:rPr>
          <w:rFonts w:ascii="仿宋_GB2312" w:hAnsi="仿宋_GB2312" w:eastAsia="仿宋_GB2312" w:cs="仿宋_GB2312"/>
          <w:sz w:val="32"/>
          <w:szCs w:val="32"/>
        </w:rPr>
        <w:t>99.43%。部门整体支出</w:t>
      </w:r>
      <w:r>
        <w:rPr>
          <w:rFonts w:hint="eastAsia" w:ascii="仿宋_GB2312" w:hAnsi="仿宋_GB2312" w:eastAsia="仿宋_GB2312" w:cs="仿宋_GB2312"/>
          <w:sz w:val="32"/>
          <w:szCs w:val="32"/>
        </w:rPr>
        <w:t>确保了各项工作有序开展，保证医疗业务活动开展正常有序进行，严格按目标进度完成各项业务活动。</w:t>
      </w:r>
    </w:p>
    <w:p w14:paraId="15749CB9">
      <w:pPr>
        <w:pStyle w:val="13"/>
        <w:spacing w:line="58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（三）存在的问题及原因分析</w:t>
      </w:r>
    </w:p>
    <w:p w14:paraId="5432099A">
      <w:pPr>
        <w:spacing w:line="480" w:lineRule="auto"/>
        <w:ind w:firstLine="598" w:firstLineChars="187"/>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绩效目标完成情况：一是基本完成全年安全生产；二是完成医疗业务收入7200万元的目标，接诊门诊病人60000人次，收治住院病人2400人，办理出院2400人次，完成全年美沙酮接待患者次数2500次的目标；三是已完成困难精神病患者、肇事肇祸精神病患者、流浪精神病患者的治疗和救助目标，完成了复员退伍军人精神病人、优抚病人的收治和诊疗任务；四是已完成岳阳市精神卫生中心的全年工作任务；五是已按质、按量、按时及按绩效目标完成各专项资金支出项目。</w:t>
      </w:r>
    </w:p>
    <w:p w14:paraId="41575CF2">
      <w:pPr>
        <w:spacing w:line="480" w:lineRule="auto"/>
        <w:ind w:firstLine="598" w:firstLineChars="187"/>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发现的主要问题及原因：一是</w:t>
      </w:r>
      <w:r>
        <w:rPr>
          <w:rFonts w:hint="eastAsia" w:ascii="仿宋_GB2312" w:hAnsi="仿宋_GB2312" w:eastAsia="仿宋_GB2312" w:cs="仿宋_GB2312"/>
          <w:sz w:val="32"/>
          <w:szCs w:val="32"/>
        </w:rPr>
        <w:t>资金使用评价存在短板，事后评价机制不够完善，采买只管资金是否拨付，未跟踪资金的使用效益</w:t>
      </w:r>
      <w:r>
        <w:rPr>
          <w:rFonts w:hint="eastAsia" w:ascii="仿宋_GB2312" w:hAnsi="仿宋_GB2312" w:eastAsia="仿宋_GB2312" w:cs="仿宋_GB2312"/>
          <w:color w:val="000000"/>
          <w:kern w:val="0"/>
          <w:sz w:val="32"/>
          <w:szCs w:val="32"/>
        </w:rPr>
        <w:t>；二是</w:t>
      </w:r>
      <w:r>
        <w:rPr>
          <w:rFonts w:hint="eastAsia" w:ascii="仿宋_GB2312" w:hAnsi="仿宋_GB2312" w:eastAsia="仿宋_GB2312" w:cs="仿宋_GB2312"/>
          <w:sz w:val="32"/>
          <w:szCs w:val="32"/>
        </w:rPr>
        <w:t>预算不精准，不能严格按照计划使用资金，预算管理粗放；三是资源使用配置不当等原因造成成本控制不利</w:t>
      </w:r>
      <w:r>
        <w:rPr>
          <w:rFonts w:hint="eastAsia" w:ascii="仿宋_GB2312" w:hAnsi="仿宋_GB2312" w:eastAsia="仿宋_GB2312" w:cs="仿宋_GB2312"/>
          <w:color w:val="000000"/>
          <w:kern w:val="0"/>
          <w:sz w:val="32"/>
          <w:szCs w:val="32"/>
        </w:rPr>
        <w:t>；四是</w:t>
      </w:r>
      <w:r>
        <w:rPr>
          <w:rFonts w:hint="eastAsia" w:ascii="仿宋_GB2312" w:hAnsi="仿宋_GB2312" w:eastAsia="仿宋_GB2312" w:cs="仿宋_GB2312"/>
          <w:sz w:val="32"/>
          <w:szCs w:val="32"/>
        </w:rPr>
        <w:t>资金不足，医疗业务盈利能力不足，对医保资金拨付依赖性过高。</w:t>
      </w:r>
    </w:p>
    <w:p w14:paraId="22DCD973">
      <w:pPr>
        <w:spacing w:line="480" w:lineRule="auto"/>
        <w:ind w:firstLine="598" w:firstLineChars="187"/>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下一步改进措施：一是</w:t>
      </w:r>
      <w:r>
        <w:rPr>
          <w:rFonts w:hint="eastAsia" w:ascii="Times New Roman" w:hAnsi="Times New Roman" w:eastAsia="仿宋_GB2312"/>
          <w:sz w:val="32"/>
          <w:szCs w:val="32"/>
        </w:rPr>
        <w:t>加强医院采购、资金支付各环节管理，建立资金使用评价机制，对资金使用实施动态监控；</w:t>
      </w:r>
      <w:r>
        <w:rPr>
          <w:rFonts w:ascii="Times New Roman" w:hAnsi="Times New Roman" w:eastAsia="仿宋_GB2312"/>
          <w:sz w:val="32"/>
          <w:szCs w:val="32"/>
        </w:rPr>
        <w:t xml:space="preserve"> 二是</w:t>
      </w:r>
      <w:r>
        <w:rPr>
          <w:rFonts w:hint="eastAsia" w:ascii="Times New Roman" w:hAnsi="Times New Roman" w:eastAsia="仿宋_GB2312"/>
          <w:sz w:val="32"/>
          <w:szCs w:val="32"/>
        </w:rPr>
        <w:t>加强</w:t>
      </w:r>
      <w:r>
        <w:rPr>
          <w:rFonts w:ascii="Times New Roman" w:hAnsi="Times New Roman" w:eastAsia="仿宋_GB2312"/>
          <w:sz w:val="32"/>
          <w:szCs w:val="32"/>
        </w:rPr>
        <w:t>医院全面预算，建立长效健全的预算机制，严格执行预算；三是</w:t>
      </w:r>
      <w:r>
        <w:rPr>
          <w:rFonts w:hint="eastAsia" w:ascii="Times New Roman" w:hAnsi="Times New Roman" w:eastAsia="仿宋_GB2312"/>
          <w:sz w:val="32"/>
          <w:szCs w:val="32"/>
        </w:rPr>
        <w:t>提高成本控制率，在管理方面提高医疗服务效率同时降低行政成本，合理配置资源，实现成本控制和效益最大化；四是越来越严峻的市场环境下</w:t>
      </w:r>
      <w:r>
        <w:rPr>
          <w:rFonts w:ascii="Times New Roman" w:hAnsi="Times New Roman" w:eastAsia="仿宋_GB2312"/>
          <w:sz w:val="32"/>
          <w:szCs w:val="32"/>
        </w:rPr>
        <w:t>多元化发展业务，</w:t>
      </w:r>
      <w:r>
        <w:rPr>
          <w:rFonts w:hint="eastAsia" w:ascii="Times New Roman" w:hAnsi="Times New Roman" w:eastAsia="仿宋_GB2312"/>
          <w:sz w:val="32"/>
          <w:szCs w:val="32"/>
        </w:rPr>
        <w:t>寻找医院多途径发展，</w:t>
      </w:r>
      <w:r>
        <w:rPr>
          <w:rFonts w:ascii="Times New Roman" w:hAnsi="Times New Roman" w:eastAsia="仿宋_GB2312"/>
          <w:sz w:val="32"/>
          <w:szCs w:val="32"/>
        </w:rPr>
        <w:t>创建</w:t>
      </w:r>
      <w:r>
        <w:rPr>
          <w:rFonts w:hint="eastAsia" w:ascii="Times New Roman" w:hAnsi="Times New Roman" w:eastAsia="仿宋_GB2312"/>
          <w:sz w:val="32"/>
          <w:szCs w:val="32"/>
        </w:rPr>
        <w:t>“三级”医院，在提升医院服务水平和质量的同时也要提高我院医疗业务的盈利能力。</w:t>
      </w:r>
    </w:p>
    <w:p w14:paraId="70D4A2DB">
      <w:pPr>
        <w:autoSpaceDE w:val="0"/>
        <w:autoSpaceDN w:val="0"/>
        <w:adjustRightInd w:val="0"/>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预算绩效管理开展情况、绩效目标和绩效评价报告等，已在市政府部门财政预决算公开平台上向社会公开，详见附件。</w:t>
      </w:r>
    </w:p>
    <w:p w14:paraId="1F91DBF8">
      <w:pPr>
        <w:autoSpaceDE w:val="0"/>
        <w:autoSpaceDN w:val="0"/>
        <w:adjustRightInd w:val="0"/>
        <w:jc w:val="left"/>
        <w:rPr>
          <w:rFonts w:ascii="楷体" w:hAnsi="楷体" w:eastAsia="楷体" w:cs="楷体"/>
          <w:b/>
          <w:bCs/>
          <w:color w:val="FF0000"/>
          <w:kern w:val="0"/>
          <w:sz w:val="36"/>
          <w:szCs w:val="36"/>
        </w:rPr>
      </w:pPr>
    </w:p>
    <w:p w14:paraId="5604AEB4">
      <w:pPr>
        <w:pStyle w:val="13"/>
        <w:jc w:val="both"/>
        <w:rPr>
          <w:sz w:val="72"/>
          <w:szCs w:val="72"/>
        </w:rPr>
      </w:pPr>
    </w:p>
    <w:p w14:paraId="4C5E15F6">
      <w:pPr>
        <w:pStyle w:val="13"/>
        <w:jc w:val="center"/>
        <w:rPr>
          <w:sz w:val="72"/>
          <w:szCs w:val="72"/>
        </w:rPr>
      </w:pPr>
    </w:p>
    <w:p w14:paraId="6CDF9E11">
      <w:pPr>
        <w:pStyle w:val="13"/>
        <w:jc w:val="center"/>
        <w:rPr>
          <w:rFonts w:ascii="方正小标宋_GBK" w:hAnsi="方正小标宋_GBK" w:eastAsia="方正小标宋_GBK" w:cs="方正小标宋_GBK"/>
          <w:sz w:val="70"/>
          <w:szCs w:val="70"/>
        </w:rPr>
      </w:pPr>
    </w:p>
    <w:p w14:paraId="6FF782B6">
      <w:pPr>
        <w:pStyle w:val="13"/>
        <w:jc w:val="center"/>
        <w:rPr>
          <w:rFonts w:ascii="方正小标宋_GBK" w:hAnsi="方正小标宋_GBK" w:eastAsia="方正小标宋_GBK" w:cs="方正小标宋_GBK"/>
          <w:sz w:val="70"/>
          <w:szCs w:val="70"/>
        </w:rPr>
      </w:pPr>
    </w:p>
    <w:p w14:paraId="71127A11">
      <w:pPr>
        <w:pStyle w:val="13"/>
        <w:jc w:val="center"/>
        <w:rPr>
          <w:rFonts w:ascii="方正小标宋_GBK" w:hAnsi="方正小标宋_GBK" w:eastAsia="方正小标宋_GBK" w:cs="方正小标宋_GBK"/>
          <w:sz w:val="72"/>
          <w:szCs w:val="72"/>
        </w:rPr>
      </w:pPr>
    </w:p>
    <w:p w14:paraId="5F937A82">
      <w:pPr>
        <w:pStyle w:val="13"/>
        <w:jc w:val="center"/>
        <w:rPr>
          <w:rFonts w:ascii="方正小标宋_GBK" w:hAnsi="方正小标宋_GBK" w:eastAsia="方正小标宋_GBK" w:cs="方正小标宋_GBK"/>
          <w:sz w:val="72"/>
          <w:szCs w:val="72"/>
        </w:rPr>
      </w:pPr>
    </w:p>
    <w:p w14:paraId="724C6826">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0A730E5B">
      <w:pPr>
        <w:jc w:val="center"/>
        <w:rPr>
          <w:rFonts w:ascii="方正小标宋_GBK" w:hAnsi="方正小标宋_GBK" w:eastAsia="方正小标宋_GBK" w:cs="方正小标宋_GBK"/>
          <w:color w:val="000000"/>
          <w:kern w:val="0"/>
          <w:sz w:val="70"/>
          <w:szCs w:val="70"/>
        </w:rPr>
      </w:pPr>
    </w:p>
    <w:p w14:paraId="25C0C878">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名词解释</w:t>
      </w:r>
    </w:p>
    <w:p w14:paraId="53F4DBE4">
      <w:pPr>
        <w:pStyle w:val="2"/>
      </w:pPr>
    </w:p>
    <w:p w14:paraId="4FDB90A9">
      <w:pPr>
        <w:pStyle w:val="3"/>
        <w:ind w:firstLine="480"/>
      </w:pPr>
    </w:p>
    <w:p w14:paraId="54AD7DCF"/>
    <w:p w14:paraId="3C5CA796">
      <w:pPr>
        <w:pStyle w:val="2"/>
      </w:pPr>
    </w:p>
    <w:p w14:paraId="018F2C69">
      <w:pPr>
        <w:pStyle w:val="3"/>
        <w:ind w:firstLine="480"/>
      </w:pPr>
    </w:p>
    <w:p w14:paraId="2426052F"/>
    <w:p w14:paraId="0C74A850">
      <w:pPr>
        <w:pStyle w:val="2"/>
      </w:pPr>
    </w:p>
    <w:p w14:paraId="60D2BBDD">
      <w:pPr>
        <w:pStyle w:val="3"/>
        <w:ind w:firstLine="480"/>
      </w:pPr>
    </w:p>
    <w:p w14:paraId="1CAE74B8"/>
    <w:p w14:paraId="5C56CD4C">
      <w:pPr>
        <w:pStyle w:val="2"/>
      </w:pPr>
    </w:p>
    <w:p w14:paraId="0903383C">
      <w:pPr>
        <w:pStyle w:val="3"/>
        <w:ind w:firstLine="480"/>
      </w:pPr>
    </w:p>
    <w:p w14:paraId="33D1576F"/>
    <w:p w14:paraId="1A26EFE0">
      <w:pPr>
        <w:pStyle w:val="2"/>
      </w:pPr>
    </w:p>
    <w:p w14:paraId="34B408FF">
      <w:pPr>
        <w:pStyle w:val="3"/>
        <w:ind w:firstLine="480"/>
      </w:pPr>
    </w:p>
    <w:p w14:paraId="5CE32104"/>
    <w:p w14:paraId="2F3B9CD3">
      <w:pPr>
        <w:pStyle w:val="2"/>
      </w:pPr>
    </w:p>
    <w:p w14:paraId="7517092E">
      <w:pPr>
        <w:pStyle w:val="3"/>
        <w:ind w:firstLine="480"/>
      </w:pPr>
    </w:p>
    <w:p w14:paraId="473CF533"/>
    <w:p w14:paraId="33F73C85">
      <w:pPr>
        <w:pStyle w:val="2"/>
      </w:pPr>
    </w:p>
    <w:p w14:paraId="71E446F1">
      <w:pPr>
        <w:pStyle w:val="3"/>
        <w:ind w:firstLine="480"/>
      </w:pPr>
    </w:p>
    <w:p w14:paraId="79FF2928"/>
    <w:p w14:paraId="1DF72383">
      <w:pPr>
        <w:pStyle w:val="2"/>
      </w:pPr>
    </w:p>
    <w:p w14:paraId="2D8B3C69">
      <w:pPr>
        <w:pStyle w:val="3"/>
        <w:ind w:firstLine="480"/>
      </w:pPr>
    </w:p>
    <w:p w14:paraId="5DB0349B"/>
    <w:p w14:paraId="214E1FD6">
      <w:pPr>
        <w:pStyle w:val="2"/>
      </w:pPr>
    </w:p>
    <w:p w14:paraId="7A1E1F8B">
      <w:pPr>
        <w:pStyle w:val="3"/>
        <w:ind w:firstLine="480"/>
      </w:pPr>
    </w:p>
    <w:p w14:paraId="046ED8AB"/>
    <w:p w14:paraId="682A7CE8">
      <w:pPr>
        <w:pStyle w:val="2"/>
      </w:pPr>
    </w:p>
    <w:p w14:paraId="1F1460B8">
      <w:pPr>
        <w:pStyle w:val="3"/>
        <w:ind w:firstLine="480"/>
      </w:pPr>
    </w:p>
    <w:p w14:paraId="1BA83409"/>
    <w:p w14:paraId="2E4E7533">
      <w:pPr>
        <w:pStyle w:val="2"/>
      </w:pPr>
    </w:p>
    <w:p w14:paraId="3472322C">
      <w:pPr>
        <w:pStyle w:val="3"/>
        <w:ind w:firstLine="480"/>
      </w:pPr>
    </w:p>
    <w:p w14:paraId="7F4F16C3">
      <w:pPr>
        <w:pStyle w:val="3"/>
        <w:ind w:firstLine="480"/>
      </w:pPr>
    </w:p>
    <w:p w14:paraId="467C34E0"/>
    <w:p w14:paraId="6B7BC122">
      <w:pPr>
        <w:pStyle w:val="2"/>
      </w:pPr>
    </w:p>
    <w:p w14:paraId="1A34D3A1">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6D1BDF6">
      <w:pPr>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14:paraId="757A852A">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三、</w:t>
      </w:r>
      <w:r>
        <w:rPr>
          <w:rFonts w:hint="eastAsia" w:ascii="仿宋_GB2312" w:hAnsi="仿宋_GB2312" w:eastAsia="仿宋_GB2312" w:cs="仿宋_GB2312"/>
          <w:sz w:val="32"/>
          <w:szCs w:val="32"/>
        </w:rPr>
        <w:t>基本支出：指保障机构正常运转、完成支日常工作任务而发生的人员支出和公用支出。</w:t>
      </w:r>
    </w:p>
    <w:p w14:paraId="16EFD25D">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四、项目支出：指在基本支出之外为完成特定行政任务和事业发展目标所发生的支出。</w:t>
      </w:r>
    </w:p>
    <w:p w14:paraId="0B455B1E">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五、工资福利支出：反映单位开支的在职职工和编制外长期聘用人员的各类劳动报酬，以及为上述人员缴纳的各项社会保险费等。</w:t>
      </w:r>
    </w:p>
    <w:p w14:paraId="2074C9A5">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六、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111DEDF9">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七、津贴补贴：反映经国家批准建立的机关事业单位艰苦边远地区津贴、机关工作人员地区附加津贴、机关工作人员岗位津贴、事业单位工作人员特殊岗位津贴补贴等。</w:t>
      </w:r>
    </w:p>
    <w:p w14:paraId="044BF5E8">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八、奖金：反映机关工作人员年终一次性奖金。</w:t>
      </w:r>
    </w:p>
    <w:p w14:paraId="7CF9D266">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九、绩效工资：反映事业单位工作人员的绩效工资。</w:t>
      </w:r>
    </w:p>
    <w:p w14:paraId="4F85B56B">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十、机关事业单位基本养老保险缴费：反映机关事业单位缴纳的基本养老保险费。由单位代扣的工作人员基本养老保险缴费，不在此科目反映。</w:t>
      </w:r>
    </w:p>
    <w:p w14:paraId="30320BDB">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十一、职业年金缴费：反映机关事业单位实际缴纳的职业年金支出。由单位代扣的工作人员职业年金缴费，不在此科目反映。</w:t>
      </w:r>
    </w:p>
    <w:p w14:paraId="18688133">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十二、职工基本医疗保险缴费：反映单位为职工缴纳的基本医疗保险费。</w:t>
      </w:r>
    </w:p>
    <w:p w14:paraId="34E2A31C">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十三、公务员医疗补助缴费：反映按规定可享受公务员医疗补助单位为职工缴纳的公务员医疗补助费。</w:t>
      </w:r>
    </w:p>
    <w:p w14:paraId="4D513CE1">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十四、其他社会保障缴费：反映单位为职工缴纳的基本医疗、失业、工伤、生育等社会保险费，残疾人就业保障金，军队（含武警）为军人缴纳的伤亡、退役医疗等社会保险费。</w:t>
      </w:r>
    </w:p>
    <w:p w14:paraId="0DEEA656">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十五、住房公积金：反映行政事业单位按人力资源和社会保障部、财政部规定的基本工资和津贴补贴以及规定比例为职工缴纳的住房公积金。</w:t>
      </w:r>
    </w:p>
    <w:p w14:paraId="374D6C76">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十六、医疗费：反映未参加医疗保险单位的医疗经费和单位按规定为职工支出的其他医疗费用。</w:t>
      </w:r>
    </w:p>
    <w:p w14:paraId="5D924EDC">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十七、商品和服务支出：反映单位购买商品和服务的支出（不包括用于购置固定资产的支出、战略性和应急储备支出）。</w:t>
      </w:r>
    </w:p>
    <w:p w14:paraId="32ACB64A">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十八、办公费：反映单位购买按财务会计制度规定不符合固定资产确认标准的日常办公用品、书报杂志等支出。</w:t>
      </w:r>
    </w:p>
    <w:p w14:paraId="421907B1">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十九、印刷费：反映单位的印刷费支出。</w:t>
      </w:r>
    </w:p>
    <w:p w14:paraId="1175DD68">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二十、咨询费：反映单位咨询方面的支出。</w:t>
      </w:r>
    </w:p>
    <w:p w14:paraId="64749400">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二十一、水费：反映单位支付的水费、污水处理费等支出。</w:t>
      </w:r>
    </w:p>
    <w:p w14:paraId="107588EA">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二十二、电费：反映单位的电费支出。</w:t>
      </w:r>
    </w:p>
    <w:p w14:paraId="480EFF0A">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二十三、邮电费：反映单位开支的信函、包裹、货物等物品的邮寄费及电话费、电报费、传真费、网络通讯费等。</w:t>
      </w:r>
    </w:p>
    <w:p w14:paraId="5B08B30C">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二十四、物业管理费：反映单位开支的办公用房以及未实行职工住宅物业服务改革的在职职工和离退休人员宿舍等的物业管理费，包括综合治理、绿化、卫生等方面的支出。</w:t>
      </w:r>
    </w:p>
    <w:p w14:paraId="26C6C0BE">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二十五、差旅费：反映单位工作人员出差发生的城市间交通费、住宿费、伙食补贴费和市内交通费。</w:t>
      </w:r>
    </w:p>
    <w:p w14:paraId="2C9111C9">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二十六、维修(护)费：反映单位日常开支的固定资产（不包括车船等交通工具）修理和维护费用，网络信息系统运行与维护费用，以及按规定提取的修购基金。</w:t>
      </w:r>
    </w:p>
    <w:p w14:paraId="68D6F695">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二十七、会议费：反映会议中按规定开支的住宿费、伙食费、会议室租金、交通费、文件印刷费、医药费等。</w:t>
      </w:r>
    </w:p>
    <w:p w14:paraId="085C3E78">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二十八、培训费：反映除因公出国（境）培训费以外的各类培训支出。</w:t>
      </w:r>
    </w:p>
    <w:p w14:paraId="2C4B3CC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二十九、公务接待费：反映单位按规定开支的各类公务接待（含外宾接待）费用。</w:t>
      </w:r>
    </w:p>
    <w:p w14:paraId="37B4886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三十、劳务费：反映支付给单位和个人的劳务费用，如临时聘用人员、钟点工工资，稿费、翻译费，评审费等。</w:t>
      </w:r>
    </w:p>
    <w:p w14:paraId="3564E9B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三十一、委托业务费：反映因委托外单位办理业务而支付的委托业务费。</w:t>
      </w:r>
    </w:p>
    <w:p w14:paraId="64C1E2D6">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三十二、工会经费：反映单位按规定提取的工会经费。</w:t>
      </w:r>
    </w:p>
    <w:p w14:paraId="5034B681">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三十三、福利费：反映单位按规定提取的福利费。</w:t>
      </w:r>
    </w:p>
    <w:p w14:paraId="4889F57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三十四、公务用车运行维护费：反映单位按规定保留的公务用车燃料费、维修费、过桥过路费、保险费、安全奖励费用等支出。</w:t>
      </w:r>
    </w:p>
    <w:p w14:paraId="48CA628C">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三十五、其他交通费用：反映单位除公务用车运行维护费以外的其他交通费用。如公务交通补贴，租车费用、出租车费用，飞机、船舶等的燃料费、维修费、保险费等。</w:t>
      </w:r>
    </w:p>
    <w:p w14:paraId="7E75E52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三十六、其他商品和服务支出：反映上述科目未包括的日常公用支出。如行政赔偿费和诉讼费、国内组织的会员费、来访费、广告宣传、其他劳务费及离休人员特需费、公用经费等。</w:t>
      </w:r>
    </w:p>
    <w:p w14:paraId="22DC1133">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三十七、对个人和家庭的补助：反映政府用于对个人和家庭的补助支出。</w:t>
      </w:r>
    </w:p>
    <w:p w14:paraId="4B4CBA1C">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三十八、离休费：反映行政事业单位和军队移交政府安置的离休人员的离休费、护理费和其他补贴。</w:t>
      </w:r>
    </w:p>
    <w:p w14:paraId="700F48B2">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三十九、退休费：反映行政事业单位和军队移交政府安置的退休人员的退休费和其他补贴。</w:t>
      </w:r>
    </w:p>
    <w:p w14:paraId="57944B8B">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四十、抚恤金：反映按规定开支的烈士遗属、牺牲病故人员遗属的一次性和定期抚恤金，伤残人员的抚恤金，离退休人员等其他人员的各项抚恤金。</w:t>
      </w:r>
    </w:p>
    <w:p w14:paraId="190170C4">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十一、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6C507878">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四十二、奖励金：反映政府各部门的奖励支出，如对个体私营经济的奖励、计划生育目标责任奖励、独生子女父母奖励等。</w:t>
      </w:r>
    </w:p>
    <w:p w14:paraId="72E834D8">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四十三、办公设备购置：反映用于购置并按财务会计制度规定纳入固定资产核算范围的办公家具和办公设备的支出，以及按规定提取的修购基金。</w:t>
      </w:r>
    </w:p>
    <w:p w14:paraId="553542BE">
      <w:pPr>
        <w:pStyle w:val="8"/>
        <w:widowControl/>
        <w:snapToGrid w:val="0"/>
        <w:spacing w:before="0" w:beforeAutospacing="0" w:after="0" w:afterAutospacing="0" w:line="54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四十四、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14:paraId="152E80CF">
      <w:pPr>
        <w:pStyle w:val="13"/>
        <w:jc w:val="center"/>
        <w:rPr>
          <w:rFonts w:ascii="仿宋_GB2312" w:hAnsi="仿宋_GB2312" w:eastAsia="仿宋_GB2312" w:cs="仿宋_GB2312"/>
          <w:sz w:val="32"/>
          <w:szCs w:val="32"/>
        </w:rPr>
      </w:pPr>
    </w:p>
    <w:p w14:paraId="41F351B7">
      <w:pPr>
        <w:pStyle w:val="3"/>
        <w:ind w:firstLine="480"/>
      </w:pPr>
    </w:p>
    <w:p w14:paraId="58E98DF6"/>
    <w:p w14:paraId="1CE9A1C9">
      <w:pPr>
        <w:pStyle w:val="2"/>
      </w:pPr>
    </w:p>
    <w:p w14:paraId="1D2B29A1">
      <w:pPr>
        <w:pStyle w:val="3"/>
        <w:ind w:firstLine="480"/>
      </w:pPr>
    </w:p>
    <w:p w14:paraId="5CABC763"/>
    <w:p w14:paraId="46B32D78">
      <w:pPr>
        <w:pStyle w:val="2"/>
      </w:pPr>
    </w:p>
    <w:p w14:paraId="56F31F0E">
      <w:pPr>
        <w:pStyle w:val="3"/>
        <w:ind w:firstLine="480"/>
      </w:pPr>
    </w:p>
    <w:p w14:paraId="64CB09F0"/>
    <w:p w14:paraId="2C12114B">
      <w:pPr>
        <w:pStyle w:val="2"/>
      </w:pPr>
    </w:p>
    <w:p w14:paraId="357CFDC7">
      <w:pPr>
        <w:pStyle w:val="3"/>
        <w:ind w:firstLine="480"/>
      </w:pPr>
    </w:p>
    <w:p w14:paraId="1FC024D4"/>
    <w:p w14:paraId="3AE8A86B">
      <w:pPr>
        <w:pStyle w:val="2"/>
      </w:pPr>
    </w:p>
    <w:p w14:paraId="67347A23">
      <w:pPr>
        <w:pStyle w:val="3"/>
        <w:ind w:firstLine="480"/>
      </w:pPr>
    </w:p>
    <w:p w14:paraId="23869E1A"/>
    <w:p w14:paraId="59BD42BD">
      <w:pPr>
        <w:pStyle w:val="2"/>
      </w:pPr>
    </w:p>
    <w:p w14:paraId="3262BF27">
      <w:pPr>
        <w:pStyle w:val="3"/>
        <w:ind w:firstLine="480"/>
      </w:pPr>
    </w:p>
    <w:p w14:paraId="28CEA1F4">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第五部分</w:t>
      </w:r>
    </w:p>
    <w:p w14:paraId="5D184998">
      <w:pPr>
        <w:pStyle w:val="13"/>
        <w:jc w:val="both"/>
        <w:rPr>
          <w:rFonts w:ascii="方正小标宋_GBK" w:hAnsi="方正小标宋_GBK" w:eastAsia="方正小标宋_GBK" w:cs="方正小标宋_GBK"/>
          <w:sz w:val="70"/>
          <w:szCs w:val="70"/>
        </w:rPr>
      </w:pPr>
    </w:p>
    <w:p w14:paraId="3F1FC207">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附 件</w:t>
      </w:r>
    </w:p>
    <w:p w14:paraId="56892533">
      <w:pPr>
        <w:ind w:firstLine="640" w:firstLineChars="200"/>
        <w:jc w:val="left"/>
        <w:rPr>
          <w:rFonts w:ascii="宋体" w:hAnsi="宋体" w:eastAsia="宋体" w:cs="黑体"/>
          <w:b/>
          <w:color w:val="000000"/>
          <w:kern w:val="0"/>
          <w:sz w:val="32"/>
          <w:szCs w:val="32"/>
        </w:rPr>
      </w:pPr>
    </w:p>
    <w:p w14:paraId="34C300BC">
      <w:pPr>
        <w:ind w:firstLine="640" w:firstLineChars="200"/>
        <w:jc w:val="left"/>
        <w:rPr>
          <w:rFonts w:ascii="宋体" w:hAnsi="宋体" w:eastAsia="宋体" w:cs="黑体"/>
          <w:b/>
          <w:color w:val="000000"/>
          <w:kern w:val="0"/>
          <w:sz w:val="32"/>
          <w:szCs w:val="32"/>
        </w:rPr>
      </w:pPr>
      <w:r>
        <w:rPr>
          <w:rFonts w:hint="eastAsia" w:ascii="宋体" w:hAnsi="宋体" w:eastAsia="宋体" w:cs="黑体"/>
          <w:b/>
          <w:color w:val="000000"/>
          <w:kern w:val="0"/>
          <w:sz w:val="32"/>
          <w:szCs w:val="32"/>
        </w:rPr>
        <w:t>1、2023年部门决算公开表格</w:t>
      </w:r>
    </w:p>
    <w:p w14:paraId="2154E0D5">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rPr>
        <w:t>2、2023年度部门整体支出绩效评价报告</w:t>
      </w:r>
    </w:p>
    <w:p w14:paraId="1E2764E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8263BC2"/>
    <w:multiLevelType w:val="singleLevel"/>
    <w:tmpl w:val="78263BC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B3F"/>
    <w:rsid w:val="00003A50"/>
    <w:rsid w:val="00005E86"/>
    <w:rsid w:val="0002229B"/>
    <w:rsid w:val="000273BD"/>
    <w:rsid w:val="00040CBC"/>
    <w:rsid w:val="000415B7"/>
    <w:rsid w:val="00041E3F"/>
    <w:rsid w:val="00055DAA"/>
    <w:rsid w:val="00061F7B"/>
    <w:rsid w:val="000658A3"/>
    <w:rsid w:val="00074155"/>
    <w:rsid w:val="00086DC0"/>
    <w:rsid w:val="000A3F69"/>
    <w:rsid w:val="000B6D53"/>
    <w:rsid w:val="000E1AC7"/>
    <w:rsid w:val="000F61D2"/>
    <w:rsid w:val="00103957"/>
    <w:rsid w:val="00111900"/>
    <w:rsid w:val="0013467B"/>
    <w:rsid w:val="001455D1"/>
    <w:rsid w:val="00152C6D"/>
    <w:rsid w:val="00162D39"/>
    <w:rsid w:val="00163621"/>
    <w:rsid w:val="001678BD"/>
    <w:rsid w:val="00182373"/>
    <w:rsid w:val="001A67DB"/>
    <w:rsid w:val="001C3C29"/>
    <w:rsid w:val="001D51E5"/>
    <w:rsid w:val="001D5B71"/>
    <w:rsid w:val="001D75E1"/>
    <w:rsid w:val="001E080D"/>
    <w:rsid w:val="001E53D0"/>
    <w:rsid w:val="001F0C3B"/>
    <w:rsid w:val="00202C82"/>
    <w:rsid w:val="00214427"/>
    <w:rsid w:val="00226CB7"/>
    <w:rsid w:val="00231324"/>
    <w:rsid w:val="00233BDC"/>
    <w:rsid w:val="002644BB"/>
    <w:rsid w:val="00264552"/>
    <w:rsid w:val="00264EF9"/>
    <w:rsid w:val="00265724"/>
    <w:rsid w:val="0027426B"/>
    <w:rsid w:val="002B2054"/>
    <w:rsid w:val="002E0A30"/>
    <w:rsid w:val="003130C4"/>
    <w:rsid w:val="00316C4B"/>
    <w:rsid w:val="0032192B"/>
    <w:rsid w:val="00327260"/>
    <w:rsid w:val="003479BD"/>
    <w:rsid w:val="00357A0E"/>
    <w:rsid w:val="0037197D"/>
    <w:rsid w:val="00372F81"/>
    <w:rsid w:val="003768D5"/>
    <w:rsid w:val="0038796D"/>
    <w:rsid w:val="003926B9"/>
    <w:rsid w:val="003C47E6"/>
    <w:rsid w:val="003C4FC2"/>
    <w:rsid w:val="003E2C02"/>
    <w:rsid w:val="0040781C"/>
    <w:rsid w:val="00416E61"/>
    <w:rsid w:val="00421D3E"/>
    <w:rsid w:val="0042579C"/>
    <w:rsid w:val="00427623"/>
    <w:rsid w:val="0042790C"/>
    <w:rsid w:val="00437074"/>
    <w:rsid w:val="0044437F"/>
    <w:rsid w:val="004506F9"/>
    <w:rsid w:val="00451C0E"/>
    <w:rsid w:val="004717A2"/>
    <w:rsid w:val="00473DF3"/>
    <w:rsid w:val="00487911"/>
    <w:rsid w:val="00491741"/>
    <w:rsid w:val="00497335"/>
    <w:rsid w:val="004A072B"/>
    <w:rsid w:val="004A6AB6"/>
    <w:rsid w:val="004B0CEE"/>
    <w:rsid w:val="004C3A3B"/>
    <w:rsid w:val="004E436E"/>
    <w:rsid w:val="00500E5F"/>
    <w:rsid w:val="005122EF"/>
    <w:rsid w:val="0051441A"/>
    <w:rsid w:val="00514988"/>
    <w:rsid w:val="00517C33"/>
    <w:rsid w:val="00517D5F"/>
    <w:rsid w:val="005205A5"/>
    <w:rsid w:val="005221B9"/>
    <w:rsid w:val="00523644"/>
    <w:rsid w:val="005346BF"/>
    <w:rsid w:val="0054069E"/>
    <w:rsid w:val="00544866"/>
    <w:rsid w:val="00571692"/>
    <w:rsid w:val="005767CC"/>
    <w:rsid w:val="0058021E"/>
    <w:rsid w:val="00590D9F"/>
    <w:rsid w:val="00595D26"/>
    <w:rsid w:val="005A2A1F"/>
    <w:rsid w:val="005A74E6"/>
    <w:rsid w:val="005B404E"/>
    <w:rsid w:val="005B62C2"/>
    <w:rsid w:val="005C3996"/>
    <w:rsid w:val="005D2B76"/>
    <w:rsid w:val="005D4D55"/>
    <w:rsid w:val="005E2CFB"/>
    <w:rsid w:val="005E668F"/>
    <w:rsid w:val="005F2103"/>
    <w:rsid w:val="005F3D1C"/>
    <w:rsid w:val="00621696"/>
    <w:rsid w:val="0062378F"/>
    <w:rsid w:val="00641842"/>
    <w:rsid w:val="00642050"/>
    <w:rsid w:val="00647690"/>
    <w:rsid w:val="00651EEC"/>
    <w:rsid w:val="00653455"/>
    <w:rsid w:val="00667821"/>
    <w:rsid w:val="00683E94"/>
    <w:rsid w:val="00686673"/>
    <w:rsid w:val="00691E8C"/>
    <w:rsid w:val="006A0AB4"/>
    <w:rsid w:val="006A22C4"/>
    <w:rsid w:val="006A351B"/>
    <w:rsid w:val="006B0422"/>
    <w:rsid w:val="006C1B53"/>
    <w:rsid w:val="006D0E66"/>
    <w:rsid w:val="006D47D6"/>
    <w:rsid w:val="006D7730"/>
    <w:rsid w:val="006E048E"/>
    <w:rsid w:val="006E5284"/>
    <w:rsid w:val="006E5B33"/>
    <w:rsid w:val="006F3EB5"/>
    <w:rsid w:val="00702E34"/>
    <w:rsid w:val="00704395"/>
    <w:rsid w:val="00710FE7"/>
    <w:rsid w:val="00714AD7"/>
    <w:rsid w:val="00717621"/>
    <w:rsid w:val="00720FF1"/>
    <w:rsid w:val="00727A53"/>
    <w:rsid w:val="00730DCA"/>
    <w:rsid w:val="00740072"/>
    <w:rsid w:val="007721B8"/>
    <w:rsid w:val="00777472"/>
    <w:rsid w:val="00782C53"/>
    <w:rsid w:val="00787B42"/>
    <w:rsid w:val="007C4539"/>
    <w:rsid w:val="007C769F"/>
    <w:rsid w:val="007F209E"/>
    <w:rsid w:val="007F3657"/>
    <w:rsid w:val="007F37B0"/>
    <w:rsid w:val="00812ED5"/>
    <w:rsid w:val="008277D9"/>
    <w:rsid w:val="00837A4E"/>
    <w:rsid w:val="0084478C"/>
    <w:rsid w:val="008537CA"/>
    <w:rsid w:val="0086638C"/>
    <w:rsid w:val="00872C7D"/>
    <w:rsid w:val="008742E2"/>
    <w:rsid w:val="008A3E8D"/>
    <w:rsid w:val="008B6DB0"/>
    <w:rsid w:val="008E6738"/>
    <w:rsid w:val="0090698E"/>
    <w:rsid w:val="00907FF9"/>
    <w:rsid w:val="009237C4"/>
    <w:rsid w:val="00934ED6"/>
    <w:rsid w:val="00944C48"/>
    <w:rsid w:val="00950252"/>
    <w:rsid w:val="00951AF5"/>
    <w:rsid w:val="00966D9D"/>
    <w:rsid w:val="00967F5D"/>
    <w:rsid w:val="009A0F95"/>
    <w:rsid w:val="009A2717"/>
    <w:rsid w:val="009B3ADF"/>
    <w:rsid w:val="009B5EDC"/>
    <w:rsid w:val="009C063F"/>
    <w:rsid w:val="009C3B52"/>
    <w:rsid w:val="009C3F43"/>
    <w:rsid w:val="009E6817"/>
    <w:rsid w:val="009E6E9A"/>
    <w:rsid w:val="009F2FD5"/>
    <w:rsid w:val="00A015D3"/>
    <w:rsid w:val="00A01D2B"/>
    <w:rsid w:val="00A02B30"/>
    <w:rsid w:val="00A06360"/>
    <w:rsid w:val="00A35D44"/>
    <w:rsid w:val="00A40B1A"/>
    <w:rsid w:val="00A42218"/>
    <w:rsid w:val="00A45991"/>
    <w:rsid w:val="00A562F7"/>
    <w:rsid w:val="00A70249"/>
    <w:rsid w:val="00A70B02"/>
    <w:rsid w:val="00A71D9F"/>
    <w:rsid w:val="00A72FF7"/>
    <w:rsid w:val="00A74BF0"/>
    <w:rsid w:val="00A77A2D"/>
    <w:rsid w:val="00A92CD0"/>
    <w:rsid w:val="00A92E9F"/>
    <w:rsid w:val="00AB18FF"/>
    <w:rsid w:val="00AE735C"/>
    <w:rsid w:val="00B05EFA"/>
    <w:rsid w:val="00B33BEA"/>
    <w:rsid w:val="00B52F12"/>
    <w:rsid w:val="00B57C9F"/>
    <w:rsid w:val="00B63572"/>
    <w:rsid w:val="00B845B3"/>
    <w:rsid w:val="00B85D8B"/>
    <w:rsid w:val="00B87E9B"/>
    <w:rsid w:val="00B96D97"/>
    <w:rsid w:val="00BA547B"/>
    <w:rsid w:val="00BB4A40"/>
    <w:rsid w:val="00BC2F55"/>
    <w:rsid w:val="00BD6C3E"/>
    <w:rsid w:val="00BE3674"/>
    <w:rsid w:val="00C10681"/>
    <w:rsid w:val="00C120B2"/>
    <w:rsid w:val="00C12C6E"/>
    <w:rsid w:val="00C3049A"/>
    <w:rsid w:val="00C31B1E"/>
    <w:rsid w:val="00C33C82"/>
    <w:rsid w:val="00C535D3"/>
    <w:rsid w:val="00C57234"/>
    <w:rsid w:val="00C71CA1"/>
    <w:rsid w:val="00C743EC"/>
    <w:rsid w:val="00C77645"/>
    <w:rsid w:val="00C91B40"/>
    <w:rsid w:val="00CA32D5"/>
    <w:rsid w:val="00CA3B5F"/>
    <w:rsid w:val="00CA4F93"/>
    <w:rsid w:val="00CC55AC"/>
    <w:rsid w:val="00CE04C3"/>
    <w:rsid w:val="00CE76A0"/>
    <w:rsid w:val="00CF4333"/>
    <w:rsid w:val="00CF5292"/>
    <w:rsid w:val="00CF7070"/>
    <w:rsid w:val="00D148C6"/>
    <w:rsid w:val="00D176AC"/>
    <w:rsid w:val="00D17A8A"/>
    <w:rsid w:val="00D202A8"/>
    <w:rsid w:val="00D209DC"/>
    <w:rsid w:val="00D415BA"/>
    <w:rsid w:val="00D63780"/>
    <w:rsid w:val="00D644EE"/>
    <w:rsid w:val="00D80765"/>
    <w:rsid w:val="00D836BB"/>
    <w:rsid w:val="00D84BE7"/>
    <w:rsid w:val="00DD06FF"/>
    <w:rsid w:val="00DD23F4"/>
    <w:rsid w:val="00DD5FE9"/>
    <w:rsid w:val="00E00C7A"/>
    <w:rsid w:val="00E01781"/>
    <w:rsid w:val="00E02E6D"/>
    <w:rsid w:val="00E13237"/>
    <w:rsid w:val="00E37AD6"/>
    <w:rsid w:val="00E37D6C"/>
    <w:rsid w:val="00E55B68"/>
    <w:rsid w:val="00E561AE"/>
    <w:rsid w:val="00E67BE6"/>
    <w:rsid w:val="00E77312"/>
    <w:rsid w:val="00E8683C"/>
    <w:rsid w:val="00E96D59"/>
    <w:rsid w:val="00EA00E4"/>
    <w:rsid w:val="00EA2B72"/>
    <w:rsid w:val="00EC6FA0"/>
    <w:rsid w:val="00ED2C1B"/>
    <w:rsid w:val="00ED69E2"/>
    <w:rsid w:val="00EE4F65"/>
    <w:rsid w:val="00EF3319"/>
    <w:rsid w:val="00F03ACA"/>
    <w:rsid w:val="00F13FB2"/>
    <w:rsid w:val="00F57C33"/>
    <w:rsid w:val="00F611CF"/>
    <w:rsid w:val="00F673F1"/>
    <w:rsid w:val="00F74360"/>
    <w:rsid w:val="00F86959"/>
    <w:rsid w:val="00F95688"/>
    <w:rsid w:val="00FB462F"/>
    <w:rsid w:val="00FE16FA"/>
    <w:rsid w:val="00FE328A"/>
    <w:rsid w:val="00FE6269"/>
    <w:rsid w:val="00FF5CD6"/>
    <w:rsid w:val="059958AD"/>
    <w:rsid w:val="0D49488C"/>
    <w:rsid w:val="10CA2DF8"/>
    <w:rsid w:val="12583BA5"/>
    <w:rsid w:val="13BA5B9C"/>
    <w:rsid w:val="1D97DEFF"/>
    <w:rsid w:val="1DFF72E5"/>
    <w:rsid w:val="1EFC6F07"/>
    <w:rsid w:val="208A0FEC"/>
    <w:rsid w:val="226E2973"/>
    <w:rsid w:val="22AC03C2"/>
    <w:rsid w:val="2FDF85B8"/>
    <w:rsid w:val="2FFFEE04"/>
    <w:rsid w:val="31C95635"/>
    <w:rsid w:val="34DF85B0"/>
    <w:rsid w:val="3B8F36BC"/>
    <w:rsid w:val="3E3F418C"/>
    <w:rsid w:val="474B29D4"/>
    <w:rsid w:val="491FF225"/>
    <w:rsid w:val="4FFD214C"/>
    <w:rsid w:val="5352765A"/>
    <w:rsid w:val="5777D4F5"/>
    <w:rsid w:val="59DD8326"/>
    <w:rsid w:val="5C642116"/>
    <w:rsid w:val="5DE80B25"/>
    <w:rsid w:val="5DEF592A"/>
    <w:rsid w:val="5FC6BB1E"/>
    <w:rsid w:val="5FF720F1"/>
    <w:rsid w:val="60844C26"/>
    <w:rsid w:val="622F474D"/>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rFonts w:ascii="Calibri" w:hAnsi="Calibri" w:eastAsia="宋体" w:cs="Times New Roman"/>
      <w:kern w:val="0"/>
      <w:sz w:val="24"/>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99"/>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99231-7A6F-4044-A90C-F660904BEA0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8731</Words>
  <Characters>9426</Characters>
  <Lines>69</Lines>
  <Paragraphs>19</Paragraphs>
  <TotalTime>4363</TotalTime>
  <ScaleCrop>false</ScaleCrop>
  <LinksUpToDate>false</LinksUpToDate>
  <CharactersWithSpaces>9478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Administrator</cp:lastModifiedBy>
  <cp:lastPrinted>2024-08-08T10:20:00Z</cp:lastPrinted>
  <dcterms:modified xsi:type="dcterms:W3CDTF">2025-07-31T06:37:19Z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eyJoZGlkIjoiYWRlMDZhYmEzNGIxNzEzOGY3ZDcyOTFmMGNlMzMyNjgifQ==</vt:lpwstr>
  </property>
</Properties>
</file>