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jc w:val="center"/>
        <w:rPr>
          <w:sz w:val="56"/>
          <w:szCs w:val="56"/>
        </w:rPr>
      </w:pPr>
    </w:p>
    <w:p>
      <w:pPr>
        <w:pStyle w:val="14"/>
        <w:jc w:val="center"/>
        <w:rPr>
          <w:sz w:val="56"/>
          <w:szCs w:val="56"/>
        </w:rPr>
      </w:pPr>
    </w:p>
    <w:p>
      <w:pPr>
        <w:pStyle w:val="14"/>
        <w:jc w:val="center"/>
        <w:rPr>
          <w:sz w:val="84"/>
          <w:szCs w:val="84"/>
        </w:rPr>
      </w:pPr>
    </w:p>
    <w:p>
      <w:pPr>
        <w:pStyle w:val="14"/>
        <w:jc w:val="center"/>
        <w:rPr>
          <w:sz w:val="84"/>
          <w:szCs w:val="84"/>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pPr>
        <w:widowControl w:val="0"/>
        <w:autoSpaceDE w:val="0"/>
        <w:autoSpaceDN w:val="0"/>
        <w:adjustRightInd w:val="0"/>
        <w:jc w:val="center"/>
        <w:rPr>
          <w:rFonts w:hint="eastAsia" w:ascii="方正小标宋_GBK" w:hAnsi="方正小标宋_GBK" w:eastAsia="方正小标宋_GBK" w:cs="方正小标宋_GBK"/>
          <w:color w:val="auto"/>
          <w:kern w:val="0"/>
          <w:sz w:val="84"/>
          <w:szCs w:val="84"/>
          <w:lang w:val="en-US" w:eastAsia="zh-CN" w:bidi="ar-SA"/>
        </w:rPr>
      </w:pPr>
      <w:r>
        <w:rPr>
          <w:rFonts w:hint="eastAsia" w:ascii="方正小标宋_GBK" w:hAnsi="方正小标宋_GBK" w:eastAsia="方正小标宋_GBK" w:cs="方正小标宋_GBK"/>
          <w:color w:val="auto"/>
          <w:kern w:val="0"/>
          <w:sz w:val="84"/>
          <w:szCs w:val="84"/>
          <w:lang w:val="en-US" w:eastAsia="zh-CN" w:bidi="ar-SA"/>
        </w:rPr>
        <w:t>岳阳市救助管理站</w:t>
      </w: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单位部门决算</w:t>
      </w:r>
    </w:p>
    <w:p>
      <w:pPr>
        <w:pStyle w:val="14"/>
        <w:jc w:val="center"/>
        <w:rPr>
          <w:rFonts w:hint="eastAsia" w:ascii="方正小标宋_GBK" w:hAnsi="方正小标宋_GBK" w:eastAsia="方正小标宋_GBK" w:cs="方正小标宋_GBK"/>
          <w:sz w:val="56"/>
          <w:szCs w:val="56"/>
        </w:rPr>
      </w:pPr>
    </w:p>
    <w:p>
      <w:pPr>
        <w:pStyle w:val="14"/>
        <w:jc w:val="center"/>
        <w:rPr>
          <w:sz w:val="56"/>
          <w:szCs w:val="56"/>
        </w:rPr>
      </w:pPr>
    </w:p>
    <w:p>
      <w:pPr>
        <w:pStyle w:val="14"/>
        <w:jc w:val="center"/>
        <w:rPr>
          <w:sz w:val="56"/>
          <w:szCs w:val="56"/>
        </w:rPr>
      </w:pPr>
    </w:p>
    <w:p>
      <w:pPr>
        <w:pStyle w:val="14"/>
        <w:jc w:val="center"/>
        <w:rPr>
          <w:sz w:val="56"/>
          <w:szCs w:val="56"/>
        </w:rPr>
      </w:pPr>
    </w:p>
    <w:p>
      <w:pPr>
        <w:pStyle w:val="14"/>
        <w:jc w:val="center"/>
        <w:rPr>
          <w:sz w:val="32"/>
          <w:szCs w:val="32"/>
        </w:rPr>
      </w:pPr>
    </w:p>
    <w:p>
      <w:pPr>
        <w:pStyle w:val="14"/>
        <w:jc w:val="center"/>
        <w:rPr>
          <w:sz w:val="32"/>
          <w:szCs w:val="32"/>
        </w:rPr>
      </w:pPr>
    </w:p>
    <w:p>
      <w:pPr>
        <w:pStyle w:val="14"/>
        <w:jc w:val="center"/>
        <w:rPr>
          <w:sz w:val="32"/>
          <w:szCs w:val="32"/>
        </w:rPr>
      </w:pPr>
    </w:p>
    <w:p>
      <w:pPr>
        <w:pStyle w:val="14"/>
        <w:spacing w:line="500" w:lineRule="exact"/>
        <w:jc w:val="both"/>
        <w:rPr>
          <w:b/>
          <w:sz w:val="36"/>
          <w:szCs w:val="28"/>
        </w:rPr>
      </w:pPr>
    </w:p>
    <w:p>
      <w:pPr>
        <w:pStyle w:val="14"/>
        <w:spacing w:line="500" w:lineRule="exact"/>
        <w:jc w:val="center"/>
        <w:rPr>
          <w:b/>
          <w:sz w:val="36"/>
          <w:szCs w:val="28"/>
        </w:rPr>
      </w:pPr>
      <w:r>
        <w:rPr>
          <w:rFonts w:hint="eastAsia"/>
          <w:b/>
          <w:sz w:val="36"/>
          <w:szCs w:val="28"/>
        </w:rPr>
        <w:t>目录</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hAnsi="黑体" w:cs="黑体"/>
          <w:b w:val="0"/>
          <w:bCs/>
          <w:sz w:val="28"/>
          <w:szCs w:val="28"/>
          <w:lang w:val="en-US" w:eastAsia="zh-CN"/>
        </w:rPr>
        <w:t>岳阳市救助管理站</w:t>
      </w:r>
      <w:r>
        <w:rPr>
          <w:rFonts w:hint="eastAsia" w:ascii="黑体" w:hAnsi="黑体" w:eastAsia="黑体" w:cs="黑体"/>
          <w:b w:val="0"/>
          <w:bCs/>
          <w:sz w:val="28"/>
          <w:szCs w:val="28"/>
        </w:rPr>
        <w:t>单位概况</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4"/>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pStyle w:val="14"/>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pPr>
        <w:pStyle w:val="14"/>
        <w:jc w:val="center"/>
        <w:rPr>
          <w:rFonts w:hint="eastAsia" w:ascii="方正小标宋_GBK" w:hAnsi="方正小标宋_GBK" w:eastAsia="方正小标宋_GBK" w:cs="方正小标宋_GBK"/>
          <w:sz w:val="84"/>
          <w:szCs w:val="84"/>
        </w:rPr>
      </w:pPr>
    </w:p>
    <w:p>
      <w:pPr>
        <w:pStyle w:val="14"/>
        <w:jc w:val="center"/>
        <w:rPr>
          <w:rFonts w:hint="eastAsia" w:ascii="方正小标宋_GBK" w:hAnsi="方正小标宋_GBK" w:eastAsia="方正小标宋_GBK" w:cs="方正小标宋_GBK"/>
          <w:sz w:val="84"/>
          <w:szCs w:val="84"/>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4"/>
        <w:jc w:val="center"/>
        <w:rPr>
          <w:rFonts w:hint="eastAsia" w:ascii="方正小标宋_GBK" w:hAnsi="方正小标宋_GBK" w:eastAsia="方正小标宋_GBK" w:cs="方正小标宋_GBK"/>
          <w:sz w:val="84"/>
          <w:szCs w:val="84"/>
        </w:rPr>
      </w:pPr>
    </w:p>
    <w:p>
      <w:pPr>
        <w:widowControl w:val="0"/>
        <w:autoSpaceDE w:val="0"/>
        <w:autoSpaceDN w:val="0"/>
        <w:adjustRightInd w:val="0"/>
        <w:jc w:val="center"/>
        <w:rPr>
          <w:rFonts w:hint="eastAsia" w:ascii="方正小标宋_GBK" w:hAnsi="方正小标宋_GBK" w:eastAsia="方正小标宋_GBK" w:cs="方正小标宋_GBK"/>
          <w:color w:val="auto"/>
          <w:kern w:val="0"/>
          <w:sz w:val="84"/>
          <w:szCs w:val="84"/>
          <w:lang w:val="en-US" w:eastAsia="zh-CN" w:bidi="ar-SA"/>
        </w:rPr>
      </w:pPr>
      <w:r>
        <w:rPr>
          <w:rFonts w:hint="eastAsia" w:ascii="方正小标宋_GBK" w:hAnsi="方正小标宋_GBK" w:eastAsia="方正小标宋_GBK" w:cs="方正小标宋_GBK"/>
          <w:color w:val="auto"/>
          <w:kern w:val="0"/>
          <w:sz w:val="84"/>
          <w:szCs w:val="84"/>
          <w:lang w:val="en-US" w:eastAsia="zh-CN" w:bidi="ar-SA"/>
        </w:rPr>
        <w:t>岳阳市救助管理站</w:t>
      </w:r>
    </w:p>
    <w:p>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单位概况</w:t>
      </w:r>
    </w:p>
    <w:p>
      <w:pPr>
        <w:pStyle w:val="8"/>
        <w:rPr>
          <w:rFonts w:hint="eastAsia" w:ascii="方正小标宋_GBK" w:hAnsi="方正小标宋_GBK" w:eastAsia="方正小标宋_GBK" w:cs="方正小标宋_GBK"/>
          <w:sz w:val="84"/>
          <w:szCs w:val="84"/>
        </w:rPr>
      </w:pPr>
    </w:p>
    <w:p>
      <w:pPr>
        <w:pStyle w:val="4"/>
        <w:rPr>
          <w:rFonts w:hint="eastAsia" w:ascii="方正小标宋_GBK" w:hAnsi="方正小标宋_GBK" w:eastAsia="方正小标宋_GBK" w:cs="方正小标宋_GBK"/>
          <w:sz w:val="84"/>
          <w:szCs w:val="84"/>
        </w:rPr>
      </w:pPr>
    </w:p>
    <w:p>
      <w:pPr>
        <w:rPr>
          <w:rFonts w:hint="eastAsia" w:ascii="方正小标宋_GBK" w:hAnsi="方正小标宋_GBK" w:eastAsia="方正小标宋_GBK" w:cs="方正小标宋_GBK"/>
          <w:sz w:val="84"/>
          <w:szCs w:val="84"/>
        </w:rPr>
      </w:pPr>
    </w:p>
    <w:p>
      <w:pPr>
        <w:pStyle w:val="4"/>
        <w:ind w:left="0" w:leftChars="0" w:firstLine="0" w:firstLineChars="0"/>
        <w:rPr>
          <w:rFonts w:hint="eastAsia" w:ascii="方正小标宋_GBK" w:hAnsi="方正小标宋_GBK" w:eastAsia="方正小标宋_GBK" w:cs="方正小标宋_GBK"/>
          <w:sz w:val="84"/>
          <w:szCs w:val="84"/>
        </w:rPr>
      </w:pPr>
    </w:p>
    <w:p>
      <w:pPr>
        <w:pStyle w:val="15"/>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pPr>
        <w:numPr>
          <w:ilvl w:val="0"/>
          <w:numId w:val="2"/>
        </w:numPr>
        <w:ind w:firstLine="800" w:firstLineChars="250"/>
        <w:jc w:val="left"/>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部门职责</w:t>
      </w:r>
    </w:p>
    <w:p>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val="en-US" w:eastAsia="zh-CN"/>
        </w:rPr>
        <w:t>我站主要负责对城市生活无着的流浪乞讨人员实行临时性救助。负责保障救助对象基本生活权益，及时发送乘车凭证及路途生活费，为其返乡提供服务。</w:t>
      </w:r>
    </w:p>
    <w:p>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widowControl/>
        <w:spacing w:line="600" w:lineRule="exact"/>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w:t>
      </w:r>
      <w:r>
        <w:rPr>
          <w:rFonts w:hint="eastAsia" w:ascii="Times New Roman" w:hAnsi="Times New Roman" w:eastAsia="仿宋_GB2312" w:cs="仿宋_GB2312"/>
          <w:sz w:val="32"/>
          <w:szCs w:val="32"/>
          <w:lang w:val="zh-CN" w:eastAsia="zh-CN"/>
        </w:rPr>
        <w:t>岳阳市救助管理站单位内设机构</w:t>
      </w:r>
      <w:r>
        <w:rPr>
          <w:rFonts w:hint="eastAsia" w:ascii="Times New Roman" w:hAnsi="Times New Roman" w:eastAsia="仿宋_GB2312" w:cs="仿宋_GB2312"/>
          <w:sz w:val="32"/>
          <w:szCs w:val="32"/>
          <w:lang w:val="en-US" w:eastAsia="zh-CN"/>
        </w:rPr>
        <w:t>包括</w:t>
      </w:r>
      <w:r>
        <w:rPr>
          <w:rFonts w:hint="eastAsia" w:ascii="Times New Roman" w:hAnsi="Times New Roman" w:eastAsia="仿宋_GB2312" w:cs="仿宋_GB2312"/>
          <w:sz w:val="32"/>
          <w:szCs w:val="32"/>
          <w:lang w:val="zh-CN" w:eastAsia="zh-CN"/>
        </w:rPr>
        <w:t>：综合部、救助管理部、后勤保障部、未成年人保护部、医务室。</w:t>
      </w:r>
    </w:p>
    <w:p>
      <w:pPr>
        <w:widowControl/>
        <w:spacing w:line="600" w:lineRule="exact"/>
        <w:rPr>
          <w:rFonts w:hint="eastAsia" w:ascii="Times New Roman" w:hAnsi="Times New Roman" w:eastAsia="仿宋_GB2312" w:cs="仿宋_GB2312"/>
          <w:sz w:val="32"/>
          <w:szCs w:val="32"/>
          <w:lang w:val="zh-CN" w:eastAsia="zh-CN"/>
        </w:rPr>
      </w:pPr>
      <w:r>
        <w:rPr>
          <w:rFonts w:hint="eastAsia" w:ascii="Times New Roman" w:hAnsi="Times New Roman" w:eastAsia="仿宋_GB2312" w:cs="仿宋_GB2312"/>
          <w:bCs/>
          <w:kern w:val="0"/>
          <w:sz w:val="32"/>
          <w:szCs w:val="32"/>
        </w:rPr>
        <w:t>（二）决算单位构成。</w:t>
      </w:r>
      <w:r>
        <w:rPr>
          <w:rFonts w:hint="eastAsia" w:ascii="Times New Roman" w:hAnsi="Times New Roman" w:eastAsia="仿宋_GB2312" w:cs="仿宋_GB2312"/>
          <w:sz w:val="32"/>
          <w:szCs w:val="32"/>
          <w:lang w:val="zh-CN" w:eastAsia="zh-CN"/>
        </w:rPr>
        <w:t>本单位无独立核算的下属单位，</w:t>
      </w:r>
      <w:r>
        <w:rPr>
          <w:rFonts w:hint="eastAsia" w:ascii="Times New Roman" w:hAnsi="Times New Roman" w:eastAsia="仿宋_GB2312" w:cs="仿宋_GB2312"/>
          <w:sz w:val="32"/>
          <w:szCs w:val="32"/>
          <w:lang w:val="en-US" w:eastAsia="zh-CN"/>
        </w:rPr>
        <w:t>2023年度部门决算汇总公开单位仅包括岳阳市救助管理站单位本级。</w:t>
      </w:r>
    </w:p>
    <w:p/>
    <w:p>
      <w:pPr>
        <w:pStyle w:val="2"/>
      </w:pPr>
    </w:p>
    <w:p>
      <w:pPr>
        <w:pStyle w:val="8"/>
      </w:pPr>
    </w:p>
    <w:p>
      <w:pPr>
        <w:pStyle w:val="4"/>
      </w:pPr>
    </w:p>
    <w:p/>
    <w:p>
      <w:pPr>
        <w:pStyle w:val="8"/>
      </w:pPr>
    </w:p>
    <w:p>
      <w:pPr>
        <w:pStyle w:val="4"/>
      </w:pPr>
    </w:p>
    <w:p/>
    <w:p>
      <w:pPr>
        <w:pStyle w:val="8"/>
      </w:pPr>
    </w:p>
    <w:p>
      <w:pPr>
        <w:pStyle w:val="4"/>
      </w:pPr>
    </w:p>
    <w:p/>
    <w:p>
      <w:pPr>
        <w:pStyle w:val="8"/>
      </w:pPr>
    </w:p>
    <w:p>
      <w:pPr>
        <w:pStyle w:val="4"/>
      </w:pPr>
    </w:p>
    <w:p/>
    <w:p>
      <w:pPr>
        <w:pStyle w:val="8"/>
      </w:pPr>
    </w:p>
    <w:p>
      <w:pPr>
        <w:pStyle w:val="4"/>
      </w:pPr>
    </w:p>
    <w:p/>
    <w:p>
      <w:pPr>
        <w:pStyle w:val="8"/>
      </w:pPr>
    </w:p>
    <w:p>
      <w:pPr>
        <w:pStyle w:val="4"/>
      </w:pPr>
    </w:p>
    <w:p/>
    <w:p>
      <w:pPr>
        <w:pStyle w:val="8"/>
      </w:pPr>
    </w:p>
    <w:p>
      <w:pPr>
        <w:pStyle w:val="4"/>
      </w:pPr>
    </w:p>
    <w:p/>
    <w:p>
      <w:pPr>
        <w:pStyle w:val="8"/>
      </w:pPr>
    </w:p>
    <w:p>
      <w:pPr>
        <w:pStyle w:val="4"/>
      </w:pPr>
    </w:p>
    <w:p/>
    <w:p>
      <w:pPr>
        <w:pStyle w:val="14"/>
        <w:jc w:val="center"/>
        <w:rPr>
          <w:rFonts w:hint="eastAsia" w:ascii="方正小标宋_GBK" w:hAnsi="方正小标宋_GBK" w:eastAsia="方正小标宋_GBK" w:cs="方正小标宋_GBK"/>
          <w:sz w:val="84"/>
          <w:szCs w:val="84"/>
        </w:rPr>
      </w:pPr>
    </w:p>
    <w:p>
      <w:pPr>
        <w:pStyle w:val="14"/>
        <w:jc w:val="center"/>
        <w:rPr>
          <w:rFonts w:hint="eastAsia" w:ascii="方正小标宋_GBK" w:hAnsi="方正小标宋_GBK" w:eastAsia="方正小标宋_GBK" w:cs="方正小标宋_GBK"/>
          <w:sz w:val="84"/>
          <w:szCs w:val="84"/>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4"/>
        <w:jc w:val="center"/>
        <w:rPr>
          <w:rFonts w:hint="eastAsia" w:ascii="方正小标宋_GBK" w:hAnsi="方正小标宋_GBK" w:eastAsia="方正小标宋_GBK" w:cs="方正小标宋_GBK"/>
          <w:sz w:val="84"/>
          <w:szCs w:val="84"/>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pStyle w:val="14"/>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pPr>
        <w:pStyle w:val="14"/>
        <w:jc w:val="center"/>
        <w:rPr>
          <w:rFonts w:hint="eastAsia" w:ascii="仿宋_GB2312" w:hAnsi="仿宋_GB2312" w:eastAsia="仿宋_GB2312" w:cs="仿宋_GB2312"/>
          <w:b w:val="0"/>
          <w:bCs w:val="0"/>
          <w:sz w:val="72"/>
          <w:szCs w:val="72"/>
          <w:lang w:eastAsia="zh-CN"/>
        </w:rPr>
      </w:pPr>
    </w:p>
    <w:p>
      <w:pPr>
        <w:pStyle w:val="14"/>
        <w:jc w:val="center"/>
        <w:rPr>
          <w:rFonts w:hint="eastAsia" w:ascii="仿宋_GB2312" w:hAnsi="仿宋_GB2312" w:eastAsia="仿宋_GB2312" w:cs="仿宋_GB2312"/>
          <w:b w:val="0"/>
          <w:bCs w:val="0"/>
          <w:sz w:val="72"/>
          <w:szCs w:val="72"/>
          <w:lang w:eastAsia="zh-CN"/>
        </w:rPr>
      </w:pPr>
    </w:p>
    <w:p>
      <w:pPr>
        <w:pStyle w:val="14"/>
        <w:jc w:val="center"/>
        <w:rPr>
          <w:rFonts w:hint="eastAsia" w:ascii="仿宋_GB2312" w:hAnsi="仿宋_GB2312" w:eastAsia="仿宋_GB2312" w:cs="仿宋_GB2312"/>
          <w:b w:val="0"/>
          <w:bCs w:val="0"/>
          <w:sz w:val="72"/>
          <w:szCs w:val="72"/>
          <w:lang w:eastAsia="zh-CN"/>
        </w:rPr>
      </w:pPr>
    </w:p>
    <w:p>
      <w:pPr>
        <w:pStyle w:val="14"/>
        <w:jc w:val="center"/>
        <w:rPr>
          <w:rFonts w:hint="eastAsia" w:ascii="仿宋_GB2312" w:hAnsi="仿宋_GB2312" w:eastAsia="仿宋_GB2312" w:cs="仿宋_GB2312"/>
          <w:b w:val="0"/>
          <w:bCs w:val="0"/>
          <w:sz w:val="72"/>
          <w:szCs w:val="72"/>
          <w:lang w:eastAsia="zh-CN"/>
        </w:rPr>
      </w:pPr>
    </w:p>
    <w:p>
      <w:pPr>
        <w:pStyle w:val="14"/>
        <w:jc w:val="center"/>
        <w:rPr>
          <w:rFonts w:hint="eastAsia" w:ascii="仿宋_GB2312" w:hAnsi="仿宋_GB2312" w:eastAsia="仿宋_GB2312" w:cs="仿宋_GB2312"/>
          <w:b w:val="0"/>
          <w:bCs w:val="0"/>
          <w:sz w:val="72"/>
          <w:szCs w:val="72"/>
          <w:lang w:eastAsia="zh-CN"/>
        </w:rPr>
      </w:pPr>
    </w:p>
    <w:p>
      <w:pPr>
        <w:pStyle w:val="14"/>
        <w:jc w:val="center"/>
        <w:rPr>
          <w:rFonts w:hint="eastAsia" w:ascii="仿宋_GB2312" w:hAnsi="仿宋_GB2312" w:eastAsia="仿宋_GB2312" w:cs="仿宋_GB2312"/>
          <w:b w:val="0"/>
          <w:bCs w:val="0"/>
          <w:sz w:val="72"/>
          <w:szCs w:val="72"/>
          <w:lang w:eastAsia="zh-CN"/>
        </w:rPr>
      </w:pPr>
    </w:p>
    <w:p>
      <w:pPr>
        <w:pStyle w:val="14"/>
        <w:jc w:val="center"/>
        <w:rPr>
          <w:rFonts w:hint="eastAsia" w:ascii="仿宋_GB2312" w:hAnsi="仿宋_GB2312" w:eastAsia="仿宋_GB2312" w:cs="仿宋_GB2312"/>
          <w:b w:val="0"/>
          <w:bCs w:val="0"/>
          <w:sz w:val="72"/>
          <w:szCs w:val="72"/>
          <w:lang w:eastAsia="zh-CN"/>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both"/>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4"/>
        <w:jc w:val="center"/>
        <w:rPr>
          <w:rFonts w:hint="eastAsia" w:ascii="方正小标宋_GBK" w:hAnsi="方正小标宋_GBK" w:eastAsia="方正小标宋_GBK" w:cs="方正小标宋_GBK"/>
          <w:sz w:val="70"/>
          <w:szCs w:val="70"/>
        </w:rPr>
      </w:pPr>
    </w:p>
    <w:p>
      <w:pPr>
        <w:pStyle w:val="14"/>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pPr>
        <w:pStyle w:val="14"/>
        <w:jc w:val="center"/>
        <w:rPr>
          <w:rFonts w:hint="eastAsia" w:ascii="方正小标宋_GBK" w:hAnsi="方正小标宋_GBK" w:eastAsia="方正小标宋_GBK" w:cs="方正小标宋_GBK"/>
          <w:sz w:val="70"/>
          <w:szCs w:val="70"/>
        </w:rPr>
      </w:pPr>
    </w:p>
    <w:p>
      <w:pPr>
        <w:pStyle w:val="14"/>
        <w:jc w:val="center"/>
        <w:rPr>
          <w:rFonts w:hint="eastAsia" w:ascii="方正小标宋_GBK" w:hAnsi="方正小标宋_GBK" w:eastAsia="方正小标宋_GBK" w:cs="方正小标宋_GBK"/>
          <w:sz w:val="70"/>
          <w:szCs w:val="70"/>
        </w:rPr>
      </w:pPr>
    </w:p>
    <w:p>
      <w:pPr>
        <w:pStyle w:val="14"/>
        <w:jc w:val="center"/>
        <w:rPr>
          <w:rFonts w:hint="eastAsia" w:ascii="方正小标宋_GBK" w:hAnsi="方正小标宋_GBK" w:eastAsia="方正小标宋_GBK" w:cs="方正小标宋_GBK"/>
          <w:sz w:val="70"/>
          <w:szCs w:val="70"/>
        </w:rPr>
      </w:pPr>
    </w:p>
    <w:p>
      <w:pPr>
        <w:pStyle w:val="14"/>
        <w:jc w:val="center"/>
        <w:rPr>
          <w:rFonts w:hint="eastAsia" w:ascii="方正小标宋_GBK" w:hAnsi="方正小标宋_GBK" w:eastAsia="方正小标宋_GBK" w:cs="方正小标宋_GBK"/>
          <w:sz w:val="70"/>
          <w:szCs w:val="70"/>
        </w:rPr>
      </w:pPr>
    </w:p>
    <w:p>
      <w:pPr>
        <w:pStyle w:val="14"/>
        <w:jc w:val="center"/>
        <w:rPr>
          <w:rFonts w:hint="eastAsia" w:ascii="方正小标宋_GBK" w:hAnsi="方正小标宋_GBK" w:eastAsia="方正小标宋_GBK" w:cs="方正小标宋_GBK"/>
          <w:sz w:val="70"/>
          <w:szCs w:val="70"/>
        </w:rPr>
      </w:pPr>
    </w:p>
    <w:p>
      <w:pPr>
        <w:pStyle w:val="14"/>
        <w:jc w:val="center"/>
        <w:rPr>
          <w:rFonts w:hint="eastAsia" w:ascii="方正小标宋_GBK" w:hAnsi="方正小标宋_GBK" w:eastAsia="方正小标宋_GBK" w:cs="方正小标宋_GBK"/>
          <w:sz w:val="70"/>
          <w:szCs w:val="70"/>
        </w:rPr>
      </w:pPr>
    </w:p>
    <w:p>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年度收、支总计846</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万元。与上年相比，减少</w:t>
      </w:r>
      <w:r>
        <w:rPr>
          <w:rFonts w:hint="eastAsia" w:ascii="仿宋_GB2312" w:hAnsi="仿宋_GB2312" w:eastAsia="仿宋_GB2312" w:cs="仿宋_GB2312"/>
          <w:sz w:val="32"/>
          <w:szCs w:val="32"/>
          <w:lang w:val="en-US" w:eastAsia="zh-CN"/>
        </w:rPr>
        <w:t>122.3</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12.6</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本年没有年初结转和结余。</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w:t>
      </w:r>
      <w:r>
        <w:rPr>
          <w:rFonts w:hint="eastAsia" w:ascii="仿宋_GB2312" w:hAnsi="仿宋_GB2312" w:eastAsia="仿宋_GB2312" w:cs="仿宋_GB2312"/>
          <w:sz w:val="32"/>
          <w:szCs w:val="32"/>
          <w:lang w:val="en-US" w:eastAsia="zh-CN"/>
        </w:rPr>
        <w:t>846.2</w:t>
      </w:r>
      <w:r>
        <w:rPr>
          <w:rFonts w:hint="eastAsia" w:ascii="仿宋_GB2312" w:hAnsi="仿宋_GB2312" w:eastAsia="仿宋_GB2312" w:cs="仿宋_GB2312"/>
          <w:sz w:val="32"/>
          <w:szCs w:val="32"/>
        </w:rPr>
        <w:t>万元，其中：财政拨款收入</w:t>
      </w:r>
      <w:r>
        <w:rPr>
          <w:rFonts w:hint="eastAsia" w:ascii="仿宋_GB2312" w:hAnsi="仿宋_GB2312" w:eastAsia="仿宋_GB2312" w:cs="仿宋_GB2312"/>
          <w:sz w:val="32"/>
          <w:szCs w:val="32"/>
          <w:lang w:val="en-US" w:eastAsia="zh-CN"/>
        </w:rPr>
        <w:t>616.9</w:t>
      </w:r>
      <w:r>
        <w:rPr>
          <w:rFonts w:hint="eastAsia" w:ascii="仿宋_GB2312" w:hAnsi="仿宋_GB2312" w:eastAsia="仿宋_GB2312" w:cs="仿宋_GB2312"/>
          <w:sz w:val="32"/>
          <w:szCs w:val="32"/>
        </w:rPr>
        <w:t>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val="en-US" w:eastAsia="zh-CN"/>
        </w:rPr>
        <w:t>72.9</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%；其他收入</w:t>
      </w:r>
      <w:r>
        <w:rPr>
          <w:rFonts w:hint="eastAsia" w:ascii="仿宋_GB2312" w:hAnsi="仿宋_GB2312" w:eastAsia="仿宋_GB2312" w:cs="仿宋_GB2312"/>
          <w:sz w:val="32"/>
          <w:szCs w:val="32"/>
          <w:lang w:val="en-US" w:eastAsia="zh-CN"/>
        </w:rPr>
        <w:t>229.3</w:t>
      </w:r>
      <w:r>
        <w:rPr>
          <w:rFonts w:hint="eastAsia" w:ascii="仿宋_GB2312" w:hAnsi="仿宋_GB2312" w:eastAsia="仿宋_GB2312" w:cs="仿宋_GB2312"/>
          <w:sz w:val="32"/>
          <w:szCs w:val="32"/>
        </w:rPr>
        <w:t>万元，占</w:t>
      </w:r>
      <w:r>
        <w:rPr>
          <w:rFonts w:hint="eastAsia" w:ascii="仿宋_GB2312" w:hAnsi="仿宋_GB2312" w:eastAsia="仿宋_GB2312" w:cs="仿宋_GB2312"/>
          <w:color w:val="auto"/>
          <w:sz w:val="32"/>
          <w:szCs w:val="32"/>
          <w:lang w:val="en-US" w:eastAsia="zh-CN"/>
        </w:rPr>
        <w:t>27.1</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w:t>
      </w:r>
      <w:r>
        <w:rPr>
          <w:rFonts w:hint="eastAsia" w:ascii="仿宋_GB2312" w:hAnsi="仿宋_GB2312" w:eastAsia="仿宋_GB2312" w:cs="仿宋_GB2312"/>
          <w:sz w:val="32"/>
          <w:szCs w:val="32"/>
          <w:lang w:val="en-US" w:eastAsia="zh-CN"/>
        </w:rPr>
        <w:t>846.2</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518.5</w:t>
      </w:r>
      <w:r>
        <w:rPr>
          <w:rFonts w:hint="eastAsia" w:ascii="仿宋_GB2312" w:hAnsi="仿宋_GB2312" w:eastAsia="仿宋_GB2312" w:cs="仿宋_GB2312"/>
          <w:sz w:val="32"/>
          <w:szCs w:val="32"/>
        </w:rPr>
        <w:t>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val="en-US" w:eastAsia="zh-CN"/>
        </w:rPr>
        <w:t>61.27</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sz w:val="32"/>
          <w:szCs w:val="32"/>
        </w:rPr>
        <w:t>项目支出</w:t>
      </w:r>
      <w:r>
        <w:rPr>
          <w:rFonts w:hint="eastAsia" w:ascii="仿宋_GB2312" w:hAnsi="仿宋_GB2312" w:eastAsia="仿宋_GB2312" w:cs="仿宋_GB2312"/>
          <w:sz w:val="32"/>
          <w:szCs w:val="32"/>
          <w:lang w:val="en-US" w:eastAsia="zh-CN"/>
        </w:rPr>
        <w:t>327.7</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38.73</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4"/>
        <w:keepNext w:val="0"/>
        <w:keepLines w:val="0"/>
        <w:pageBreakBefore w:val="0"/>
        <w:widowControl w:val="0"/>
        <w:kinsoku/>
        <w:wordWrap/>
        <w:overflowPunct/>
        <w:topLinePunct w:val="0"/>
        <w:bidi w:val="0"/>
        <w:snapToGrid/>
        <w:spacing w:line="60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w:t>
      </w:r>
      <w:r>
        <w:rPr>
          <w:rFonts w:hint="eastAsia" w:ascii="仿宋_GB2312" w:hAnsi="仿宋_GB2312" w:eastAsia="仿宋_GB2312" w:cs="仿宋_GB2312"/>
          <w:sz w:val="32"/>
          <w:szCs w:val="32"/>
          <w:lang w:val="en-US" w:eastAsia="zh-CN"/>
        </w:rPr>
        <w:t>616.9</w:t>
      </w:r>
      <w:r>
        <w:rPr>
          <w:rFonts w:hint="eastAsia" w:ascii="仿宋_GB2312" w:hAnsi="仿宋_GB2312" w:eastAsia="仿宋_GB2312" w:cs="仿宋_GB2312"/>
          <w:sz w:val="32"/>
          <w:szCs w:val="32"/>
        </w:rPr>
        <w:t>万元，与上年相比，减少</w:t>
      </w:r>
      <w:r>
        <w:rPr>
          <w:rFonts w:hint="eastAsia" w:ascii="仿宋_GB2312" w:hAnsi="仿宋_GB2312" w:eastAsia="仿宋_GB2312" w:cs="仿宋_GB2312"/>
          <w:sz w:val="32"/>
          <w:szCs w:val="32"/>
          <w:lang w:val="en-US" w:eastAsia="zh-CN"/>
        </w:rPr>
        <w:t>163.24</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20.92</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本年没有年初结转和结余。</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i/>
          <w:iCs/>
          <w:color w:val="FF0000"/>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550.7</w:t>
      </w:r>
      <w:r>
        <w:rPr>
          <w:rFonts w:hint="eastAsia" w:ascii="仿宋_GB2312" w:hAnsi="仿宋_GB2312" w:eastAsia="仿宋_GB2312" w:cs="仿宋_GB2312"/>
          <w:sz w:val="32"/>
          <w:szCs w:val="32"/>
        </w:rPr>
        <w:t>万元，占本年支出合计的</w:t>
      </w:r>
      <w:r>
        <w:rPr>
          <w:rFonts w:hint="eastAsia" w:ascii="仿宋_GB2312" w:hAnsi="仿宋_GB2312" w:eastAsia="仿宋_GB2312" w:cs="仿宋_GB2312"/>
          <w:sz w:val="32"/>
          <w:szCs w:val="32"/>
          <w:lang w:val="en-US" w:eastAsia="zh-CN"/>
        </w:rPr>
        <w:t>65.08</w:t>
      </w:r>
      <w:r>
        <w:rPr>
          <w:rFonts w:hint="eastAsia" w:ascii="仿宋_GB2312" w:hAnsi="仿宋_GB2312" w:eastAsia="仿宋_GB2312" w:cs="仿宋_GB2312"/>
          <w:sz w:val="32"/>
          <w:szCs w:val="32"/>
        </w:rPr>
        <w:t>%，与上年相比，财政拨款支出减少</w:t>
      </w:r>
      <w:r>
        <w:rPr>
          <w:rFonts w:hint="eastAsia" w:ascii="仿宋_GB2312" w:hAnsi="仿宋_GB2312" w:eastAsia="仿宋_GB2312" w:cs="仿宋_GB2312"/>
          <w:sz w:val="32"/>
          <w:szCs w:val="32"/>
          <w:lang w:val="en-US" w:eastAsia="zh-CN"/>
        </w:rPr>
        <w:t>4.98</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0.9</w:t>
      </w:r>
      <w:r>
        <w:rPr>
          <w:rFonts w:hint="eastAsia" w:ascii="仿宋_GB2312" w:hAnsi="仿宋_GB2312" w:eastAsia="仿宋_GB2312" w:cs="仿宋_GB2312"/>
          <w:sz w:val="32"/>
          <w:szCs w:val="32"/>
        </w:rPr>
        <w:t>%，主要是因为</w:t>
      </w:r>
      <w:r>
        <w:rPr>
          <w:rFonts w:hint="eastAsia" w:ascii="Times New Roman" w:hAnsi="Times New Roman" w:eastAsia="仿宋_GB2312"/>
          <w:color w:val="000000"/>
          <w:sz w:val="32"/>
          <w:szCs w:val="32"/>
          <w:lang w:eastAsia="zh-CN"/>
        </w:rPr>
        <w:t>流浪乞讨人员临时救助支出减少。</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550.7</w:t>
      </w:r>
      <w:r>
        <w:rPr>
          <w:rFonts w:hint="eastAsia" w:ascii="仿宋_GB2312" w:hAnsi="仿宋_GB2312" w:eastAsia="仿宋_GB2312" w:cs="仿宋_GB2312"/>
          <w:sz w:val="32"/>
          <w:szCs w:val="32"/>
        </w:rPr>
        <w:t>万元，主要用于以下方面：</w:t>
      </w:r>
      <w:r>
        <w:rPr>
          <w:rFonts w:hint="eastAsia" w:ascii="Times New Roman" w:hAnsi="Times New Roman" w:eastAsia="仿宋_GB2312" w:cs="黑体"/>
          <w:color w:val="000000"/>
          <w:kern w:val="0"/>
          <w:sz w:val="32"/>
          <w:szCs w:val="32"/>
          <w:lang w:val="en-US" w:eastAsia="zh-CN" w:bidi="ar-SA"/>
        </w:rPr>
        <w:t>社会保障和就业（类）支出524.9万元，占95.32%；住房保障支出（类）支出25.8万元，占4.68%。</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年度财政拨款支出年初预算数为</w:t>
      </w:r>
      <w:r>
        <w:rPr>
          <w:rFonts w:hint="eastAsia" w:ascii="仿宋_GB2312" w:hAnsi="仿宋_GB2312" w:eastAsia="仿宋_GB2312" w:cs="仿宋_GB2312"/>
          <w:color w:val="auto"/>
          <w:sz w:val="32"/>
          <w:szCs w:val="32"/>
          <w:lang w:val="en-US" w:eastAsia="zh-CN"/>
        </w:rPr>
        <w:t>498.37</w:t>
      </w:r>
      <w:r>
        <w:rPr>
          <w:rFonts w:hint="eastAsia" w:ascii="仿宋_GB2312" w:hAnsi="仿宋_GB2312" w:eastAsia="仿宋_GB2312" w:cs="仿宋_GB2312"/>
          <w:color w:val="auto"/>
          <w:sz w:val="32"/>
          <w:szCs w:val="32"/>
        </w:rPr>
        <w:t>万元，支出决算数为</w:t>
      </w:r>
      <w:r>
        <w:rPr>
          <w:rFonts w:hint="eastAsia" w:ascii="仿宋_GB2312" w:hAnsi="仿宋_GB2312" w:eastAsia="仿宋_GB2312" w:cs="仿宋_GB2312"/>
          <w:color w:val="auto"/>
          <w:sz w:val="32"/>
          <w:szCs w:val="32"/>
          <w:lang w:val="en-US" w:eastAsia="zh-CN"/>
        </w:rPr>
        <w:t>550.7</w:t>
      </w:r>
      <w:r>
        <w:rPr>
          <w:rFonts w:hint="eastAsia" w:ascii="仿宋_GB2312" w:hAnsi="仿宋_GB2312" w:eastAsia="仿宋_GB2312" w:cs="仿宋_GB2312"/>
          <w:color w:val="auto"/>
          <w:sz w:val="32"/>
          <w:szCs w:val="32"/>
        </w:rPr>
        <w:t>万元，完成年初预算的</w:t>
      </w:r>
      <w:r>
        <w:rPr>
          <w:rFonts w:hint="eastAsia" w:ascii="仿宋_GB2312" w:hAnsi="仿宋_GB2312" w:eastAsia="仿宋_GB2312" w:cs="仿宋_GB2312"/>
          <w:color w:val="auto"/>
          <w:sz w:val="32"/>
          <w:szCs w:val="32"/>
          <w:lang w:val="en-US" w:eastAsia="zh-CN"/>
        </w:rPr>
        <w:t>110.5</w:t>
      </w:r>
      <w:r>
        <w:rPr>
          <w:rFonts w:hint="eastAsia" w:ascii="仿宋_GB2312" w:hAnsi="仿宋_GB2312" w:eastAsia="仿宋_GB2312" w:cs="仿宋_GB2312"/>
          <w:color w:val="auto"/>
          <w:sz w:val="32"/>
          <w:szCs w:val="32"/>
        </w:rPr>
        <w:t>%，其中：</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1、社会保障和就业支出（类）民政管理事务（款）行政运行（项）。</w:t>
      </w:r>
    </w:p>
    <w:p>
      <w:pPr>
        <w:pStyle w:val="14"/>
        <w:keepNext w:val="0"/>
        <w:keepLines w:val="0"/>
        <w:pageBreakBefore w:val="0"/>
        <w:widowControl w:val="0"/>
        <w:kinsoku/>
        <w:wordWrap/>
        <w:overflowPunct/>
        <w:topLinePunct w:val="0"/>
        <w:autoSpaceDE w:val="0"/>
        <w:autoSpaceDN w:val="0"/>
        <w:bidi w:val="0"/>
        <w:adjustRightInd w:val="0"/>
        <w:snapToGrid/>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年初预算为</w:t>
      </w:r>
      <w:r>
        <w:rPr>
          <w:rFonts w:hint="eastAsia" w:ascii="仿宋_GB2312" w:hAnsi="仿宋_GB2312" w:eastAsia="仿宋_GB2312" w:cs="仿宋_GB2312"/>
          <w:color w:val="auto"/>
          <w:sz w:val="32"/>
          <w:szCs w:val="32"/>
          <w:lang w:val="en-US" w:eastAsia="zh-CN"/>
        </w:rPr>
        <w:t>430.17</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sz w:val="32"/>
          <w:szCs w:val="32"/>
        </w:rPr>
        <w:t>支出决算为</w:t>
      </w:r>
      <w:r>
        <w:rPr>
          <w:rFonts w:hint="eastAsia" w:ascii="仿宋_GB2312" w:hAnsi="仿宋_GB2312" w:eastAsia="仿宋_GB2312" w:cs="仿宋_GB2312"/>
          <w:sz w:val="32"/>
          <w:szCs w:val="32"/>
          <w:lang w:val="en-US" w:eastAsia="zh-CN"/>
        </w:rPr>
        <w:t>447.98</w:t>
      </w:r>
      <w:r>
        <w:rPr>
          <w:rFonts w:hint="eastAsia" w:ascii="仿宋_GB2312" w:hAnsi="仿宋_GB2312" w:eastAsia="仿宋_GB2312" w:cs="仿宋_GB2312"/>
          <w:sz w:val="32"/>
          <w:szCs w:val="32"/>
        </w:rPr>
        <w:t>万元，</w:t>
      </w:r>
      <w:r>
        <w:rPr>
          <w:rFonts w:hint="eastAsia" w:ascii="仿宋_GB2312" w:hAnsi="仿宋_GB2312" w:eastAsia="仿宋_GB2312" w:cs="仿宋_GB2312"/>
          <w:color w:val="auto"/>
          <w:sz w:val="32"/>
          <w:szCs w:val="32"/>
        </w:rPr>
        <w:t>完成年初预算的</w:t>
      </w:r>
      <w:r>
        <w:rPr>
          <w:rFonts w:hint="eastAsia" w:ascii="仿宋_GB2312" w:hAnsi="仿宋_GB2312" w:eastAsia="仿宋_GB2312" w:cs="仿宋_GB2312"/>
          <w:color w:val="auto"/>
          <w:sz w:val="32"/>
          <w:szCs w:val="32"/>
          <w:lang w:val="en-US" w:eastAsia="zh-CN"/>
        </w:rPr>
        <w:t>104.14</w:t>
      </w:r>
      <w:r>
        <w:rPr>
          <w:rFonts w:hint="eastAsia" w:ascii="仿宋_GB2312" w:hAnsi="仿宋_GB2312" w:eastAsia="仿宋_GB2312" w:cs="仿宋_GB2312"/>
          <w:color w:val="auto"/>
          <w:sz w:val="32"/>
          <w:szCs w:val="32"/>
        </w:rPr>
        <w:t>%，决算数大于年初预算数的主要原</w:t>
      </w:r>
      <w:r>
        <w:rPr>
          <w:rFonts w:hint="eastAsia" w:ascii="仿宋_GB2312" w:hAnsi="仿宋_GB2312" w:eastAsia="仿宋_GB2312" w:cs="仿宋_GB2312"/>
          <w:color w:val="auto"/>
          <w:sz w:val="32"/>
          <w:szCs w:val="32"/>
          <w:lang w:val="en-US" w:eastAsia="zh-CN"/>
        </w:rPr>
        <w:t xml:space="preserve">因是要原因是年初未纳入本单位预算，但纳入了财政大预算。  </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2、社会保障和就业支出（类）行政事业单位养老支出（款）机关事业单位基本养老保险缴费支出（项）。</w:t>
      </w:r>
    </w:p>
    <w:p>
      <w:pPr>
        <w:pStyle w:val="14"/>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Times New Roman" w:hAnsi="Times New Roman" w:eastAsia="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25.8</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25.8</w:t>
      </w:r>
      <w:r>
        <w:rPr>
          <w:rFonts w:hint="eastAsia" w:ascii="仿宋_GB2312" w:hAnsi="仿宋_GB2312" w:eastAsia="仿宋_GB2312" w:cs="仿宋_GB2312"/>
          <w:sz w:val="32"/>
          <w:szCs w:val="32"/>
        </w:rPr>
        <w:t>万元，</w:t>
      </w:r>
      <w:r>
        <w:rPr>
          <w:rFonts w:hint="eastAsia" w:ascii="仿宋_GB2312" w:hAnsi="仿宋_GB2312" w:eastAsia="仿宋_GB2312" w:cs="仿宋_GB2312"/>
          <w:color w:val="auto"/>
          <w:sz w:val="32"/>
          <w:szCs w:val="32"/>
        </w:rPr>
        <w:t>完成年初预算的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Times New Roman" w:hAnsi="Times New Roman" w:eastAsia="仿宋_GB2312"/>
          <w:sz w:val="32"/>
          <w:szCs w:val="32"/>
        </w:rPr>
        <w:t>决算数等于</w:t>
      </w:r>
      <w:r>
        <w:rPr>
          <w:rFonts w:hint="eastAsia" w:ascii="Times New Roman" w:hAnsi="Times New Roman" w:eastAsia="仿宋_GB2312"/>
          <w:sz w:val="32"/>
          <w:szCs w:val="32"/>
          <w:lang w:eastAsia="zh-CN"/>
        </w:rPr>
        <w:t>年初</w:t>
      </w:r>
      <w:r>
        <w:rPr>
          <w:rFonts w:hint="eastAsia" w:ascii="Times New Roman" w:hAnsi="Times New Roman" w:eastAsia="仿宋_GB2312"/>
          <w:sz w:val="32"/>
          <w:szCs w:val="32"/>
        </w:rPr>
        <w:t>预算数的主要原因是严格按照预算支出。</w:t>
      </w:r>
    </w:p>
    <w:p>
      <w:pPr>
        <w:pStyle w:val="14"/>
        <w:keepNext w:val="0"/>
        <w:keepLines w:val="0"/>
        <w:pageBreakBefore w:val="0"/>
        <w:widowControl w:val="0"/>
        <w:numPr>
          <w:ilvl w:val="0"/>
          <w:numId w:val="3"/>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社会保障和就业支出（类）抚恤（款）其他优抚支出（项）。</w:t>
      </w:r>
    </w:p>
    <w:p>
      <w:pPr>
        <w:pStyle w:val="14"/>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18.5</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lang w:val="en-US" w:eastAsia="zh-CN"/>
        </w:rPr>
        <w:t>决算数大于年初预算数的主要原因是年初未纳入本单位预算，但纳入了财政大预算。</w:t>
      </w:r>
    </w:p>
    <w:p>
      <w:pPr>
        <w:pStyle w:val="14"/>
        <w:keepNext w:val="0"/>
        <w:keepLines w:val="0"/>
        <w:pageBreakBefore w:val="0"/>
        <w:widowControl w:val="0"/>
        <w:numPr>
          <w:ilvl w:val="0"/>
          <w:numId w:val="3"/>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社会保障和就业支出（类）社会福利（款）其他社会福利支出（项）。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7.3</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lang w:val="en-US" w:eastAsia="zh-CN"/>
        </w:rPr>
        <w:t>决算数大于年初预算数的主要原因是年初未纳入本单位预算，但纳入了财政大预算。</w:t>
      </w:r>
    </w:p>
    <w:p>
      <w:pPr>
        <w:pStyle w:val="14"/>
        <w:keepNext w:val="0"/>
        <w:keepLines w:val="0"/>
        <w:pageBreakBefore w:val="0"/>
        <w:widowControl w:val="0"/>
        <w:numPr>
          <w:ilvl w:val="0"/>
          <w:numId w:val="3"/>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社会保障和就业支出（类）临时救助（款）临时救助支出（项）。</w:t>
      </w:r>
    </w:p>
    <w:p>
      <w:pPr>
        <w:pStyle w:val="14"/>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Times New Roman" w:hAnsi="Times New Roman" w:eastAsia="仿宋_GB2312"/>
          <w:sz w:val="32"/>
          <w:szCs w:val="32"/>
          <w:highlight w:val="none"/>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9.8</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rPr>
        <w:t>完成年初预算</w:t>
      </w:r>
      <w:r>
        <w:rPr>
          <w:rFonts w:hint="eastAsia" w:ascii="Times New Roman" w:hAnsi="Times New Roman" w:eastAsia="仿宋_GB2312"/>
          <w:sz w:val="32"/>
          <w:szCs w:val="32"/>
          <w:lang w:val="en-US" w:eastAsia="zh-CN"/>
        </w:rPr>
        <w:t>98</w:t>
      </w:r>
      <w:r>
        <w:rPr>
          <w:rFonts w:hint="eastAsia" w:ascii="Times New Roman" w:hAnsi="Times New Roman" w:eastAsia="仿宋_GB2312"/>
          <w:sz w:val="32"/>
          <w:szCs w:val="32"/>
        </w:rPr>
        <w:t>%，</w:t>
      </w:r>
      <w:r>
        <w:rPr>
          <w:rFonts w:hint="eastAsia" w:ascii="Times New Roman" w:hAnsi="Times New Roman" w:eastAsia="仿宋_GB2312"/>
          <w:sz w:val="32"/>
          <w:szCs w:val="32"/>
          <w:highlight w:val="none"/>
        </w:rPr>
        <w:t>决算数小于</w:t>
      </w:r>
      <w:r>
        <w:rPr>
          <w:rFonts w:hint="eastAsia" w:ascii="Times New Roman" w:hAnsi="Times New Roman" w:eastAsia="仿宋_GB2312"/>
          <w:sz w:val="32"/>
          <w:szCs w:val="32"/>
          <w:highlight w:val="none"/>
          <w:lang w:eastAsia="zh-CN"/>
        </w:rPr>
        <w:t>年初</w:t>
      </w:r>
      <w:r>
        <w:rPr>
          <w:rFonts w:hint="eastAsia" w:ascii="Times New Roman" w:hAnsi="Times New Roman" w:eastAsia="仿宋_GB2312"/>
          <w:sz w:val="32"/>
          <w:szCs w:val="32"/>
          <w:highlight w:val="none"/>
        </w:rPr>
        <w:t>预算数的主要原因是一般商品和服务支出</w:t>
      </w:r>
      <w:r>
        <w:rPr>
          <w:rFonts w:hint="eastAsia" w:ascii="Times New Roman" w:hAnsi="Times New Roman" w:eastAsia="仿宋_GB2312"/>
          <w:sz w:val="32"/>
          <w:szCs w:val="32"/>
          <w:highlight w:val="none"/>
          <w:lang w:eastAsia="zh-CN"/>
        </w:rPr>
        <w:t>和对个人和家庭的补助支出减少。</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p>
    <w:p>
      <w:pPr>
        <w:pStyle w:val="14"/>
        <w:keepNext w:val="0"/>
        <w:keepLines w:val="0"/>
        <w:pageBreakBefore w:val="0"/>
        <w:widowControl w:val="0"/>
        <w:numPr>
          <w:ilvl w:val="0"/>
          <w:numId w:val="3"/>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社会保障和就业支出（类）临时救助（款）流浪乞讨人员救助支出（项）。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15.6</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lang w:val="en-US" w:eastAsia="zh-CN"/>
        </w:rPr>
        <w:t>决算数大于年初预算数的主要原因是年初未纳入本单位预算，但纳入了财政大预算。</w:t>
      </w:r>
    </w:p>
    <w:p>
      <w:pPr>
        <w:pStyle w:val="14"/>
        <w:keepNext w:val="0"/>
        <w:keepLines w:val="0"/>
        <w:pageBreakBefore w:val="0"/>
        <w:widowControl w:val="0"/>
        <w:numPr>
          <w:ilvl w:val="0"/>
          <w:numId w:val="3"/>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住房保障支出（类）住房改革支出（款）住房公积金（项）。</w:t>
      </w:r>
    </w:p>
    <w:p>
      <w:pPr>
        <w:pStyle w:val="14"/>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25.95</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25.8</w:t>
      </w:r>
      <w:r>
        <w:rPr>
          <w:rFonts w:hint="eastAsia" w:ascii="仿宋_GB2312" w:hAnsi="仿宋_GB2312" w:eastAsia="仿宋_GB2312" w:cs="仿宋_GB2312"/>
          <w:sz w:val="32"/>
          <w:szCs w:val="32"/>
        </w:rPr>
        <w:t>万元，</w:t>
      </w:r>
      <w:r>
        <w:rPr>
          <w:rFonts w:hint="eastAsia" w:ascii="仿宋_GB2312" w:hAnsi="仿宋_GB2312" w:eastAsia="仿宋_GB2312" w:cs="仿宋_GB2312"/>
          <w:color w:val="auto"/>
          <w:sz w:val="32"/>
          <w:szCs w:val="32"/>
        </w:rPr>
        <w:t>完成年初预算的</w:t>
      </w:r>
      <w:r>
        <w:rPr>
          <w:rFonts w:hint="eastAsia" w:ascii="仿宋_GB2312" w:hAnsi="仿宋_GB2312" w:eastAsia="仿宋_GB2312" w:cs="仿宋_GB2312"/>
          <w:color w:val="auto"/>
          <w:sz w:val="32"/>
          <w:szCs w:val="32"/>
          <w:lang w:val="en-US" w:eastAsia="zh-CN"/>
        </w:rPr>
        <w:t>99.42</w:t>
      </w:r>
      <w:r>
        <w:rPr>
          <w:rFonts w:hint="eastAsia" w:ascii="仿宋_GB2312" w:hAnsi="仿宋_GB2312" w:eastAsia="仿宋_GB2312" w:cs="仿宋_GB2312"/>
          <w:color w:val="auto"/>
          <w:sz w:val="32"/>
          <w:szCs w:val="32"/>
        </w:rPr>
        <w:t>%，</w:t>
      </w:r>
      <w:r>
        <w:rPr>
          <w:rFonts w:hint="eastAsia" w:ascii="Times New Roman" w:hAnsi="Times New Roman" w:eastAsia="仿宋_GB2312"/>
          <w:sz w:val="32"/>
          <w:szCs w:val="32"/>
        </w:rPr>
        <w:t>决算数小于</w:t>
      </w:r>
      <w:r>
        <w:rPr>
          <w:rFonts w:hint="eastAsia" w:ascii="Times New Roman" w:hAnsi="Times New Roman" w:eastAsia="仿宋_GB2312"/>
          <w:sz w:val="32"/>
          <w:szCs w:val="32"/>
          <w:lang w:eastAsia="zh-CN"/>
        </w:rPr>
        <w:t>年初</w:t>
      </w:r>
      <w:r>
        <w:rPr>
          <w:rFonts w:hint="eastAsia" w:ascii="Times New Roman" w:hAnsi="Times New Roman" w:eastAsia="仿宋_GB2312"/>
          <w:sz w:val="32"/>
          <w:szCs w:val="32"/>
        </w:rPr>
        <w:t>预算数的主要原因是有在职人员退休。</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w:t>
      </w:r>
      <w:r>
        <w:rPr>
          <w:rFonts w:hint="eastAsia" w:ascii="仿宋_GB2312" w:hAnsi="仿宋_GB2312" w:eastAsia="仿宋_GB2312" w:cs="仿宋_GB2312"/>
          <w:sz w:val="32"/>
          <w:szCs w:val="32"/>
          <w:lang w:val="en-US" w:eastAsia="zh-CN"/>
        </w:rPr>
        <w:t>518.5</w:t>
      </w:r>
      <w:r>
        <w:rPr>
          <w:rFonts w:hint="eastAsia" w:ascii="仿宋_GB2312" w:hAnsi="仿宋_GB2312" w:eastAsia="仿宋_GB2312" w:cs="仿宋_GB2312"/>
          <w:sz w:val="32"/>
          <w:szCs w:val="32"/>
        </w:rPr>
        <w:t>万元，其中：</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Times New Roman" w:hAnsi="Times New Roman" w:eastAsia="仿宋_GB2312" w:cs="黑体"/>
          <w:color w:val="000000"/>
          <w:kern w:val="0"/>
          <w:sz w:val="32"/>
          <w:szCs w:val="32"/>
          <w:lang w:val="en-US" w:eastAsia="zh-CN" w:bidi="ar-SA"/>
        </w:rPr>
      </w:pPr>
      <w:r>
        <w:rPr>
          <w:rFonts w:hint="eastAsia" w:ascii="仿宋_GB2312" w:hAnsi="仿宋_GB2312" w:eastAsia="仿宋_GB2312" w:cs="仿宋_GB2312"/>
          <w:b/>
          <w:bCs/>
          <w:sz w:val="32"/>
          <w:szCs w:val="32"/>
        </w:rPr>
        <w:t>人员经费</w:t>
      </w:r>
      <w:r>
        <w:rPr>
          <w:rFonts w:hint="eastAsia" w:ascii="Times New Roman" w:hAnsi="Times New Roman" w:eastAsia="仿宋_GB2312" w:cs="黑体"/>
          <w:color w:val="000000"/>
          <w:kern w:val="0"/>
          <w:sz w:val="32"/>
          <w:szCs w:val="32"/>
          <w:lang w:val="en-US" w:eastAsia="zh-CN" w:bidi="ar-SA"/>
        </w:rPr>
        <w:t>422.93万元</w:t>
      </w:r>
      <w:r>
        <w:rPr>
          <w:rFonts w:hint="eastAsia" w:ascii="仿宋_GB2312" w:hAnsi="仿宋_GB2312" w:eastAsia="仿宋_GB2312" w:cs="仿宋_GB2312"/>
          <w:sz w:val="32"/>
          <w:szCs w:val="32"/>
        </w:rPr>
        <w:t>，占基本支出的</w:t>
      </w:r>
      <w:r>
        <w:rPr>
          <w:rFonts w:hint="eastAsia" w:ascii="仿宋_GB2312" w:hAnsi="仿宋_GB2312" w:eastAsia="仿宋_GB2312" w:cs="仿宋_GB2312"/>
          <w:sz w:val="32"/>
          <w:szCs w:val="32"/>
          <w:lang w:val="en-US" w:eastAsia="zh-CN"/>
        </w:rPr>
        <w:t>81.57</w:t>
      </w:r>
      <w:r>
        <w:rPr>
          <w:rFonts w:hint="eastAsia" w:ascii="仿宋_GB2312" w:hAnsi="仿宋_GB2312" w:eastAsia="仿宋_GB2312" w:cs="仿宋_GB2312"/>
          <w:sz w:val="32"/>
          <w:szCs w:val="32"/>
        </w:rPr>
        <w:t>%,</w:t>
      </w:r>
      <w:r>
        <w:rPr>
          <w:rFonts w:hint="eastAsia" w:ascii="Times New Roman" w:hAnsi="Times New Roman" w:eastAsia="仿宋_GB2312" w:cs="黑体"/>
          <w:color w:val="000000"/>
          <w:kern w:val="0"/>
          <w:sz w:val="32"/>
          <w:szCs w:val="32"/>
          <w:lang w:val="en-US" w:eastAsia="zh-CN" w:bidi="ar-SA"/>
        </w:rPr>
        <w:t>主要包括基本工资、津贴补贴、奖金、伙食补助费、机关事业单位基本养老保险缴费、职工基本医疗保险缴费、其他社会保障缴费、住房公积金、其他工资福利支出、对个人和家庭的补助、退休费、医疗费补助、奖励金、其他对个人和家庭的补助。</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rPr>
      </w:pPr>
      <w:r>
        <w:rPr>
          <w:rFonts w:hint="eastAsia" w:ascii="仿宋_GB2312" w:hAnsi="仿宋_GB2312" w:eastAsia="仿宋_GB2312" w:cs="仿宋_GB2312"/>
          <w:b/>
          <w:bCs/>
          <w:sz w:val="32"/>
          <w:szCs w:val="32"/>
        </w:rPr>
        <w:t>公用经费</w:t>
      </w:r>
      <w:r>
        <w:rPr>
          <w:rFonts w:hint="eastAsia" w:ascii="Times New Roman" w:hAnsi="Times New Roman" w:eastAsia="仿宋_GB2312" w:cs="黑体"/>
          <w:color w:val="000000"/>
          <w:kern w:val="0"/>
          <w:sz w:val="32"/>
          <w:szCs w:val="32"/>
          <w:lang w:val="en-US" w:eastAsia="zh-CN" w:bidi="ar-SA"/>
        </w:rPr>
        <w:t>95.55万元，</w:t>
      </w:r>
      <w:r>
        <w:rPr>
          <w:rFonts w:hint="eastAsia" w:ascii="仿宋_GB2312" w:hAnsi="仿宋_GB2312" w:eastAsia="仿宋_GB2312" w:cs="仿宋_GB2312"/>
          <w:sz w:val="32"/>
          <w:szCs w:val="32"/>
        </w:rPr>
        <w:t>占基本支出的</w:t>
      </w:r>
      <w:r>
        <w:rPr>
          <w:rFonts w:hint="eastAsia" w:ascii="仿宋_GB2312" w:hAnsi="仿宋_GB2312" w:eastAsia="仿宋_GB2312" w:cs="仿宋_GB2312"/>
          <w:sz w:val="32"/>
          <w:szCs w:val="32"/>
          <w:lang w:val="en-US" w:eastAsia="zh-CN"/>
        </w:rPr>
        <w:t>18.43</w:t>
      </w:r>
      <w:r>
        <w:rPr>
          <w:rFonts w:hint="eastAsia" w:ascii="仿宋_GB2312" w:hAnsi="仿宋_GB2312" w:eastAsia="仿宋_GB2312" w:cs="仿宋_GB2312"/>
          <w:sz w:val="32"/>
          <w:szCs w:val="32"/>
        </w:rPr>
        <w:t>%，</w:t>
      </w:r>
      <w:r>
        <w:rPr>
          <w:rFonts w:hint="eastAsia" w:ascii="Times New Roman" w:hAnsi="Times New Roman" w:eastAsia="仿宋_GB2312" w:cs="黑体"/>
          <w:color w:val="000000"/>
          <w:kern w:val="0"/>
          <w:sz w:val="32"/>
          <w:szCs w:val="32"/>
          <w:lang w:val="en-US" w:eastAsia="zh-CN" w:bidi="ar-SA"/>
        </w:rPr>
        <w:t>主要包括办公费、印刷费、水费、电费、差旅费、维修（护）费、公务接待费、劳务费、工会经费、福利费、公务用车运行维护费、其他交通费用、其他商品服务和支出、办公设备购置。</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pPr>
        <w:pStyle w:val="14"/>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b/>
          <w:bCs/>
          <w:i/>
          <w:color w:val="auto"/>
          <w:kern w:val="0"/>
          <w:sz w:val="32"/>
          <w:szCs w:val="32"/>
          <w:lang w:val="en-US" w:eastAsia="zh-CN" w:bidi="ar-SA"/>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年度政府性基金预算财政拨款收入</w:t>
      </w:r>
      <w:r>
        <w:rPr>
          <w:rFonts w:hint="eastAsia" w:ascii="仿宋_GB2312" w:hAnsi="仿宋_GB2312" w:eastAsia="仿宋_GB2312" w:cs="仿宋_GB2312"/>
          <w:sz w:val="32"/>
          <w:szCs w:val="32"/>
          <w:lang w:val="en-US" w:eastAsia="zh-CN"/>
        </w:rPr>
        <w:t>66.17</w:t>
      </w:r>
      <w:r>
        <w:rPr>
          <w:rFonts w:hint="eastAsia" w:ascii="仿宋_GB2312" w:hAnsi="仿宋_GB2312" w:eastAsia="仿宋_GB2312" w:cs="仿宋_GB2312"/>
          <w:sz w:val="32"/>
          <w:szCs w:val="32"/>
        </w:rPr>
        <w:t>万元；年初结转和结余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w:t>
      </w:r>
      <w:r>
        <w:rPr>
          <w:rFonts w:hint="eastAsia" w:ascii="仿宋_GB2312" w:hAnsi="仿宋_GB2312" w:eastAsia="仿宋_GB2312" w:cs="仿宋_GB2312"/>
          <w:sz w:val="32"/>
          <w:szCs w:val="32"/>
          <w:lang w:val="en-US" w:eastAsia="zh-CN"/>
        </w:rPr>
        <w:t>66.17</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66.17</w:t>
      </w:r>
      <w:r>
        <w:rPr>
          <w:rFonts w:hint="eastAsia" w:ascii="仿宋_GB2312" w:hAnsi="仿宋_GB2312" w:eastAsia="仿宋_GB2312" w:cs="仿宋_GB2312"/>
          <w:sz w:val="32"/>
          <w:szCs w:val="32"/>
        </w:rPr>
        <w:t>万元；年末结转和结余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万元。具体情况如下：</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1、其他支出（类）彩票公益金安排的支出（款）用于社会福利的彩票公益金支出（项）。</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年初预算</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万元，支出决算为</w:t>
      </w:r>
      <w:r>
        <w:rPr>
          <w:rFonts w:hint="eastAsia" w:ascii="仿宋_GB2312" w:hAnsi="仿宋_GB2312" w:eastAsia="仿宋_GB2312" w:cs="仿宋_GB2312"/>
          <w:color w:val="auto"/>
          <w:sz w:val="32"/>
          <w:szCs w:val="32"/>
          <w:lang w:val="en-US" w:eastAsia="zh-CN"/>
        </w:rPr>
        <w:t>66.17</w:t>
      </w:r>
      <w:r>
        <w:rPr>
          <w:rFonts w:hint="eastAsia" w:ascii="仿宋_GB2312" w:hAnsi="仿宋_GB2312" w:eastAsia="仿宋_GB2312" w:cs="仿宋_GB2312"/>
          <w:color w:val="auto"/>
          <w:sz w:val="32"/>
          <w:szCs w:val="32"/>
        </w:rPr>
        <w:t>万元，</w:t>
      </w:r>
      <w:r>
        <w:rPr>
          <w:rFonts w:hint="eastAsia" w:ascii="Times New Roman" w:hAnsi="Times New Roman" w:eastAsia="仿宋_GB2312" w:cs="黑体"/>
          <w:color w:val="auto"/>
          <w:kern w:val="0"/>
          <w:sz w:val="32"/>
          <w:szCs w:val="32"/>
          <w:lang w:val="en-US" w:eastAsia="zh-CN" w:bidi="ar-SA"/>
        </w:rPr>
        <w:t>决算数大于年初预算数的主要原因是</w:t>
      </w:r>
      <w:r>
        <w:rPr>
          <w:rFonts w:hint="eastAsia" w:ascii="仿宋_GB2312" w:hAnsi="仿宋_GB2312" w:eastAsia="仿宋_GB2312" w:cs="仿宋_GB2312"/>
          <w:b w:val="0"/>
          <w:bCs w:val="0"/>
          <w:color w:val="auto"/>
          <w:kern w:val="0"/>
          <w:sz w:val="32"/>
          <w:szCs w:val="32"/>
          <w:lang w:val="en-US" w:eastAsia="zh-CN" w:bidi="ar-SA"/>
        </w:rPr>
        <w:t>年初未纳入本单位预算，但纳入了财政大预算。</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2023年</w:t>
      </w:r>
      <w:r>
        <w:rPr>
          <w:rFonts w:hint="eastAsia" w:ascii="仿宋_GB2312" w:hAnsi="仿宋_GB2312" w:eastAsia="仿宋_GB2312" w:cs="仿宋_GB2312"/>
          <w:b w:val="0"/>
          <w:bCs w:val="0"/>
          <w:color w:val="000000"/>
          <w:kern w:val="0"/>
          <w:sz w:val="32"/>
          <w:szCs w:val="32"/>
          <w:lang w:val="en-US" w:eastAsia="zh-CN" w:bidi="ar-SA"/>
        </w:rPr>
        <w:t>度国有资本经营预算财政拨款收入0万元；年初结转和结余0万；支出0万元，其中：基本支出0万元，项目支出0万元；年末结转和结余0万元。</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“三公”经费财政拨款支出预算为</w:t>
      </w:r>
      <w:r>
        <w:rPr>
          <w:rFonts w:hint="eastAsia" w:ascii="仿宋_GB2312" w:hAnsi="仿宋_GB2312" w:eastAsia="仿宋_GB2312" w:cs="仿宋_GB2312"/>
          <w:sz w:val="32"/>
          <w:szCs w:val="32"/>
          <w:lang w:val="en-US" w:eastAsia="zh-CN"/>
        </w:rPr>
        <w:t>4.85</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4.85</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Times New Roman" w:hAnsi="Times New Roman" w:eastAsia="仿宋_GB2312" w:cs="黑体"/>
          <w:color w:val="000000"/>
          <w:kern w:val="0"/>
          <w:sz w:val="32"/>
          <w:szCs w:val="32"/>
          <w:lang w:val="en-US" w:eastAsia="zh-CN" w:bidi="ar-SA"/>
        </w:rPr>
        <w:t>决算数等于预算数，主要原因是我单位严格按预算执行决算</w:t>
      </w:r>
      <w:r>
        <w:rPr>
          <w:rFonts w:hint="eastAsia" w:ascii="仿宋_GB2312" w:hAnsi="仿宋_GB2312" w:eastAsia="仿宋_GB2312" w:cs="仿宋_GB2312"/>
          <w:sz w:val="32"/>
          <w:szCs w:val="32"/>
        </w:rPr>
        <w:t>其中：</w:t>
      </w:r>
    </w:p>
    <w:p>
      <w:pPr>
        <w:keepNext w:val="0"/>
        <w:keepLines w:val="0"/>
        <w:pageBreakBefore w:val="0"/>
        <w:widowControl w:val="0"/>
        <w:kinsoku/>
        <w:wordWrap/>
        <w:overflowPunct/>
        <w:topLinePunct w:val="0"/>
        <w:autoSpaceDE w:val="0"/>
        <w:autoSpaceDN w:val="0"/>
        <w:bidi w:val="0"/>
        <w:adjustRightInd w:val="0"/>
        <w:snapToGrid/>
        <w:spacing w:line="600" w:lineRule="exact"/>
        <w:ind w:firstLine="800" w:firstLineChars="250"/>
        <w:textAlignment w:val="auto"/>
        <w:rPr>
          <w:rFonts w:hint="default" w:ascii="Times New Roman" w:hAnsi="Times New Roman" w:eastAsia="仿宋_GB2312" w:cs="黑体"/>
          <w:color w:val="000000"/>
          <w:kern w:val="0"/>
          <w:sz w:val="32"/>
          <w:szCs w:val="32"/>
          <w:lang w:val="en-US" w:eastAsia="zh-CN" w:bidi="ar-SA"/>
        </w:rPr>
      </w:pPr>
      <w:r>
        <w:rPr>
          <w:rFonts w:hint="eastAsia" w:ascii="仿宋_GB2312" w:hAnsi="仿宋_GB2312" w:eastAsia="仿宋_GB2312" w:cs="仿宋_GB2312"/>
          <w:sz w:val="32"/>
          <w:szCs w:val="32"/>
        </w:rPr>
        <w:t>因公出国（境）费支出预算为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Times New Roman" w:hAnsi="Times New Roman" w:eastAsia="仿宋_GB2312" w:cs="黑体"/>
          <w:color w:val="000000"/>
          <w:kern w:val="0"/>
          <w:sz w:val="32"/>
          <w:szCs w:val="32"/>
          <w:lang w:val="en-US" w:eastAsia="zh-CN" w:bidi="ar-SA"/>
        </w:rPr>
        <w:t>决算数等于预算数的主要原因是我单位严格按预算执行决算,与上年一致，无增减变动的主要原因是未安排因公出国（境）活动。</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公务接待费支出预算为</w:t>
      </w:r>
      <w:r>
        <w:rPr>
          <w:rFonts w:hint="eastAsia" w:ascii="仿宋_GB2312" w:hAnsi="仿宋_GB2312" w:eastAsia="仿宋_GB2312" w:cs="仿宋_GB2312"/>
          <w:sz w:val="32"/>
          <w:szCs w:val="32"/>
          <w:lang w:val="en-US" w:eastAsia="zh-CN"/>
        </w:rPr>
        <w:t>0.89</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0.89</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Times New Roman" w:hAnsi="Times New Roman" w:eastAsia="仿宋_GB2312" w:cs="黑体"/>
          <w:color w:val="000000"/>
          <w:kern w:val="0"/>
          <w:sz w:val="32"/>
          <w:szCs w:val="32"/>
          <w:lang w:val="en-US" w:eastAsia="zh-CN" w:bidi="ar-SA"/>
        </w:rPr>
        <w:t>决算数等于预算数的</w:t>
      </w:r>
      <w:r>
        <w:rPr>
          <w:rFonts w:hint="eastAsia" w:ascii="仿宋_GB2312" w:hAnsi="仿宋_GB2312" w:eastAsia="仿宋_GB2312" w:cs="仿宋_GB2312"/>
          <w:sz w:val="32"/>
          <w:szCs w:val="32"/>
        </w:rPr>
        <w:t>主要原因是</w:t>
      </w:r>
      <w:r>
        <w:rPr>
          <w:rFonts w:hint="eastAsia" w:ascii="Times New Roman" w:hAnsi="Times New Roman" w:eastAsia="仿宋_GB2312" w:cs="黑体"/>
          <w:color w:val="000000"/>
          <w:kern w:val="0"/>
          <w:sz w:val="32"/>
          <w:szCs w:val="32"/>
          <w:lang w:val="en-US" w:eastAsia="zh-CN" w:bidi="ar-SA"/>
        </w:rPr>
        <w:t>我单位严格按预算执行决算</w:t>
      </w:r>
      <w:r>
        <w:rPr>
          <w:rFonts w:hint="eastAsia" w:ascii="仿宋_GB2312" w:hAnsi="仿宋_GB2312" w:eastAsia="仿宋_GB2312" w:cs="仿宋_GB2312"/>
          <w:sz w:val="32"/>
          <w:szCs w:val="32"/>
        </w:rPr>
        <w:t>，</w:t>
      </w:r>
      <w:r>
        <w:rPr>
          <w:rFonts w:hint="eastAsia" w:ascii="Times New Roman" w:hAnsi="Times New Roman" w:eastAsia="仿宋_GB2312" w:cs="黑体"/>
          <w:color w:val="000000"/>
          <w:kern w:val="0"/>
          <w:sz w:val="32"/>
          <w:szCs w:val="32"/>
          <w:lang w:val="en-US" w:eastAsia="zh-CN" w:bidi="ar-SA"/>
        </w:rPr>
        <w:t>与上年一致，无增减变动的</w:t>
      </w:r>
      <w:r>
        <w:rPr>
          <w:rFonts w:hint="eastAsia" w:ascii="Times New Roman" w:hAnsi="Times New Roman" w:eastAsia="仿宋_GB2312" w:cs="黑体"/>
          <w:color w:val="auto"/>
          <w:kern w:val="0"/>
          <w:sz w:val="32"/>
          <w:szCs w:val="32"/>
          <w:lang w:val="en-US" w:eastAsia="zh-CN" w:bidi="ar-SA"/>
        </w:rPr>
        <w:t>主要原因是</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val="0"/>
        <w:autoSpaceDN w:val="0"/>
        <w:bidi w:val="0"/>
        <w:adjustRightInd w:val="0"/>
        <w:snapToGrid/>
        <w:spacing w:line="600" w:lineRule="exact"/>
        <w:ind w:firstLine="800" w:firstLineChars="250"/>
        <w:textAlignment w:val="auto"/>
        <w:rPr>
          <w:rFonts w:hint="default" w:ascii="Times New Roman" w:hAnsi="Times New Roman" w:eastAsia="仿宋_GB2312" w:cs="黑体"/>
          <w:color w:val="000000"/>
          <w:kern w:val="0"/>
          <w:sz w:val="32"/>
          <w:szCs w:val="32"/>
          <w:lang w:val="en-US" w:eastAsia="zh-CN" w:bidi="ar-SA"/>
        </w:rPr>
      </w:pPr>
      <w:r>
        <w:rPr>
          <w:rFonts w:hint="eastAsia" w:ascii="仿宋_GB2312" w:hAnsi="仿宋_GB2312" w:eastAsia="仿宋_GB2312" w:cs="仿宋_GB2312"/>
          <w:sz w:val="32"/>
          <w:szCs w:val="32"/>
        </w:rPr>
        <w:t>公务用车购置费支出预算为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Times New Roman" w:hAnsi="Times New Roman" w:eastAsia="仿宋_GB2312" w:cs="黑体"/>
          <w:color w:val="000000"/>
          <w:kern w:val="0"/>
          <w:sz w:val="32"/>
          <w:szCs w:val="32"/>
          <w:lang w:val="en-US" w:eastAsia="zh-CN" w:bidi="ar-SA"/>
        </w:rPr>
        <w:t>决算数等于预算数的主要原因是我单位严格按预算执行决算,与上年一致，无增减变动的主要</w:t>
      </w:r>
      <w:r>
        <w:rPr>
          <w:rFonts w:hint="eastAsia" w:ascii="Times New Roman" w:hAnsi="Times New Roman" w:eastAsia="仿宋_GB2312" w:cs="黑体"/>
          <w:color w:val="auto"/>
          <w:kern w:val="0"/>
          <w:sz w:val="32"/>
          <w:szCs w:val="32"/>
          <w:lang w:val="en-US" w:eastAsia="zh-CN" w:bidi="ar-SA"/>
        </w:rPr>
        <w:t>原因是</w:t>
      </w:r>
      <w:r>
        <w:rPr>
          <w:rFonts w:hint="eastAsia" w:ascii="仿宋_GB2312" w:hAnsi="仿宋_GB2312" w:eastAsia="仿宋_GB2312" w:cs="仿宋_GB2312"/>
          <w:b w:val="0"/>
          <w:bCs/>
          <w:color w:val="auto"/>
          <w:kern w:val="0"/>
          <w:sz w:val="32"/>
          <w:szCs w:val="32"/>
          <w:lang w:val="en-US" w:eastAsia="zh-CN" w:bidi="ar-SA"/>
        </w:rPr>
        <w:t>两年均</w:t>
      </w:r>
      <w:r>
        <w:rPr>
          <w:rFonts w:hint="eastAsia" w:ascii="仿宋_GB2312" w:hAnsi="仿宋_GB2312" w:eastAsia="仿宋_GB2312" w:cs="仿宋_GB2312"/>
          <w:b w:val="0"/>
          <w:bCs/>
          <w:color w:val="000000"/>
          <w:kern w:val="0"/>
          <w:sz w:val="32"/>
          <w:szCs w:val="32"/>
          <w:lang w:val="en-US" w:eastAsia="zh-CN" w:bidi="ar-SA"/>
        </w:rPr>
        <w:t>未购置公务用车</w:t>
      </w:r>
      <w:r>
        <w:rPr>
          <w:rFonts w:hint="eastAsia" w:ascii="Times New Roman" w:hAnsi="Times New Roman" w:eastAsia="仿宋_GB2312" w:cs="黑体"/>
          <w:color w:val="000000"/>
          <w:kern w:val="0"/>
          <w:sz w:val="32"/>
          <w:szCs w:val="32"/>
          <w:lang w:val="en-US" w:eastAsia="zh-CN" w:bidi="ar-SA"/>
        </w:rPr>
        <w:t>。</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公务用车运行维护费支出预算为</w:t>
      </w:r>
      <w:r>
        <w:rPr>
          <w:rFonts w:hint="eastAsia" w:ascii="仿宋_GB2312" w:hAnsi="仿宋_GB2312" w:eastAsia="仿宋_GB2312" w:cs="仿宋_GB2312"/>
          <w:sz w:val="32"/>
          <w:szCs w:val="32"/>
          <w:lang w:val="en-US" w:eastAsia="zh-CN"/>
        </w:rPr>
        <w:t>3.96</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3.96</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Times New Roman" w:hAnsi="Times New Roman" w:eastAsia="仿宋_GB2312" w:cs="黑体"/>
          <w:color w:val="000000"/>
          <w:kern w:val="0"/>
          <w:sz w:val="32"/>
          <w:szCs w:val="32"/>
          <w:lang w:val="en-US" w:eastAsia="zh-CN" w:bidi="ar-SA"/>
        </w:rPr>
        <w:t>决算数等于预算数的</w:t>
      </w:r>
      <w:r>
        <w:rPr>
          <w:rFonts w:hint="eastAsia" w:ascii="仿宋_GB2312" w:hAnsi="仿宋_GB2312" w:eastAsia="仿宋_GB2312" w:cs="仿宋_GB2312"/>
          <w:sz w:val="32"/>
          <w:szCs w:val="32"/>
        </w:rPr>
        <w:t>主要原因是</w:t>
      </w:r>
      <w:r>
        <w:rPr>
          <w:rFonts w:hint="eastAsia" w:ascii="Times New Roman" w:hAnsi="Times New Roman" w:eastAsia="仿宋_GB2312" w:cs="黑体"/>
          <w:color w:val="000000"/>
          <w:kern w:val="0"/>
          <w:sz w:val="32"/>
          <w:szCs w:val="32"/>
          <w:lang w:val="en-US" w:eastAsia="zh-CN" w:bidi="ar-SA"/>
        </w:rPr>
        <w:t>我单位严格按预算执行决算</w:t>
      </w:r>
      <w:r>
        <w:rPr>
          <w:rFonts w:hint="eastAsia" w:ascii="仿宋_GB2312" w:hAnsi="仿宋_GB2312" w:eastAsia="仿宋_GB2312" w:cs="仿宋_GB2312"/>
          <w:sz w:val="32"/>
          <w:szCs w:val="32"/>
        </w:rPr>
        <w:t>，</w:t>
      </w:r>
      <w:r>
        <w:rPr>
          <w:rFonts w:hint="eastAsia" w:ascii="Times New Roman" w:hAnsi="Times New Roman" w:eastAsia="仿宋_GB2312" w:cs="黑体"/>
          <w:color w:val="000000"/>
          <w:kern w:val="0"/>
          <w:sz w:val="32"/>
          <w:szCs w:val="32"/>
          <w:lang w:val="en-US" w:eastAsia="zh-CN" w:bidi="ar-SA"/>
        </w:rPr>
        <w:t>与上年一致，无增减变动的</w:t>
      </w:r>
      <w:r>
        <w:rPr>
          <w:rFonts w:hint="eastAsia" w:ascii="Times New Roman" w:hAnsi="Times New Roman" w:eastAsia="仿宋_GB2312" w:cs="黑体"/>
          <w:color w:val="auto"/>
          <w:kern w:val="0"/>
          <w:sz w:val="32"/>
          <w:szCs w:val="32"/>
          <w:lang w:val="en-US" w:eastAsia="zh-CN" w:bidi="ar-SA"/>
        </w:rPr>
        <w:t>主要原因是对公务用车建立相关台账严格管理</w:t>
      </w:r>
      <w:r>
        <w:rPr>
          <w:rFonts w:hint="eastAsia" w:ascii="仿宋_GB2312" w:hAnsi="仿宋_GB2312" w:eastAsia="仿宋_GB2312" w:cs="仿宋_GB2312"/>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2</w:t>
      </w:r>
      <w:r>
        <w:rPr>
          <w:rFonts w:hint="eastAsia"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年度“三公”经费财政拨款支出决算中，公务接待费支出决算</w:t>
      </w:r>
      <w:r>
        <w:rPr>
          <w:rFonts w:hint="eastAsia" w:ascii="仿宋_GB2312" w:hAnsi="仿宋_GB2312" w:eastAsia="仿宋_GB2312" w:cs="仿宋_GB2312"/>
          <w:sz w:val="32"/>
          <w:szCs w:val="32"/>
          <w:lang w:val="en-US" w:eastAsia="zh-CN"/>
        </w:rPr>
        <w:t>0.89</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18.35</w:t>
      </w:r>
      <w:r>
        <w:rPr>
          <w:rFonts w:hint="eastAsia" w:ascii="仿宋_GB2312" w:hAnsi="仿宋_GB2312" w:eastAsia="仿宋_GB2312" w:cs="仿宋_GB2312"/>
          <w:sz w:val="32"/>
          <w:szCs w:val="32"/>
        </w:rPr>
        <w:t>%,因公出国（境）费支出决算</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%,公务用车购置费及运行维护费支出决算</w:t>
      </w:r>
      <w:r>
        <w:rPr>
          <w:rFonts w:hint="eastAsia" w:ascii="仿宋_GB2312" w:hAnsi="仿宋_GB2312" w:eastAsia="仿宋_GB2312" w:cs="仿宋_GB2312"/>
          <w:sz w:val="32"/>
          <w:szCs w:val="32"/>
          <w:lang w:val="en-US" w:eastAsia="zh-CN"/>
        </w:rPr>
        <w:t>3.96</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81.65</w:t>
      </w:r>
      <w:r>
        <w:rPr>
          <w:rFonts w:hint="eastAsia" w:ascii="仿宋_GB2312" w:hAnsi="仿宋_GB2312" w:eastAsia="仿宋_GB2312" w:cs="仿宋_GB2312"/>
          <w:sz w:val="32"/>
          <w:szCs w:val="32"/>
        </w:rPr>
        <w:t>%。其中：</w:t>
      </w:r>
    </w:p>
    <w:p>
      <w:pPr>
        <w:pStyle w:val="14"/>
        <w:keepNext w:val="0"/>
        <w:keepLines w:val="0"/>
        <w:pageBreakBefore w:val="0"/>
        <w:widowControl w:val="0"/>
        <w:numPr>
          <w:ilvl w:val="0"/>
          <w:numId w:val="4"/>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bCs/>
          <w:i/>
          <w:color w:val="auto"/>
          <w:sz w:val="32"/>
          <w:szCs w:val="32"/>
        </w:rPr>
      </w:pPr>
      <w:r>
        <w:rPr>
          <w:rFonts w:hint="eastAsia" w:ascii="仿宋_GB2312" w:hAnsi="仿宋_GB2312" w:eastAsia="仿宋_GB2312" w:cs="仿宋_GB2312"/>
          <w:sz w:val="32"/>
          <w:szCs w:val="32"/>
        </w:rPr>
        <w:t>因公出国（境）费支出决算为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万元，全年安排因公出国（境）团组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个，累计</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人次</w:t>
      </w:r>
      <w:r>
        <w:rPr>
          <w:rFonts w:hint="eastAsia" w:ascii="仿宋_GB2312" w:hAnsi="仿宋_GB2312" w:eastAsia="仿宋_GB2312" w:cs="仿宋_GB2312"/>
          <w:b/>
          <w:bCs/>
          <w:i/>
          <w:color w:val="auto"/>
          <w:sz w:val="32"/>
          <w:szCs w:val="32"/>
        </w:rPr>
        <w:t>,</w:t>
      </w:r>
      <w:r>
        <w:rPr>
          <w:rFonts w:hint="eastAsia" w:ascii="Times New Roman" w:hAnsi="Times New Roman" w:eastAsia="仿宋_GB2312"/>
          <w:sz w:val="32"/>
          <w:szCs w:val="32"/>
          <w:lang w:eastAsia="zh-CN"/>
        </w:rPr>
        <w:t xml:space="preserve">我单位2022年度无因公出国（境）费支出。 </w:t>
      </w:r>
    </w:p>
    <w:p>
      <w:pPr>
        <w:pStyle w:val="14"/>
        <w:keepNext w:val="0"/>
        <w:keepLines w:val="0"/>
        <w:pageBreakBefore w:val="0"/>
        <w:widowControl w:val="0"/>
        <w:numPr>
          <w:ilvl w:val="0"/>
          <w:numId w:val="4"/>
        </w:numPr>
        <w:kinsoku/>
        <w:wordWrap/>
        <w:overflowPunct/>
        <w:topLinePunct w:val="0"/>
        <w:bidi w:val="0"/>
        <w:snapToGrid/>
        <w:spacing w:line="600" w:lineRule="exact"/>
        <w:ind w:left="0" w:leftChars="0"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公务接待费支出决算为</w:t>
      </w:r>
      <w:r>
        <w:rPr>
          <w:rFonts w:hint="eastAsia" w:ascii="Times New Roman" w:hAnsi="Times New Roman" w:eastAsia="仿宋_GB2312"/>
          <w:sz w:val="32"/>
          <w:szCs w:val="32"/>
          <w:lang w:val="en-US" w:eastAsia="zh-CN"/>
        </w:rPr>
        <w:t>0.89</w:t>
      </w:r>
      <w:r>
        <w:rPr>
          <w:rFonts w:hint="eastAsia" w:ascii="Times New Roman" w:hAnsi="Times New Roman" w:eastAsia="仿宋_GB2312"/>
          <w:sz w:val="32"/>
          <w:szCs w:val="32"/>
        </w:rPr>
        <w:t>元，全年共接待来访团组</w:t>
      </w:r>
      <w:r>
        <w:rPr>
          <w:rFonts w:hint="eastAsia" w:ascii="Times New Roman" w:hAnsi="Times New Roman" w:eastAsia="仿宋_GB2312"/>
          <w:sz w:val="32"/>
          <w:szCs w:val="32"/>
          <w:lang w:val="en-US" w:eastAsia="zh-CN"/>
        </w:rPr>
        <w:t>12</w:t>
      </w:r>
      <w:r>
        <w:rPr>
          <w:rFonts w:hint="eastAsia" w:ascii="Times New Roman" w:hAnsi="Times New Roman" w:eastAsia="仿宋_GB2312"/>
          <w:sz w:val="32"/>
          <w:szCs w:val="32"/>
        </w:rPr>
        <w:t>个、来</w:t>
      </w:r>
      <w:r>
        <w:rPr>
          <w:rFonts w:hint="eastAsia" w:ascii="Times New Roman" w:hAnsi="Times New Roman" w:eastAsia="仿宋_GB2312"/>
          <w:color w:val="auto"/>
          <w:sz w:val="32"/>
          <w:szCs w:val="32"/>
        </w:rPr>
        <w:t>宾</w:t>
      </w:r>
      <w:r>
        <w:rPr>
          <w:rFonts w:hint="eastAsia" w:ascii="Times New Roman" w:hAnsi="Times New Roman" w:eastAsia="仿宋_GB2312"/>
          <w:color w:val="auto"/>
          <w:sz w:val="32"/>
          <w:szCs w:val="32"/>
          <w:lang w:val="en-US" w:eastAsia="zh-CN"/>
        </w:rPr>
        <w:t>46</w:t>
      </w:r>
      <w:r>
        <w:rPr>
          <w:rFonts w:hint="eastAsia" w:ascii="Times New Roman" w:hAnsi="Times New Roman" w:eastAsia="仿宋_GB2312"/>
          <w:sz w:val="32"/>
          <w:szCs w:val="32"/>
        </w:rPr>
        <w:t>人次，主要是</w:t>
      </w:r>
      <w:r>
        <w:rPr>
          <w:rFonts w:hint="eastAsia" w:ascii="仿宋_GB2312" w:hAnsi="仿宋_GB2312" w:eastAsia="仿宋_GB2312" w:cs="仿宋_GB2312"/>
          <w:b w:val="0"/>
          <w:bCs w:val="0"/>
          <w:color w:val="auto"/>
          <w:sz w:val="32"/>
          <w:szCs w:val="32"/>
          <w:lang w:val="en-US" w:eastAsia="zh-CN"/>
        </w:rPr>
        <w:t>外地救助站护送救助人员发生的接待支出</w:t>
      </w:r>
      <w:r>
        <w:rPr>
          <w:rFonts w:hint="eastAsia" w:ascii="Times New Roman" w:hAnsi="Times New Roman" w:eastAsia="仿宋_GB2312"/>
          <w:sz w:val="32"/>
          <w:szCs w:val="32"/>
        </w:rPr>
        <w:t>。</w:t>
      </w:r>
    </w:p>
    <w:p>
      <w:pPr>
        <w:pStyle w:val="2"/>
        <w:numPr>
          <w:ilvl w:val="0"/>
          <w:numId w:val="4"/>
        </w:numPr>
        <w:ind w:left="0" w:leftChars="0" w:firstLine="640" w:firstLineChars="200"/>
        <w:rPr>
          <w:rFonts w:hint="eastAsia"/>
          <w:lang w:val="en-US" w:eastAsia="zh-CN"/>
        </w:rPr>
      </w:pPr>
      <w:r>
        <w:rPr>
          <w:rFonts w:hint="eastAsia" w:ascii="仿宋_GB2312" w:hAnsi="仿宋_GB2312" w:eastAsia="仿宋_GB2312" w:cs="仿宋_GB2312"/>
          <w:sz w:val="32"/>
          <w:szCs w:val="32"/>
        </w:rPr>
        <w:t>公务用车购置费及运行维护费支出决算为</w:t>
      </w:r>
      <w:r>
        <w:rPr>
          <w:rFonts w:hint="eastAsia" w:ascii="仿宋_GB2312" w:hAnsi="仿宋_GB2312" w:eastAsia="仿宋_GB2312" w:cs="仿宋_GB2312"/>
          <w:sz w:val="32"/>
          <w:szCs w:val="32"/>
          <w:lang w:val="en-US" w:eastAsia="zh-CN"/>
        </w:rPr>
        <w:t>3.96</w:t>
      </w:r>
      <w:r>
        <w:rPr>
          <w:rFonts w:hint="eastAsia" w:ascii="仿宋_GB2312" w:hAnsi="仿宋_GB2312" w:eastAsia="仿宋_GB2312" w:cs="仿宋_GB2312"/>
          <w:sz w:val="32"/>
          <w:szCs w:val="32"/>
        </w:rPr>
        <w:t>万元，其中：公务用车购置费</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lang w:eastAsia="zh-CN"/>
        </w:rPr>
        <w:t>当年没有购置公务用车。</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val="en-US" w:eastAsia="zh-CN"/>
        </w:rPr>
        <w:t>3.96</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rPr>
        <w:t>主要是</w:t>
      </w:r>
      <w:r>
        <w:rPr>
          <w:rFonts w:hint="eastAsia" w:ascii="Times New Roman" w:hAnsi="Times New Roman" w:eastAsia="仿宋_GB2312"/>
          <w:sz w:val="32"/>
          <w:szCs w:val="32"/>
          <w:lang w:eastAsia="zh-CN"/>
        </w:rPr>
        <w:t>公务用车燃料费、维修费、保险费等</w:t>
      </w:r>
      <w:r>
        <w:rPr>
          <w:rFonts w:hint="eastAsia" w:ascii="Times New Roman" w:hAnsi="Times New Roman" w:eastAsia="仿宋_GB2312"/>
          <w:sz w:val="32"/>
          <w:szCs w:val="32"/>
        </w:rPr>
        <w:t>支出，截止202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年12月31日，我单位开支财政拨款的公务用车保有量为</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辆。</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pPr>
        <w:pStyle w:val="14"/>
        <w:ind w:firstLine="640" w:firstLineChars="200"/>
        <w:rPr>
          <w:rFonts w:hint="eastAsia" w:ascii="楷体" w:hAnsi="楷体" w:eastAsia="楷体" w:cs="楷体"/>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年度机关运行经费支出</w:t>
      </w:r>
      <w:r>
        <w:rPr>
          <w:rFonts w:hint="eastAsia" w:ascii="仿宋_GB2312" w:hAnsi="仿宋_GB2312" w:eastAsia="仿宋_GB2312" w:cs="仿宋_GB2312"/>
          <w:sz w:val="32"/>
          <w:szCs w:val="32"/>
          <w:lang w:val="en-US" w:eastAsia="zh-CN"/>
        </w:rPr>
        <w:t>95.55</w:t>
      </w:r>
      <w:r>
        <w:rPr>
          <w:rFonts w:hint="eastAsia" w:ascii="仿宋_GB2312" w:hAnsi="仿宋_GB2312" w:eastAsia="仿宋_GB2312" w:cs="仿宋_GB2312"/>
          <w:sz w:val="32"/>
          <w:szCs w:val="32"/>
        </w:rPr>
        <w:t>万元，比年初预算数增加</w:t>
      </w:r>
      <w:r>
        <w:rPr>
          <w:rFonts w:hint="eastAsia" w:ascii="仿宋_GB2312" w:hAnsi="仿宋_GB2312" w:eastAsia="仿宋_GB2312" w:cs="仿宋_GB2312"/>
          <w:sz w:val="32"/>
          <w:szCs w:val="32"/>
          <w:lang w:val="en-US" w:eastAsia="zh-CN"/>
        </w:rPr>
        <w:t>17.96</w:t>
      </w:r>
      <w:r>
        <w:rPr>
          <w:rFonts w:hint="eastAsia" w:ascii="仿宋_GB2312" w:hAnsi="仿宋_GB2312" w:eastAsia="仿宋_GB2312" w:cs="仿宋_GB2312"/>
          <w:sz w:val="32"/>
          <w:szCs w:val="32"/>
        </w:rPr>
        <w:t xml:space="preserve"> 万元，增长</w:t>
      </w:r>
      <w:r>
        <w:rPr>
          <w:rFonts w:hint="eastAsia" w:ascii="仿宋_GB2312" w:hAnsi="仿宋_GB2312" w:eastAsia="仿宋_GB2312" w:cs="仿宋_GB2312"/>
          <w:sz w:val="32"/>
          <w:szCs w:val="32"/>
          <w:lang w:val="en-US" w:eastAsia="zh-CN"/>
        </w:rPr>
        <w:t>23.15</w:t>
      </w:r>
      <w:r>
        <w:rPr>
          <w:rFonts w:hint="eastAsia" w:ascii="仿宋_GB2312" w:hAnsi="仿宋_GB2312" w:eastAsia="仿宋_GB2312" w:cs="仿宋_GB2312"/>
          <w:sz w:val="32"/>
          <w:szCs w:val="32"/>
        </w:rPr>
        <w:t>%。主要原因是工勤人员经费调剂到了公用经费</w:t>
      </w:r>
      <w:r>
        <w:rPr>
          <w:rFonts w:hint="eastAsia" w:ascii="楷体" w:hAnsi="楷体" w:eastAsia="楷体" w:cs="楷体"/>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年度，</w:t>
      </w:r>
      <w:r>
        <w:rPr>
          <w:rFonts w:hint="eastAsia" w:ascii="仿宋_GB2312" w:hAnsi="仿宋_GB2312" w:eastAsia="仿宋_GB2312" w:cs="仿宋_GB2312"/>
          <w:color w:val="000000"/>
          <w:kern w:val="0"/>
          <w:sz w:val="32"/>
          <w:szCs w:val="32"/>
          <w:lang w:val="en-US" w:eastAsia="zh-CN" w:bidi="ar-SA"/>
        </w:rPr>
        <w:t>本单位无会议费的预算和支出决算数；本单位无培训费的预算和支出决算数；本单位无举办节庆、晚会、论坛、赛事等活动的预算和支出决算数。</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二</w:t>
      </w:r>
      <w:r>
        <w:rPr>
          <w:rFonts w:hint="eastAsia" w:ascii="黑体" w:hAnsi="黑体" w:eastAsia="黑体" w:cs="黑体"/>
          <w:b w:val="0"/>
          <w:bCs/>
          <w:color w:val="auto"/>
          <w:sz w:val="32"/>
          <w:szCs w:val="32"/>
        </w:rPr>
        <w:t>、关于政府采购支出说明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年度政府采购支出总额</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万元，其中：政府采购货物支出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 xml:space="preserve"> 万元、政府采购工程支出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万元、政府采购服务支出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万元。授予中小企业合同金额</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万元（由于政府采购支出总额为0，故无法计算占政府采购支出总额的比重），其中：授予小微企业合同金额</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color w:val="auto"/>
          <w:sz w:val="32"/>
          <w:szCs w:val="32"/>
          <w:lang w:val="en-US" w:eastAsia="zh-CN"/>
        </w:rPr>
        <w:t>（由于授予中小企业合同金额为0，故无法计算占授予中小企业合同金额的比重）</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货物采购授予中小企业合同金额占货物支出金额的比重，工程采购授予中小企业合同金额占工程支出金额的比重，服务采购授予中小企业合同金额占服务支出金额的比重，由于以上各项合同金额为0，故无法计算各项占比。</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FF0000"/>
          <w:sz w:val="32"/>
          <w:szCs w:val="32"/>
          <w:lang w:val="en-US" w:eastAsia="zh-CN"/>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部门（单位）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台（套）。</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default" w:ascii="仿宋_GB2312" w:hAnsi="仿宋_GB2312" w:eastAsia="仿宋_GB2312" w:cs="仿宋_GB2312"/>
          <w:b w:val="0"/>
          <w:bCs w:val="0"/>
          <w:color w:val="000000"/>
          <w:sz w:val="32"/>
          <w:szCs w:val="32"/>
          <w:highlight w:val="none"/>
          <w:lang w:val="en-US" w:eastAsia="zh-CN"/>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550.7万元，政府性基金预算支出66.17万元，国有资本经营预算支出0万元。从评价情况来看，整体支出绩效评价中，2023年整体支出846.17万元，其中：基本支出518.48万元，</w:t>
      </w:r>
      <w:r>
        <w:rPr>
          <w:rFonts w:hint="eastAsia" w:ascii="仿宋_GB2312" w:hAnsi="仿宋_GB2312" w:eastAsia="仿宋_GB2312" w:cs="仿宋_GB2312"/>
          <w:b w:val="0"/>
          <w:bCs w:val="0"/>
          <w:color w:val="auto"/>
          <w:kern w:val="0"/>
          <w:sz w:val="32"/>
          <w:szCs w:val="32"/>
          <w:lang w:val="en-US" w:eastAsia="zh-CN" w:bidi="ar-SA"/>
        </w:rPr>
        <w:t>项目支出327.69万元，</w:t>
      </w:r>
      <w:r>
        <w:rPr>
          <w:rFonts w:hint="eastAsia" w:ascii="仿宋_GB2312" w:hAnsi="仿宋_GB2312" w:eastAsia="仿宋_GB2312" w:cs="仿宋_GB2312"/>
          <w:b w:val="0"/>
          <w:bCs w:val="0"/>
          <w:sz w:val="32"/>
          <w:szCs w:val="32"/>
          <w:highlight w:val="none"/>
          <w:lang w:val="en-US" w:eastAsia="zh-CN"/>
        </w:rPr>
        <w:t>本单位整体支出绩效自评综合评分100分，</w:t>
      </w:r>
      <w:r>
        <w:rPr>
          <w:rFonts w:hint="eastAsia" w:ascii="仿宋_GB2312" w:hAnsi="仿宋_GB2312" w:eastAsia="仿宋_GB2312" w:cs="仿宋_GB2312"/>
          <w:b w:val="0"/>
          <w:bCs w:val="0"/>
          <w:color w:val="000000"/>
          <w:sz w:val="32"/>
          <w:szCs w:val="32"/>
          <w:highlight w:val="none"/>
          <w:lang w:val="en-US" w:eastAsia="zh-CN"/>
        </w:rPr>
        <w:t>评价结果等次为优。</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3个，共涉及资金327.69万元，占一般公共预算项目支出总额的59.5%。组织对政府性基金预算项目支出开展绩效自评，项目1个，共涉及资金66.17万元，占政府性基金预算项目支出总额的100%。组织对国有资本经营预算项目支出开展绩效自评，项目0个，共涉及资金0万元，由于国有资本经营预算项目支出总额为0，故无法计算占国有资本经营预算项目支出总额的比重。从评价情况来看，项目绩效自评得分100分，评价结果等次为优。</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eastAsia"/>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根据年初设定的绩效目标，绩效自评得分为100分。全年预算数为846.17万元，执行数为846.17万元，完成预算的100%。</w:t>
      </w:r>
      <w:r>
        <w:rPr>
          <w:rFonts w:hint="eastAsia" w:ascii="仿宋_GB2312" w:hAnsi="仿宋_GB2312" w:eastAsia="仿宋_GB2312" w:cs="仿宋_GB2312"/>
          <w:b w:val="0"/>
          <w:bCs w:val="0"/>
          <w:sz w:val="32"/>
          <w:szCs w:val="32"/>
          <w:highlight w:val="none"/>
          <w:lang w:val="en-US" w:eastAsia="zh-CN"/>
        </w:rPr>
        <w:t>绩效目标完成情况：一是</w:t>
      </w:r>
      <w:r>
        <w:rPr>
          <w:rFonts w:hint="eastAsia" w:ascii="Times New Roman" w:hAnsi="Times New Roman" w:eastAsia="仿宋_GB2312" w:cs="Times New Roman"/>
          <w:color w:val="000000"/>
          <w:kern w:val="2"/>
          <w:sz w:val="32"/>
          <w:szCs w:val="32"/>
          <w:highlight w:val="none"/>
          <w:lang w:val="en-US" w:eastAsia="zh-CN" w:bidi="ar-SA"/>
        </w:rPr>
        <w:t>我站严格按照预算执行，按资金用途使用，规范资金管理，充分发挥</w:t>
      </w:r>
      <w:r>
        <w:rPr>
          <w:rFonts w:hint="default" w:ascii="Times New Roman" w:hAnsi="Times New Roman" w:eastAsia="仿宋_GB2312" w:cs="Times New Roman"/>
          <w:color w:val="000000"/>
          <w:kern w:val="2"/>
          <w:sz w:val="32"/>
          <w:szCs w:val="32"/>
          <w:highlight w:val="none"/>
          <w:lang w:val="en-US" w:eastAsia="zh-CN" w:bidi="ar-SA"/>
        </w:rPr>
        <w:t>“四本预算”</w:t>
      </w:r>
      <w:r>
        <w:rPr>
          <w:rFonts w:hint="eastAsia" w:ascii="Times New Roman" w:hAnsi="Times New Roman" w:eastAsia="仿宋_GB2312" w:cs="Times New Roman"/>
          <w:color w:val="000000"/>
          <w:kern w:val="2"/>
          <w:sz w:val="32"/>
          <w:szCs w:val="32"/>
          <w:highlight w:val="none"/>
          <w:lang w:val="en-US" w:eastAsia="zh-CN" w:bidi="ar-SA"/>
        </w:rPr>
        <w:t>资金的使用效益，推动救助工作全面完</w:t>
      </w:r>
      <w:r>
        <w:rPr>
          <w:rFonts w:hint="eastAsia" w:ascii="Times New Roman" w:hAnsi="Times New Roman" w:eastAsia="仿宋_GB2312" w:cs="Times New Roman"/>
          <w:color w:val="000000"/>
          <w:sz w:val="32"/>
          <w:szCs w:val="32"/>
          <w:highlight w:val="none"/>
          <w:lang w:val="en-US" w:eastAsia="zh-CN"/>
        </w:rPr>
        <w:t>成，取得良好的社会效益</w:t>
      </w:r>
      <w:r>
        <w:rPr>
          <w:rFonts w:hint="eastAsia" w:ascii="仿宋_GB2312" w:hAnsi="仿宋_GB2312" w:eastAsia="仿宋_GB2312" w:cs="仿宋_GB2312"/>
          <w:b w:val="0"/>
          <w:bCs w:val="0"/>
          <w:sz w:val="32"/>
          <w:szCs w:val="32"/>
          <w:highlight w:val="none"/>
          <w:lang w:val="en-US" w:eastAsia="zh-CN"/>
        </w:rPr>
        <w:t>；二是</w:t>
      </w:r>
      <w:r>
        <w:rPr>
          <w:rFonts w:hint="eastAsia" w:ascii="Times New Roman" w:hAnsi="Times New Roman" w:eastAsia="仿宋_GB2312" w:cs="Times New Roman"/>
          <w:color w:val="000000"/>
          <w:sz w:val="32"/>
          <w:szCs w:val="32"/>
          <w:highlight w:val="none"/>
          <w:lang w:val="en-US" w:eastAsia="zh-CN"/>
        </w:rPr>
        <w:t>切实履行救助职能提升救助服务水平，</w:t>
      </w:r>
      <w:r>
        <w:rPr>
          <w:rFonts w:hint="eastAsia" w:ascii="Times New Roman" w:hAnsi="Times New Roman" w:eastAsia="仿宋_GB2312" w:cs="Times New Roman"/>
          <w:color w:val="000000"/>
          <w:kern w:val="2"/>
          <w:sz w:val="32"/>
          <w:szCs w:val="32"/>
          <w:highlight w:val="none"/>
          <w:lang w:val="en-US" w:eastAsia="zh-CN" w:bidi="ar-SA"/>
        </w:rPr>
        <w:t>完善基础设施，</w:t>
      </w:r>
      <w:r>
        <w:rPr>
          <w:rFonts w:hint="eastAsia" w:ascii="仿宋_GB2312" w:hAnsi="仿宋_GB2312" w:eastAsia="仿宋_GB2312" w:cs="仿宋_GB2312"/>
          <w:sz w:val="32"/>
          <w:szCs w:val="32"/>
          <w:highlight w:val="none"/>
          <w:lang w:val="en-US" w:eastAsia="zh-CN"/>
        </w:rPr>
        <w:t>提质改造救助公寓，对房屋出现的问题进行了维修处理。</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pPr>
        <w:pStyle w:val="9"/>
        <w:keepNext w:val="0"/>
        <w:keepLines w:val="0"/>
        <w:pageBreakBefore w:val="0"/>
        <w:kinsoku/>
        <w:wordWrap/>
        <w:overflowPunct/>
        <w:topLinePunct w:val="0"/>
        <w:autoSpaceDE/>
        <w:autoSpaceDN/>
        <w:bidi w:val="0"/>
        <w:adjustRightInd/>
        <w:snapToGrid/>
        <w:spacing w:before="0" w:beforeAutospacing="0" w:after="0" w:afterAutospacing="0" w:line="640" w:lineRule="exact"/>
        <w:ind w:firstLine="640" w:firstLineChars="200"/>
        <w:textAlignment w:val="auto"/>
        <w:rPr>
          <w:rFonts w:hint="eastAsia" w:ascii="仿宋" w:hAnsi="仿宋" w:eastAsia="仿宋" w:cs="仿宋"/>
          <w:color w:val="000000"/>
          <w:sz w:val="32"/>
          <w:szCs w:val="32"/>
          <w:highlight w:val="none"/>
          <w:lang w:eastAsia="zh-CN"/>
        </w:rPr>
      </w:pPr>
      <w:r>
        <w:rPr>
          <w:rFonts w:hint="eastAsia" w:ascii="仿宋_GB2312" w:hAnsi="仿宋_GB2312" w:eastAsia="仿宋_GB2312" w:cs="仿宋_GB2312"/>
          <w:b w:val="0"/>
          <w:bCs w:val="0"/>
          <w:sz w:val="32"/>
          <w:szCs w:val="32"/>
          <w:highlight w:val="none"/>
          <w:lang w:val="en-US" w:eastAsia="zh-CN"/>
        </w:rPr>
        <w:t>发现的主要问题及原因：</w:t>
      </w:r>
      <w:r>
        <w:rPr>
          <w:rFonts w:hint="eastAsia" w:ascii="仿宋" w:hAnsi="仿宋" w:eastAsia="仿宋" w:cs="仿宋"/>
          <w:color w:val="000000"/>
          <w:sz w:val="32"/>
          <w:szCs w:val="32"/>
          <w:highlight w:val="none"/>
          <w:lang w:eastAsia="zh-CN"/>
        </w:rPr>
        <w:t>一是资金分配不够细致，绩效监管不足；二是预算编制不够科学，预算编制没有做到统筹兼顾，原因是财务工作人员资金的综合统筹和分析能力有待提高；三是盲聋哑、痴呆傻、精神障碍患者等特殊服务对象身份确认难度较大。近年虽然采用了DNA、人脸识别比对技术，但成功率不高，身份信息查询校对存在较大困难；四是服务对象救助范围扩大。近年来，公安机关护送或引导来站的传销解救人员、家属遗弃人员、上访人员数量呈现增长趋势，加大了救助管理工作难度；</w:t>
      </w:r>
    </w:p>
    <w:p>
      <w:pPr>
        <w:pStyle w:val="9"/>
        <w:keepNext w:val="0"/>
        <w:keepLines w:val="0"/>
        <w:pageBreakBefore w:val="0"/>
        <w:widowControl/>
        <w:numPr>
          <w:ilvl w:val="0"/>
          <w:numId w:val="0"/>
        </w:numPr>
        <w:suppressLineNumbers w:val="0"/>
        <w:kinsoku/>
        <w:wordWrap/>
        <w:overflowPunct/>
        <w:topLinePunct w:val="0"/>
        <w:autoSpaceDE/>
        <w:autoSpaceDN/>
        <w:bidi w:val="0"/>
        <w:adjustRightInd/>
        <w:snapToGrid w:val="0"/>
        <w:spacing w:beforeAutospacing="0" w:after="0" w:afterAutospacing="0" w:line="640" w:lineRule="exact"/>
        <w:ind w:right="0" w:rightChars="0" w:firstLine="640" w:firstLineChars="200"/>
        <w:jc w:val="both"/>
        <w:textAlignment w:val="auto"/>
        <w:rPr>
          <w:rFonts w:hint="eastAsia" w:ascii="楷体" w:hAnsi="楷体" w:eastAsia="楷体" w:cs="楷体"/>
          <w:b/>
          <w:bCs/>
          <w:i w:val="0"/>
          <w:iCs w:val="0"/>
          <w:color w:val="FF0000"/>
          <w:kern w:val="0"/>
          <w:sz w:val="36"/>
          <w:szCs w:val="36"/>
          <w:lang w:val="en-US" w:eastAsia="zh-CN"/>
        </w:rPr>
      </w:pPr>
      <w:r>
        <w:rPr>
          <w:rFonts w:hint="eastAsia" w:ascii="仿宋_GB2312" w:hAnsi="仿宋_GB2312" w:eastAsia="仿宋_GB2312" w:cs="仿宋_GB2312"/>
          <w:b w:val="0"/>
          <w:bCs w:val="0"/>
          <w:sz w:val="32"/>
          <w:szCs w:val="32"/>
          <w:highlight w:val="none"/>
          <w:lang w:val="en-US" w:eastAsia="zh-CN"/>
        </w:rPr>
        <w:t>下一步改进措施：</w:t>
      </w:r>
      <w:r>
        <w:rPr>
          <w:rFonts w:hint="eastAsia" w:ascii="仿宋" w:hAnsi="仿宋" w:eastAsia="仿宋" w:cs="仿宋"/>
          <w:color w:val="000000"/>
          <w:sz w:val="32"/>
          <w:szCs w:val="32"/>
          <w:lang w:eastAsia="zh-CN"/>
        </w:rPr>
        <w:t>一提高预算编制的准确性,参照往年收支情况,结合经济社会发展和政策变化等增减变动因素,实事求是、科学合理地编制预算,提高预算执行效率；二加大救助工作投入。提升救助能力，拓展救助方式，转变救助思想，发挥救助效应；三是</w:t>
      </w:r>
      <w:r>
        <w:rPr>
          <w:rFonts w:hint="eastAsia" w:ascii="仿宋" w:hAnsi="仿宋" w:eastAsia="仿宋" w:cs="仿宋"/>
          <w:color w:val="000000"/>
          <w:sz w:val="32"/>
          <w:szCs w:val="32"/>
        </w:rPr>
        <w:t>强化财务人员的业务处理</w:t>
      </w:r>
      <w:r>
        <w:rPr>
          <w:rFonts w:hint="eastAsia" w:ascii="仿宋" w:hAnsi="仿宋" w:eastAsia="仿宋" w:cs="仿宋"/>
          <w:color w:val="000000"/>
          <w:sz w:val="32"/>
          <w:szCs w:val="32"/>
          <w:lang w:eastAsia="zh-CN"/>
        </w:rPr>
        <w:t>能力</w:t>
      </w:r>
      <w:r>
        <w:rPr>
          <w:rFonts w:hint="eastAsia" w:ascii="仿宋" w:hAnsi="仿宋" w:eastAsia="仿宋" w:cs="仿宋"/>
          <w:color w:val="000000"/>
          <w:sz w:val="32"/>
          <w:szCs w:val="32"/>
        </w:rPr>
        <w:t>和分析能力</w:t>
      </w:r>
      <w:r>
        <w:rPr>
          <w:rFonts w:hint="eastAsia" w:ascii="仿宋" w:hAnsi="仿宋" w:eastAsia="仿宋" w:cs="仿宋"/>
          <w:color w:val="000000"/>
          <w:sz w:val="32"/>
          <w:szCs w:val="32"/>
          <w:lang w:eastAsia="zh-CN"/>
        </w:rPr>
        <w:t>；四是</w:t>
      </w:r>
      <w:r>
        <w:rPr>
          <w:rFonts w:hint="eastAsia" w:ascii="仿宋" w:hAnsi="仿宋" w:eastAsia="仿宋" w:cs="仿宋"/>
          <w:color w:val="000000"/>
          <w:sz w:val="32"/>
          <w:szCs w:val="32"/>
        </w:rPr>
        <w:t>加强各部门间的协调力度</w:t>
      </w:r>
      <w:r>
        <w:rPr>
          <w:rFonts w:hint="eastAsia" w:ascii="仿宋" w:hAnsi="仿宋" w:eastAsia="仿宋" w:cs="仿宋"/>
          <w:color w:val="000000"/>
          <w:sz w:val="32"/>
          <w:szCs w:val="32"/>
          <w:lang w:eastAsia="zh-CN"/>
        </w:rPr>
        <w:t>，动员社会力量</w:t>
      </w:r>
      <w:r>
        <w:rPr>
          <w:rFonts w:hint="eastAsia" w:ascii="仿宋" w:hAnsi="仿宋" w:eastAsia="仿宋" w:cs="仿宋"/>
          <w:color w:val="000000"/>
          <w:sz w:val="32"/>
          <w:szCs w:val="32"/>
        </w:rPr>
        <w:t>。全面整合、补充、优化各部门间的交叉点，着力解决现有各种工作规范和制度效用发挥不足，执行力和落实不到位问题</w:t>
      </w:r>
      <w:r>
        <w:rPr>
          <w:rFonts w:hint="eastAsia" w:ascii="仿宋" w:hAnsi="仿宋" w:eastAsia="仿宋" w:cs="仿宋"/>
          <w:color w:val="000000"/>
          <w:sz w:val="32"/>
          <w:szCs w:val="32"/>
          <w:lang w:eastAsia="zh-CN"/>
        </w:rPr>
        <w:t>；</w:t>
      </w:r>
      <w:r>
        <w:rPr>
          <w:rFonts w:hint="eastAsia" w:ascii="仿宋_GB2312" w:hAnsi="仿宋_GB2312" w:eastAsia="仿宋_GB2312" w:cs="仿宋_GB2312"/>
          <w:b w:val="0"/>
          <w:bCs w:val="0"/>
          <w:sz w:val="32"/>
          <w:szCs w:val="32"/>
          <w:lang w:eastAsia="zh-CN"/>
        </w:rPr>
        <w:t>五是</w:t>
      </w:r>
      <w:r>
        <w:rPr>
          <w:rFonts w:hint="eastAsia" w:ascii="仿宋_GB2312" w:hAnsi="仿宋_GB2312" w:eastAsia="仿宋_GB2312" w:cs="仿宋_GB2312"/>
          <w:b w:val="0"/>
          <w:bCs w:val="0"/>
          <w:sz w:val="32"/>
          <w:szCs w:val="32"/>
        </w:rPr>
        <w:t>将继续贯彻落实中央、省、市关于厉行节约的各项规定，严格遵循先有预算、后有支出的原则，结合年度工作任务，科学合理安排支出。</w:t>
      </w:r>
    </w:p>
    <w:p>
      <w:pPr>
        <w:pStyle w:val="14"/>
        <w:jc w:val="both"/>
        <w:rPr>
          <w:sz w:val="72"/>
          <w:szCs w:val="72"/>
        </w:rPr>
      </w:pPr>
    </w:p>
    <w:p>
      <w:pPr>
        <w:pStyle w:val="14"/>
        <w:jc w:val="center"/>
        <w:rPr>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both"/>
        <w:rPr>
          <w:rFonts w:hint="eastAsia" w:ascii="方正小标宋_GBK" w:hAnsi="方正小标宋_GBK" w:eastAsia="方正小标宋_GBK" w:cs="方正小标宋_GBK"/>
          <w:sz w:val="72"/>
          <w:szCs w:val="72"/>
        </w:rPr>
      </w:pPr>
    </w:p>
    <w:p>
      <w:pPr>
        <w:pStyle w:val="14"/>
        <w:jc w:val="both"/>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hint="eastAsia" w:ascii="方正小标宋_GBK" w:hAnsi="方正小标宋_GBK" w:eastAsia="方正小标宋_GBK" w:cs="方正小标宋_GBK"/>
          <w:color w:val="000000"/>
          <w:kern w:val="0"/>
          <w:sz w:val="70"/>
          <w:szCs w:val="70"/>
        </w:rPr>
      </w:pPr>
    </w:p>
    <w:p>
      <w:pPr>
        <w:pStyle w:val="14"/>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pPr>
        <w:pStyle w:val="8"/>
      </w:pPr>
    </w:p>
    <w:p>
      <w:pPr>
        <w:pStyle w:val="4"/>
      </w:pPr>
    </w:p>
    <w:p/>
    <w:p>
      <w:pPr>
        <w:pStyle w:val="8"/>
      </w:pPr>
    </w:p>
    <w:p>
      <w:pPr>
        <w:pStyle w:val="4"/>
      </w:pPr>
    </w:p>
    <w:p/>
    <w:p>
      <w:pPr>
        <w:pStyle w:val="8"/>
      </w:pPr>
    </w:p>
    <w:p>
      <w:pPr>
        <w:pStyle w:val="4"/>
      </w:pPr>
    </w:p>
    <w:p/>
    <w:p>
      <w:pPr>
        <w:pStyle w:val="8"/>
      </w:pPr>
    </w:p>
    <w:p>
      <w:pPr>
        <w:pStyle w:val="4"/>
      </w:pPr>
    </w:p>
    <w:p/>
    <w:p>
      <w:pPr>
        <w:pStyle w:val="8"/>
      </w:pPr>
    </w:p>
    <w:p>
      <w:pPr>
        <w:pStyle w:val="4"/>
      </w:pPr>
    </w:p>
    <w:p/>
    <w:p>
      <w:pPr>
        <w:pStyle w:val="8"/>
      </w:pPr>
    </w:p>
    <w:p>
      <w:pPr>
        <w:pStyle w:val="4"/>
      </w:pPr>
    </w:p>
    <w:p/>
    <w:p>
      <w:pPr>
        <w:pStyle w:val="8"/>
      </w:pPr>
    </w:p>
    <w:p/>
    <w:p>
      <w:pPr>
        <w:pStyle w:val="8"/>
      </w:pP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二、机关运行经费</w:t>
      </w:r>
      <w:r>
        <w:rPr>
          <w:rFonts w:hint="eastAsia" w:ascii="仿宋_GB2312" w:hAnsi="仿宋_GB2312" w:eastAsia="仿宋_GB2312" w:cs="仿宋_GB2312"/>
          <w:color w:val="000000"/>
          <w:kern w:val="0"/>
          <w:sz w:val="32"/>
          <w:szCs w:val="32"/>
          <w:lang w:eastAsia="zh-CN"/>
        </w:rPr>
        <w:t>，指为保障行政单位（包括参照公务员法管理的事业单位）运行用于购买货物和服务的各项资金</w:t>
      </w:r>
      <w:r>
        <w:rPr>
          <w:rFonts w:hint="eastAsia" w:ascii="仿宋_GB2312" w:hAnsi="仿宋_GB2312" w:eastAsia="仿宋_GB2312" w:cs="仿宋_GB2312"/>
          <w:color w:val="000000"/>
          <w:kern w:val="0"/>
          <w:sz w:val="32"/>
          <w:szCs w:val="32"/>
        </w:rPr>
        <w:t>，包括办公</w:t>
      </w:r>
      <w:r>
        <w:rPr>
          <w:rFonts w:hint="eastAsia" w:ascii="仿宋_GB2312" w:hAnsi="仿宋_GB2312" w:eastAsia="仿宋_GB2312" w:cs="仿宋_GB2312"/>
          <w:color w:val="000000"/>
          <w:kern w:val="0"/>
          <w:sz w:val="32"/>
          <w:szCs w:val="32"/>
          <w:lang w:eastAsia="zh-CN"/>
        </w:rPr>
        <w:t>费、</w:t>
      </w:r>
      <w:r>
        <w:rPr>
          <w:rFonts w:hint="eastAsia" w:ascii="仿宋_GB2312" w:hAnsi="仿宋_GB2312" w:eastAsia="仿宋_GB2312" w:cs="仿宋_GB2312"/>
          <w:color w:val="000000"/>
          <w:kern w:val="0"/>
          <w:sz w:val="32"/>
          <w:szCs w:val="32"/>
        </w:rPr>
        <w:t>印刷费、邮电费、差旅费、会议费、日常维修费、专用材料及一般设备购置费、办公用房水电费、办公用房取暖费、办公用房物业管理费、公务用车运行维护费以及其他费用。</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三、财政拨款收入：指本级财政当年拨付的资金。</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四、政府性基金预算财政拨款收入：指本级财政当年拨付的政府性基金预算资金。</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五、其他收入：指除上述“财政拨款收入”、“上级补助收入”、“事业收入”、“经营收入”、“附属单位上缴收入”等以外的收入。</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六、上年结转和结余：指以前年度尚未完成、结转到本年按有关规定继续使用的资金。</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七、年末结转和结余资金：指本年度或以前年度预算安排、因客观条件发生变化无法按原计划实施，需要延迟到以后年度按有关规定继续使用的资金。</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八、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九、卫生健康支出（类）：是指用于医疗卫生与计划生育方面的支出，包括保障机构正常运转、完成日常和特定的工作任务或事业发展目标的支出。</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十、其他支出（类）：是指用于反映除上述项目以外其他不能划分到具体功能科目中的支出项目，包括保障机构正常运转、完成日常和特定的工作任务或事业发展目标的支出。</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十一、基本支出：指保障机构正常运转、完成支日常工作任务而发生的人员支出和公用支出。</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十二、项目支出：指在基本支出之外为完成特定行政任务和事业发展目标所发生的支出。</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十三、工资福利支出：反映单位开支的在职职工和编制外长期聘用人员的各类劳动报酬，以及为上述人员缴纳的各项社会保险费等。</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十四、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十五、津贴补贴：反映经国家批准建立的机关事业单位艰苦边远地区津贴、机关工作人员地区附加津贴、机关工作人员岗位津贴、事业单位工作人员特殊岗位津贴补贴等。</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十六、奖金：反映机关工作人员年终一次性奖金。</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十七、绩效工资：反映事业单位工作人员的绩效工资。</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十八、机关事业单位基本养老保险缴费：反映机关事业单位缴纳的基本养老保险费。由单位代扣的工作人员基本养老保险缴费，不在此科目反映。</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十九、职业年金缴费：反映机关事业单位实际缴纳的职业年金支出。由单位代扣的工作人员职业年金缴费，不在此科目反映。</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二十、职工基本医疗保险缴费：反映单位为职工缴纳的基本医疗保险费。</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二十一、其他社会保障缴费：反映单位为职工缴纳的基本医疗、失业、工伤、生育等社会保险费，残疾人就业保障金，军队（含武警）为军人缴纳的伤亡、退役医疗等社会保险费。</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二十二、住房公积金：反映行政事业单位按人力资源和社会保障部、财政部规定的基本工资和津贴补贴以及规定比例为职工缴纳的住房公积金。</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二十三、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二十四、商品和服务支出：反映单位购买商品和服务的支出（不包括用于购置固定资产的支出、战略性和应急储备支出）。</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二十五、办公费：反映单位购买按财务会计制度规定不符合固定资产确认标准的日常办公用品、书报杂志等支出。</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二十六、印刷费：反映单位的印刷费支出。</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二十七、邮电费：反映单位开支的信函、包裹、货物等物品的邮寄费及电话费、电报费、传真费、网络通讯费等。</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二十八、差旅费：反映单位工作人员出差发生的城市间交通费、住宿费、伙食补贴费和市内交通费。</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二十九、培训费：反映除因公出国（境）培训费以外的各类培训支出。</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三十、工会经费：反映单位按规定提取的工会经费。</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三十一、公务用车运行维护费：反映单位按规定保留的公务用车燃料费、维修费、过桥过路费、保险费、安全奖励费用等支出。</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三十二、其他交通费用：反映单位除公务用车运行维护费以外的其他交通费用。如公务交通补贴，租车费用、出租车费用，飞机、船舶等的燃料费、维修费、保险费等。</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三十三、其他商品和服务支出：反映上述科目未包括的日常公用支出。如行政赔偿费和诉讼费、国内组织的会员费、来访费、广告宣传、其他劳务费及离休人员特需费、公用经费等。</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三十四、对个人和家庭的补助：反映政府用于对个人和家庭的补助支出。</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三十五、退休费：反映行政事业单位和军队移交政府安置的退休人员的退休费和其他补贴。</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三十六、办公设备购置：反映用于购置并按财务会计制度规定纳入固定资产核算范围的办公家具和办公设备的支出，以及按规定提取的修购基金。</w:t>
      </w:r>
    </w:p>
    <w:p>
      <w:pPr>
        <w:pStyle w:val="4"/>
      </w:pPr>
    </w:p>
    <w:p/>
    <w:p>
      <w:pPr>
        <w:pStyle w:val="8"/>
      </w:pPr>
    </w:p>
    <w:p>
      <w:pPr>
        <w:pStyle w:val="4"/>
      </w:pPr>
    </w:p>
    <w:p/>
    <w:p>
      <w:pPr>
        <w:pStyle w:val="8"/>
      </w:pPr>
    </w:p>
    <w:p>
      <w:pPr>
        <w:pStyle w:val="4"/>
      </w:pPr>
    </w:p>
    <w:p/>
    <w:p>
      <w:pPr>
        <w:pStyle w:val="8"/>
      </w:pPr>
    </w:p>
    <w:p>
      <w:pPr>
        <w:pStyle w:val="4"/>
      </w:pPr>
    </w:p>
    <w:p/>
    <w:p>
      <w:pPr>
        <w:pStyle w:val="8"/>
      </w:pPr>
    </w:p>
    <w:p>
      <w:pPr>
        <w:pStyle w:val="4"/>
      </w:pPr>
    </w:p>
    <w:p/>
    <w:p>
      <w:pPr>
        <w:pStyle w:val="2"/>
      </w:pPr>
    </w:p>
    <w:p/>
    <w:p>
      <w:pPr>
        <w:pStyle w:val="2"/>
      </w:pPr>
    </w:p>
    <w:p/>
    <w:p>
      <w:pPr>
        <w:pStyle w:val="2"/>
      </w:pPr>
    </w:p>
    <w:p/>
    <w:p>
      <w:pPr>
        <w:pStyle w:val="2"/>
      </w:pPr>
    </w:p>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both"/>
        <w:rPr>
          <w:rFonts w:hint="eastAsia" w:ascii="方正小标宋_GBK" w:hAnsi="方正小标宋_GBK" w:eastAsia="方正小标宋_GBK" w:cs="方正小标宋_GBK"/>
          <w:sz w:val="72"/>
          <w:szCs w:val="72"/>
        </w:rPr>
      </w:pPr>
      <w:bookmarkStart w:id="0" w:name="_GoBack"/>
      <w:bookmarkEnd w:id="0"/>
    </w:p>
    <w:p>
      <w:pPr>
        <w:pStyle w:val="14"/>
        <w:jc w:val="both"/>
        <w:rPr>
          <w:rFonts w:hint="eastAsia" w:ascii="方正小标宋_GBK" w:hAnsi="方正小标宋_GBK" w:eastAsia="方正小标宋_GBK" w:cs="方正小标宋_GBK"/>
          <w:sz w:val="72"/>
          <w:szCs w:val="72"/>
        </w:rPr>
      </w:pPr>
    </w:p>
    <w:p>
      <w:pPr>
        <w:pStyle w:val="14"/>
        <w:keepNext w:val="0"/>
        <w:keepLines w:val="0"/>
        <w:pageBreakBefore w:val="0"/>
        <w:widowControl w:val="0"/>
        <w:kinsoku/>
        <w:wordWrap/>
        <w:overflowPunct/>
        <w:topLinePunct w:val="0"/>
        <w:autoSpaceDE w:val="0"/>
        <w:autoSpaceDN w:val="0"/>
        <w:bidi w:val="0"/>
        <w:adjustRightInd w:val="0"/>
        <w:snapToGrid/>
        <w:jc w:val="center"/>
        <w:textAlignment w:val="auto"/>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pPr>
        <w:pStyle w:val="14"/>
        <w:jc w:val="both"/>
        <w:rPr>
          <w:rFonts w:hint="eastAsia" w:ascii="方正小标宋_GBK" w:hAnsi="方正小标宋_GBK" w:eastAsia="方正小标宋_GBK" w:cs="方正小标宋_GBK"/>
          <w:sz w:val="70"/>
          <w:szCs w:val="70"/>
          <w:lang w:eastAsia="zh-CN"/>
        </w:rPr>
      </w:pPr>
    </w:p>
    <w:p>
      <w:pPr>
        <w:pStyle w:val="14"/>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pPr>
        <w:ind w:firstLine="640" w:firstLineChars="200"/>
        <w:jc w:val="left"/>
        <w:rPr>
          <w:rFonts w:hint="eastAsia" w:ascii="宋体" w:hAnsi="宋体" w:eastAsia="宋体" w:cs="黑体"/>
          <w:b/>
          <w:color w:val="000000"/>
          <w:kern w:val="0"/>
          <w:sz w:val="32"/>
          <w:szCs w:val="32"/>
          <w:lang w:val="en-US" w:eastAsia="zh-CN"/>
        </w:rPr>
      </w:pPr>
    </w:p>
    <w:p>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B70615"/>
    <w:multiLevelType w:val="singleLevel"/>
    <w:tmpl w:val="F1B70615"/>
    <w:lvl w:ilvl="0" w:tentative="0">
      <w:start w:val="1"/>
      <w:numFmt w:val="decimal"/>
      <w:suff w:val="nothing"/>
      <w:lvlText w:val="%1、"/>
      <w:lvlJc w:val="left"/>
    </w:lvl>
  </w:abstractNum>
  <w:abstractNum w:abstractNumId="1">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FC87E02"/>
    <w:multiLevelType w:val="singleLevel"/>
    <w:tmpl w:val="4FC87E02"/>
    <w:lvl w:ilvl="0" w:tentative="0">
      <w:start w:val="1"/>
      <w:numFmt w:val="chineseCounting"/>
      <w:suff w:val="nothing"/>
      <w:lvlText w:val="（%1）"/>
      <w:lvlJc w:val="left"/>
      <w:rPr>
        <w:rFonts w:hint="eastAsia"/>
      </w:rPr>
    </w:lvl>
  </w:abstractNum>
  <w:abstractNum w:abstractNumId="3">
    <w:nsid w:val="7DCCDCFF"/>
    <w:multiLevelType w:val="singleLevel"/>
    <w:tmpl w:val="7DCCDCFF"/>
    <w:lvl w:ilvl="0" w:tentative="0">
      <w:start w:val="3"/>
      <w:numFmt w:val="decimal"/>
      <w:suff w:val="nothing"/>
      <w:lvlText w:val="%1、"/>
      <w:lvlJc w:val="left"/>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4"/>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2A06A87"/>
    <w:rsid w:val="059958AD"/>
    <w:rsid w:val="06C857E7"/>
    <w:rsid w:val="06CD222B"/>
    <w:rsid w:val="08C24A73"/>
    <w:rsid w:val="0ABD5CF4"/>
    <w:rsid w:val="12583BA5"/>
    <w:rsid w:val="13BA5B9C"/>
    <w:rsid w:val="13D33B51"/>
    <w:rsid w:val="1BF22348"/>
    <w:rsid w:val="1D97DEFF"/>
    <w:rsid w:val="1DFF72E5"/>
    <w:rsid w:val="1EFC6F07"/>
    <w:rsid w:val="1F0527A6"/>
    <w:rsid w:val="22AC03C2"/>
    <w:rsid w:val="23E75209"/>
    <w:rsid w:val="24BE1004"/>
    <w:rsid w:val="2B910E27"/>
    <w:rsid w:val="2F7E7CF6"/>
    <w:rsid w:val="2FDF85B8"/>
    <w:rsid w:val="2FFFEE04"/>
    <w:rsid w:val="31C95635"/>
    <w:rsid w:val="34DF85B0"/>
    <w:rsid w:val="372C377F"/>
    <w:rsid w:val="39920269"/>
    <w:rsid w:val="3B8F36BC"/>
    <w:rsid w:val="45AD1C4B"/>
    <w:rsid w:val="491FF225"/>
    <w:rsid w:val="4FFD214C"/>
    <w:rsid w:val="5352765A"/>
    <w:rsid w:val="5777D4F5"/>
    <w:rsid w:val="58CE21ED"/>
    <w:rsid w:val="58F50B71"/>
    <w:rsid w:val="59DD8326"/>
    <w:rsid w:val="5DEF592A"/>
    <w:rsid w:val="5FC6BB1E"/>
    <w:rsid w:val="5FF720F1"/>
    <w:rsid w:val="61DF2FBD"/>
    <w:rsid w:val="620C3B11"/>
    <w:rsid w:val="65AD3DB8"/>
    <w:rsid w:val="67FF5C0B"/>
    <w:rsid w:val="6BAA4A2F"/>
    <w:rsid w:val="6DBE1036"/>
    <w:rsid w:val="6EFC0924"/>
    <w:rsid w:val="6FB74722"/>
    <w:rsid w:val="6FEF8B7E"/>
    <w:rsid w:val="71A6591B"/>
    <w:rsid w:val="737D59BA"/>
    <w:rsid w:val="737F32B1"/>
    <w:rsid w:val="76711549"/>
    <w:rsid w:val="77C37683"/>
    <w:rsid w:val="79FF515B"/>
    <w:rsid w:val="7BAD40C5"/>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toa heading"/>
    <w:next w:val="1"/>
    <w:qFormat/>
    <w:uiPriority w:val="99"/>
    <w:pPr>
      <w:widowControl w:val="0"/>
      <w:spacing w:before="120" w:after="200" w:line="276" w:lineRule="auto"/>
      <w:jc w:val="both"/>
    </w:pPr>
    <w:rPr>
      <w:rFonts w:ascii="Arial" w:hAnsi="Arial" w:eastAsia="宋体" w:cs="Times New Roman"/>
      <w:kern w:val="2"/>
      <w:sz w:val="24"/>
      <w:szCs w:val="22"/>
      <w:lang w:val="en-US" w:eastAsia="zh-CN" w:bidi="ar-SA"/>
    </w:rPr>
  </w:style>
  <w:style w:type="paragraph" w:styleId="3">
    <w:name w:val="Body Text Indent"/>
    <w:basedOn w:val="1"/>
    <w:next w:val="4"/>
    <w:unhideWhenUsed/>
    <w:qFormat/>
    <w:uiPriority w:val="99"/>
    <w:pPr>
      <w:widowControl/>
      <w:spacing w:after="120"/>
      <w:ind w:left="420" w:leftChars="200"/>
      <w:jc w:val="left"/>
    </w:pPr>
    <w:rPr>
      <w:rFonts w:ascii="宋体" w:hAnsi="宋体" w:eastAsia="宋体" w:cs="宋体"/>
      <w:kern w:val="0"/>
      <w:sz w:val="24"/>
    </w:rPr>
  </w:style>
  <w:style w:type="paragraph" w:styleId="4">
    <w:name w:val="Body Text First Indent 2"/>
    <w:basedOn w:val="3"/>
    <w:next w:val="1"/>
    <w:unhideWhenUsed/>
    <w:qFormat/>
    <w:uiPriority w:val="99"/>
    <w:pPr>
      <w:ind w:firstLine="420" w:firstLineChars="200"/>
    </w:pPr>
  </w:style>
  <w:style w:type="paragraph" w:styleId="5">
    <w:name w:val="Balloon Text"/>
    <w:basedOn w:val="1"/>
    <w:link w:val="16"/>
    <w:semiHidden/>
    <w:unhideWhenUsed/>
    <w:qFormat/>
    <w:uiPriority w:val="99"/>
    <w:rPr>
      <w:sz w:val="18"/>
      <w:szCs w:val="18"/>
    </w:rPr>
  </w:style>
  <w:style w:type="paragraph" w:styleId="6">
    <w:name w:val="footer"/>
    <w:basedOn w:val="1"/>
    <w:link w:val="13"/>
    <w:unhideWhenUsed/>
    <w:qFormat/>
    <w:uiPriority w:val="99"/>
    <w:pPr>
      <w:tabs>
        <w:tab w:val="center" w:pos="4153"/>
        <w:tab w:val="right" w:pos="8306"/>
      </w:tabs>
      <w:snapToGrid w:val="0"/>
      <w:jc w:val="left"/>
    </w:pPr>
    <w:rPr>
      <w:sz w:val="18"/>
      <w:szCs w:val="18"/>
    </w:rPr>
  </w:style>
  <w:style w:type="paragraph" w:styleId="7">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next w:val="4"/>
    <w:semiHidden/>
    <w:qFormat/>
    <w:uiPriority w:val="0"/>
    <w:pPr>
      <w:snapToGrid w:val="0"/>
      <w:jc w:val="left"/>
    </w:pPr>
    <w:rPr>
      <w:sz w:val="18"/>
      <w:szCs w:val="18"/>
    </w:rPr>
  </w:style>
  <w:style w:type="paragraph" w:styleId="9">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customStyle="1" w:styleId="12">
    <w:name w:val="页眉 Char"/>
    <w:basedOn w:val="11"/>
    <w:link w:val="7"/>
    <w:qFormat/>
    <w:uiPriority w:val="99"/>
    <w:rPr>
      <w:sz w:val="18"/>
      <w:szCs w:val="18"/>
    </w:rPr>
  </w:style>
  <w:style w:type="character" w:customStyle="1" w:styleId="13">
    <w:name w:val="页脚 Char"/>
    <w:basedOn w:val="11"/>
    <w:link w:val="6"/>
    <w:qFormat/>
    <w:uiPriority w:val="99"/>
    <w:rPr>
      <w:sz w:val="18"/>
      <w:szCs w:val="18"/>
    </w:rPr>
  </w:style>
  <w:style w:type="paragraph" w:customStyle="1" w:styleId="14">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5">
    <w:name w:val="List Paragraph"/>
    <w:basedOn w:val="1"/>
    <w:qFormat/>
    <w:uiPriority w:val="34"/>
    <w:pPr>
      <w:ind w:firstLine="420" w:firstLineChars="200"/>
    </w:pPr>
  </w:style>
  <w:style w:type="character" w:customStyle="1" w:styleId="16">
    <w:name w:val="批注框文本 Char"/>
    <w:basedOn w:val="11"/>
    <w:link w:val="5"/>
    <w:semiHidden/>
    <w:qFormat/>
    <w:uiPriority w:val="99"/>
    <w:rPr>
      <w:sz w:val="18"/>
      <w:szCs w:val="18"/>
    </w:rPr>
  </w:style>
  <w:style w:type="character" w:customStyle="1" w:styleId="17">
    <w:name w:val="font01"/>
    <w:basedOn w:val="11"/>
    <w:qFormat/>
    <w:uiPriority w:val="0"/>
    <w:rPr>
      <w:rFonts w:hint="eastAsia" w:ascii="宋体" w:hAnsi="宋体" w:eastAsia="宋体" w:cs="宋体"/>
      <w:color w:val="000000"/>
      <w:sz w:val="22"/>
      <w:szCs w:val="22"/>
      <w:u w:val="none"/>
    </w:rPr>
  </w:style>
  <w:style w:type="character" w:customStyle="1" w:styleId="18">
    <w:name w:val="font21"/>
    <w:basedOn w:val="11"/>
    <w:qFormat/>
    <w:uiPriority w:val="0"/>
    <w:rPr>
      <w:rFonts w:hint="eastAsia" w:ascii="宋体" w:hAnsi="宋体" w:eastAsia="宋体" w:cs="宋体"/>
      <w:color w:val="000000"/>
      <w:sz w:val="24"/>
      <w:szCs w:val="24"/>
      <w:u w:val="none"/>
    </w:rPr>
  </w:style>
  <w:style w:type="character" w:customStyle="1" w:styleId="19">
    <w:name w:val="font11"/>
    <w:basedOn w:val="1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17</Pages>
  <Words>5760</Words>
  <Characters>6192</Characters>
  <Lines>1</Lines>
  <Paragraphs>1</Paragraphs>
  <TotalTime>1</TotalTime>
  <ScaleCrop>false</ScaleCrop>
  <LinksUpToDate>false</LinksUpToDate>
  <CharactersWithSpaces>6216</CharactersWithSpaces>
  <Application>WPS Office_11.8.6.11021_F1E327BC-269C-435d-A152-05C5408002CA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认真工作的土豆</cp:lastModifiedBy>
  <cp:lastPrinted>2024-09-19T08:19:00Z</cp:lastPrinted>
  <dcterms:modified xsi:type="dcterms:W3CDTF">2024-09-20T09:56:58Z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2052-11.8.6.11021</vt:lpwstr>
  </property>
  <property fmtid="{D5CDD505-2E9C-101B-9397-08002B2CF9AE}" pid="3" name="ICV">
    <vt:lpwstr>451B023E00D74D119F500FF50FD434CB</vt:lpwstr>
  </property>
</Properties>
</file>