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spacing w:val="0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pacing w:val="0"/>
          <w:sz w:val="32"/>
          <w:szCs w:val="32"/>
          <w:highlight w:val="none"/>
          <w:lang w:val="en-US" w:eastAsia="zh-CN"/>
        </w:rPr>
        <w:t xml:space="preserve">     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 xml:space="preserve">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附件：1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年度部门整体支出绩效评价基础数据表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left="0" w:leftChars="0" w:firstLine="1600" w:firstLineChars="5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年度部门整体支出绩效自评表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left="0" w:leftChars="0" w:firstLine="1600" w:firstLineChars="5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年度项目支出绩效自评表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left="1596" w:leftChars="570" w:firstLine="0" w:firstLine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 xml:space="preserve">直预算部门整体支出绩效自评报告 （统一参考格式）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left="0" w:leftChars="0" w:firstLine="1600" w:firstLineChars="5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部门整体支出绩效自评工作考核评分表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</w:p>
    <w:p>
      <w:pPr>
        <w:spacing w:after="120" w:afterLines="50" w:line="600" w:lineRule="exact"/>
        <w:jc w:val="both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1</w:t>
      </w:r>
    </w:p>
    <w:p>
      <w:pPr>
        <w:spacing w:after="120" w:afterLines="50" w:line="600" w:lineRule="exact"/>
        <w:jc w:val="center"/>
        <w:rPr>
          <w:rFonts w:hint="eastAsia" w:ascii="方正小标宋简体" w:hAnsi="方正小标宋简体" w:eastAsia="方正小标宋简体" w:cs="方正小标宋简体"/>
          <w:sz w:val="2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  <w:t>年度部门整体支出绩效评价基础数据表</w:t>
      </w:r>
    </w:p>
    <w:tbl>
      <w:tblPr>
        <w:tblStyle w:val="3"/>
        <w:tblW w:w="967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1081"/>
        <w:gridCol w:w="9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财政供养人员情况（人）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编制数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年实际在职人数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24　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20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83.33%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经费控制情况（万元）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年决算数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年预算数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202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0"/>
                <w:szCs w:val="20"/>
                <w:highlight w:val="none"/>
              </w:rPr>
              <w:t>年决算数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三公经费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10.19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8.3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3.26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9.39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6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3.26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9.39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6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3.26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2、出国经费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3、公务接待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0.8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2.3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项目支出：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281.61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4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260.57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4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24.72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197.51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highlight w:val="none"/>
                <w:lang w:val="en-US" w:eastAsia="zh-CN"/>
              </w:rPr>
              <w:t>185.65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ind w:firstLine="400" w:firstLineChars="200"/>
              <w:jc w:val="both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3、市级专项资金</w:t>
            </w:r>
          </w:p>
          <w:p>
            <w:pPr>
              <w:widowControl/>
              <w:spacing w:line="360" w:lineRule="exact"/>
              <w:ind w:firstLine="600" w:firstLineChars="300"/>
              <w:jc w:val="both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eastAsia="zh-CN"/>
              </w:rPr>
              <w:t>惠民殡葬专项资金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80.1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highlight w:val="none"/>
                <w:lang w:val="en-US" w:eastAsia="zh-CN"/>
              </w:rPr>
              <w:t>50.2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ind w:firstLine="400" w:firstLineChars="200"/>
              <w:jc w:val="both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4、其他事业类发展资金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公用经费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_GB2312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auto"/>
                <w:kern w:val="0"/>
                <w:sz w:val="21"/>
                <w:szCs w:val="21"/>
                <w:lang w:val="en-US" w:eastAsia="zh-CN"/>
              </w:rPr>
              <w:t>63.41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57.17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34.83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其中：办公经费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_GB2312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auto"/>
                <w:kern w:val="0"/>
                <w:sz w:val="21"/>
                <w:szCs w:val="21"/>
                <w:lang w:val="en-US" w:eastAsia="zh-CN"/>
              </w:rPr>
              <w:t>15.69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37.63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2.48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_GB2312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auto"/>
                <w:kern w:val="0"/>
                <w:sz w:val="21"/>
                <w:szCs w:val="21"/>
                <w:lang w:val="en-US" w:eastAsia="zh-CN"/>
              </w:rPr>
              <w:t>4.55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1.5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1.5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_GB2312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auto"/>
                <w:kern w:val="0"/>
                <w:sz w:val="21"/>
                <w:szCs w:val="21"/>
                <w:lang w:val="en-US" w:eastAsia="zh-CN"/>
              </w:rPr>
              <w:t>0.16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政府采购金额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_GB2312" w:cs="Times New Roman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auto"/>
                <w:kern w:val="0"/>
                <w:sz w:val="21"/>
                <w:szCs w:val="21"/>
                <w:lang w:val="en-US" w:eastAsia="zh-CN"/>
              </w:rPr>
              <w:t>12.5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17.3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1"/>
                <w:szCs w:val="21"/>
                <w:lang w:val="en-US" w:eastAsia="zh-CN"/>
              </w:rPr>
              <w:t>83.32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——</w:t>
            </w:r>
          </w:p>
        </w:tc>
        <w:tc>
          <w:tcPr>
            <w:tcW w:w="22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204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楼堂馆所控制情况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（202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年完工项目）</w:t>
            </w: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批复规模</w:t>
            </w: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（㎡）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实际规模（㎡）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规模控制率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预算投资（万元）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实际投资（万元）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0"/>
                <w:szCs w:val="20"/>
                <w:highlight w:val="none"/>
              </w:rPr>
              <w:t>投资概算控制率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11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35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厉行节约保障措施</w:t>
            </w:r>
          </w:p>
        </w:tc>
        <w:tc>
          <w:tcPr>
            <w:tcW w:w="631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　</w:t>
            </w:r>
          </w:p>
        </w:tc>
      </w:tr>
    </w:tbl>
    <w:p>
      <w:pPr>
        <w:widowControl/>
        <w:spacing w:afterLines="0" w:line="400" w:lineRule="exact"/>
        <w:jc w:val="left"/>
        <w:rPr>
          <w:rFonts w:hint="default" w:ascii="Times New Roman" w:hAnsi="Times New Roman" w:eastAsia="仿宋_GB2312" w:cs="Times New Roman"/>
          <w:sz w:val="22"/>
          <w:highlight w:val="none"/>
        </w:rPr>
      </w:pPr>
      <w:r>
        <w:rPr>
          <w:rFonts w:hint="default" w:ascii="Times New Roman" w:hAnsi="Times New Roman" w:eastAsia="仿宋_GB2312" w:cs="Times New Roman"/>
          <w:sz w:val="22"/>
          <w:highlight w:val="none"/>
        </w:rPr>
        <w:t>说明：“项目支出”需要填报基本支出以外的所有项目支出情况，“公用经费”填报基本支出中的一般商品和服务支出。</w:t>
      </w:r>
    </w:p>
    <w:p>
      <w:pPr>
        <w:widowControl/>
        <w:spacing w:afterLines="0" w:line="400" w:lineRule="exact"/>
        <w:jc w:val="left"/>
        <w:rPr>
          <w:rFonts w:hint="default" w:ascii="Times New Roman" w:hAnsi="Times New Roman" w:eastAsia="仿宋_GB2312" w:cs="Times New Roman"/>
          <w:sz w:val="22"/>
          <w:highlight w:val="none"/>
        </w:rPr>
      </w:pPr>
    </w:p>
    <w:p>
      <w:pPr>
        <w:widowControl/>
        <w:spacing w:after="0" w:afterLines="0" w:line="400" w:lineRule="exact"/>
        <w:jc w:val="left"/>
        <w:rPr>
          <w:rFonts w:hint="eastAsia" w:ascii="黑体" w:hAnsi="黑体" w:eastAsia="黑体" w:cs="黑体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22"/>
          <w:highlight w:val="none"/>
        </w:rPr>
        <w:t>填表人：</w:t>
      </w:r>
      <w:r>
        <w:rPr>
          <w:rFonts w:hint="eastAsia" w:eastAsia="仿宋_GB2312"/>
          <w:kern w:val="0"/>
          <w:sz w:val="22"/>
          <w:lang w:eastAsia="zh-CN"/>
        </w:rPr>
        <w:t>彭必芸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t xml:space="preserve">  填报日期：</w:t>
      </w:r>
      <w:r>
        <w:rPr>
          <w:rFonts w:hint="eastAsia" w:eastAsia="仿宋_GB2312"/>
          <w:kern w:val="0"/>
          <w:sz w:val="22"/>
          <w:lang w:val="en-US" w:eastAsia="zh-CN"/>
        </w:rPr>
        <w:t>2024.6.30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t xml:space="preserve">  联系电话：</w:t>
      </w:r>
      <w:r>
        <w:rPr>
          <w:rFonts w:hint="eastAsia" w:eastAsia="仿宋_GB2312"/>
          <w:kern w:val="0"/>
          <w:sz w:val="22"/>
          <w:lang w:val="en-US" w:eastAsia="zh-CN"/>
        </w:rPr>
        <w:t xml:space="preserve">13467306962 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t xml:space="preserve"> 单位负责人签字：</w:t>
      </w:r>
      <w:r>
        <w:rPr>
          <w:rFonts w:hint="default" w:ascii="Times New Roman" w:hAnsi="Times New Roman" w:eastAsia="仿宋_GB2312" w:cs="Times New Roman"/>
          <w:sz w:val="22"/>
          <w:highlight w:val="none"/>
        </w:rPr>
        <w:br w:type="page"/>
      </w: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2</w:t>
      </w:r>
    </w:p>
    <w:p>
      <w:pPr>
        <w:widowControl/>
        <w:spacing w:after="120" w:afterLines="50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年度部门整体支出绩效自评表</w:t>
      </w:r>
    </w:p>
    <w:tbl>
      <w:tblPr>
        <w:tblStyle w:val="3"/>
        <w:tblW w:w="1007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855"/>
        <w:gridCol w:w="1755"/>
        <w:gridCol w:w="1005"/>
        <w:gridCol w:w="1269"/>
        <w:gridCol w:w="716"/>
        <w:gridCol w:w="873"/>
        <w:gridCol w:w="144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级预算部门名称</w:t>
            </w:r>
          </w:p>
        </w:tc>
        <w:tc>
          <w:tcPr>
            <w:tcW w:w="8999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岳阳市殡葬执法支队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算申请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</w:p>
        </w:tc>
        <w:tc>
          <w:tcPr>
            <w:tcW w:w="17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年初预算数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全年预算数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全年执行数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年度资金总额</w:t>
            </w:r>
          </w:p>
        </w:tc>
        <w:tc>
          <w:tcPr>
            <w:tcW w:w="17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320.71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603.53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603.53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188%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按收入性质分：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按支出性质分：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 xml:space="preserve">  其中：  一般公共预算：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493.76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其中：基本支出：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342.95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800" w:firstLineChars="400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政府性基金拨款：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19.72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600" w:firstLineChars="300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项目支出：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260.57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纳入专户管理的非税收入拨款：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ind w:firstLine="1400" w:firstLineChars="700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其他资金：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90.05</w:t>
            </w:r>
          </w:p>
        </w:tc>
        <w:tc>
          <w:tcPr>
            <w:tcW w:w="4304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6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3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9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任务1：中心城区执法巡查全覆盖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任务2：对全市经营性公墓执法检查全覆盖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任务3：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惠民殡葬、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生态安葬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文明祭扫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政策推行、督查、落实</w:t>
            </w:r>
          </w:p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任务4：牵头处理殡葬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服务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单位违规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建设、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经营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等行为</w:t>
            </w:r>
          </w:p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任务5：督查、指导全市殡葬执法工作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查处重大违法殡葬案件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任务6：开展殡葬执法培训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考核。</w:t>
            </w: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　</w:t>
            </w:r>
          </w:p>
        </w:tc>
        <w:tc>
          <w:tcPr>
            <w:tcW w:w="430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.中心城区执法巡查已成常态化工作，接警处置率达100%。</w:t>
            </w:r>
          </w:p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2.对全市经营性公墓每年进行一次执法检查，对违规超标公墓责令整改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并依法处理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3.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惠民殡葬、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生态安葬，文明祭扫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等执法性督查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进一步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落实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。落实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文明治丧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奖补和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集中治丧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奖补。</w:t>
            </w:r>
          </w:p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4.对殡葬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服务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单位违规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建设、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经营行为进行处理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执法效果好，群众反映佳</w:t>
            </w:r>
          </w:p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5.对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全市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殡葬执法工作进行督查，指导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查处重大违法殡葬案件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6.开展殡葬执法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和落实惠民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殡葬培训各一次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8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7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年度指标值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实际完成值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(50分)</w:t>
            </w:r>
          </w:p>
        </w:tc>
        <w:tc>
          <w:tcPr>
            <w:tcW w:w="8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指标1：开展殡葬改革宣传一次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指标2：开展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不定期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生态安葬殡葬服务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指标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主动开展殡葬执法巡查，违规殡葬举报处置率达到100%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指标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.殡葬改革宣传工作务实，老百姓接受先进殡葬理念程度进一步增强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指标2：殡葬执法环境进一步优化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：积极引导生态安葬，生态安葬率逐步提高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4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：积极落实中心城区惠民殡葬政策，按照规定和要求审核、发放惠民政策资金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  <w:t>100%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  <w:t>100%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  <w:t>15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  <w:t>15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55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指标1：即时受理违规殡葬行为举报、办理惠民殡葬政策奖补资金发放手续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指标2：一小时内到达中心城区违规殡葬现场进行处置，没有因处置不及时而出现投诉情况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：按照法定时间规定完成其他县市区违规殡葬行为处置程序</w:t>
            </w:r>
          </w:p>
        </w:tc>
        <w:tc>
          <w:tcPr>
            <w:tcW w:w="10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  <w:t>及时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  <w:t>及时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5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指标1：殡葬改革宣传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万元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指标2：殡葬执法巡查、督查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万元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：其他服务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万元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  <w:t>　4万元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  <w:t>　4万元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  <w:t>　15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  <w:t>　15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效益指标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（30分）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经济效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公益性，无经济效益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9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社会效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指标1：社会各阶层了解殡葬法规、殡葬政策的人逐步增多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指标2：殡葬服务规范程度进一步提高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指标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3.老百姓对殡葬执法、殡葬服务的满意度不断提高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  <w:t>100%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  <w:t>100%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  <w:t>10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生态效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7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指标1：殡葬服务单位生态安葬持续开展，生态环境进一步改善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指标2：采纳文明祭扫、生态祭扫方式的比例逐年增加，公墓（含农村公益性公墓）内祭扫环境进一步优化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指标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殡葬活动扰民情况得到有效制止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指标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4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积极引导公墓（含农村公益性公墓）实行生态安葬，可持续利用土地</w:t>
            </w:r>
          </w:p>
        </w:tc>
        <w:tc>
          <w:tcPr>
            <w:tcW w:w="10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  <w:t>　100%</w:t>
            </w:r>
          </w:p>
        </w:tc>
        <w:tc>
          <w:tcPr>
            <w:tcW w:w="12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  <w:t>　100%</w:t>
            </w:r>
          </w:p>
        </w:tc>
        <w:tc>
          <w:tcPr>
            <w:tcW w:w="7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  <w:t>8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  <w:t>　8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8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17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指标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1.文秘祭扫蔚然成风，环境污染减少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指标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2.生态安葬比例逐年攀升，土地得到可持续利</w:t>
            </w:r>
          </w:p>
        </w:tc>
        <w:tc>
          <w:tcPr>
            <w:tcW w:w="1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  <w:t>　100%</w:t>
            </w:r>
          </w:p>
        </w:tc>
        <w:tc>
          <w:tcPr>
            <w:tcW w:w="12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  <w:t>　100%</w:t>
            </w:r>
          </w:p>
        </w:tc>
        <w:tc>
          <w:tcPr>
            <w:tcW w:w="7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  <w:t>　9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  <w:t>　9</w:t>
            </w:r>
          </w:p>
        </w:tc>
        <w:tc>
          <w:tcPr>
            <w:tcW w:w="1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855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7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指标1：老百姓对殡葬执法满意度达到90%以上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指标2：殡葬改革宣传工作务实有效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指标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3：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殡葬服务满意度达到90%以上</w:t>
            </w:r>
          </w:p>
        </w:tc>
        <w:tc>
          <w:tcPr>
            <w:tcW w:w="10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12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  <w:t>100%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仿宋" w:hAnsi="仿宋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 w:val="21"/>
                <w:szCs w:val="21"/>
                <w:lang w:val="en-US" w:eastAsia="zh-CN"/>
              </w:rPr>
              <w:t>9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7044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7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96</w:t>
            </w:r>
          </w:p>
        </w:tc>
        <w:tc>
          <w:tcPr>
            <w:tcW w:w="144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>
      <w:pPr>
        <w:widowControl/>
        <w:spacing w:line="600" w:lineRule="exact"/>
        <w:jc w:val="left"/>
        <w:rPr>
          <w:rFonts w:hint="eastAsia" w:ascii="Times New Roman" w:hAnsi="Times New Roman" w:eastAsia="黑体" w:cs="Times New Roman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填表人：</w:t>
      </w:r>
      <w:r>
        <w:rPr>
          <w:rFonts w:hint="eastAsia" w:eastAsia="仿宋_GB2312"/>
          <w:kern w:val="0"/>
          <w:sz w:val="22"/>
          <w:lang w:eastAsia="zh-CN"/>
        </w:rPr>
        <w:t>彭必芸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 填报日期：</w:t>
      </w:r>
      <w:r>
        <w:rPr>
          <w:rFonts w:hint="eastAsia" w:eastAsia="仿宋_GB2312"/>
          <w:kern w:val="0"/>
          <w:sz w:val="22"/>
          <w:lang w:val="en-US" w:eastAsia="zh-CN"/>
        </w:rPr>
        <w:t>2024.6.30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 联系电话：</w:t>
      </w:r>
      <w:r>
        <w:rPr>
          <w:rFonts w:hint="eastAsia" w:eastAsia="仿宋_GB2312"/>
          <w:kern w:val="0"/>
          <w:sz w:val="22"/>
          <w:lang w:val="en-US" w:eastAsia="zh-CN"/>
        </w:rPr>
        <w:t>13467306962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单位负责人签字：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br w:type="page"/>
      </w: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3</w:t>
      </w:r>
    </w:p>
    <w:p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highlight w:val="none"/>
        </w:rPr>
        <w:t>年度项目支出绩效自评表</w:t>
      </w:r>
    </w:p>
    <w:tbl>
      <w:tblPr>
        <w:tblStyle w:val="3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7"/>
        <w:gridCol w:w="1033"/>
        <w:gridCol w:w="1080"/>
        <w:gridCol w:w="1667"/>
        <w:gridCol w:w="900"/>
        <w:gridCol w:w="1050"/>
        <w:gridCol w:w="705"/>
        <w:gridCol w:w="870"/>
        <w:gridCol w:w="141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出名称</w:t>
            </w:r>
          </w:p>
        </w:tc>
        <w:tc>
          <w:tcPr>
            <w:tcW w:w="872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惠民殡葬奖补专项经费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主管部门</w:t>
            </w:r>
          </w:p>
        </w:tc>
        <w:tc>
          <w:tcPr>
            <w:tcW w:w="46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岳阳市民政局</w:t>
            </w:r>
          </w:p>
        </w:tc>
        <w:tc>
          <w:tcPr>
            <w:tcW w:w="105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实施单位</w:t>
            </w:r>
          </w:p>
        </w:tc>
        <w:tc>
          <w:tcPr>
            <w:tcW w:w="299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岳阳市殡葬执法支队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（万元）</w:t>
            </w:r>
          </w:p>
        </w:tc>
        <w:tc>
          <w:tcPr>
            <w:tcW w:w="21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预算数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全年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执行数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执行率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年度资金总额　</w:t>
            </w:r>
          </w:p>
        </w:tc>
        <w:tc>
          <w:tcPr>
            <w:tcW w:w="1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50.2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50.2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50.2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10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其中：当年财政拨款　</w:t>
            </w:r>
          </w:p>
        </w:tc>
        <w:tc>
          <w:tcPr>
            <w:tcW w:w="1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50.2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50.2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50.2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上年结转资金　</w:t>
            </w:r>
          </w:p>
        </w:tc>
        <w:tc>
          <w:tcPr>
            <w:tcW w:w="1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211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其他资金</w:t>
            </w:r>
          </w:p>
        </w:tc>
        <w:tc>
          <w:tcPr>
            <w:tcW w:w="1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7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年度总体目标</w:t>
            </w:r>
          </w:p>
        </w:tc>
        <w:tc>
          <w:tcPr>
            <w:tcW w:w="46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预期目标</w:t>
            </w:r>
          </w:p>
        </w:tc>
        <w:tc>
          <w:tcPr>
            <w:tcW w:w="404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7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46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Times New Roman" w:hAnsi="Times New Roman" w:eastAsia="仿宋_GB2312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21"/>
                <w:szCs w:val="21"/>
                <w:lang w:eastAsia="zh-CN"/>
              </w:rPr>
              <w:t>做好惠民殡葬政策宣传工作，让老百姓了解政策，接受先进生态安葬理念。逐步提高生态安葬率，保护环境，使得土地可持续利用。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 w:eastAsia="仿宋_GB2312"/>
                <w:color w:val="000000"/>
                <w:kern w:val="0"/>
                <w:sz w:val="21"/>
                <w:szCs w:val="21"/>
                <w:lang w:eastAsia="zh-CN"/>
              </w:rPr>
              <w:t>二、做好惠民殡葬奖补资金申报、发放工作，让老百姓及时得到奖补资金。</w:t>
            </w:r>
            <w:r>
              <w:rPr>
                <w:rFonts w:ascii="Times New Roman" w:hAnsi="Times New Roman" w:eastAsia="仿宋_GB2312"/>
                <w:color w:val="000000"/>
                <w:kern w:val="0"/>
                <w:sz w:val="21"/>
                <w:szCs w:val="21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　</w:t>
            </w:r>
          </w:p>
        </w:tc>
        <w:tc>
          <w:tcPr>
            <w:tcW w:w="404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 w:val="21"/>
                <w:szCs w:val="21"/>
                <w:lang w:eastAsia="zh-CN"/>
              </w:rPr>
              <w:t>全部及时发放到位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标</w:t>
            </w:r>
          </w:p>
        </w:tc>
        <w:tc>
          <w:tcPr>
            <w:tcW w:w="1033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二级指标</w:t>
            </w:r>
          </w:p>
        </w:tc>
        <w:tc>
          <w:tcPr>
            <w:tcW w:w="1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三级指标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指标值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完成值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分值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得分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(50分)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数量指标</w:t>
            </w:r>
          </w:p>
        </w:tc>
        <w:tc>
          <w:tcPr>
            <w:tcW w:w="1667" w:type="dxa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1.惠民殡葬奖补164</w:t>
            </w:r>
            <w:r>
              <w:rPr>
                <w:rFonts w:hint="eastAsia" w:ascii="仿宋_GB2312" w:hAnsi="仿宋_GB2312" w:eastAsia="仿宋_GB2312" w:cs="仿宋_GB2312"/>
                <w:color w:val="auto"/>
                <w:sz w:val="20"/>
                <w:szCs w:val="20"/>
                <w:highlight w:val="none"/>
                <w:lang w:val="en-US" w:eastAsia="zh-CN"/>
              </w:rPr>
              <w:t>人次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50.2万元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50.2万元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质量指标</w:t>
            </w:r>
          </w:p>
        </w:tc>
        <w:tc>
          <w:tcPr>
            <w:tcW w:w="1667" w:type="dxa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1.惠民殡葬奖补资金发放准确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准确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准确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时效指标</w:t>
            </w:r>
          </w:p>
        </w:tc>
        <w:tc>
          <w:tcPr>
            <w:tcW w:w="1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1.惠民殡葬奖补资金发放及时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半年结算一次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半年结算一次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成本指标</w:t>
            </w:r>
          </w:p>
        </w:tc>
        <w:tc>
          <w:tcPr>
            <w:tcW w:w="1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1.惠民殡葬奖补资金使用时间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全年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全年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10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10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（30分）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eastAsia="zh-CN"/>
              </w:rPr>
              <w:t>无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1.生态安葬理念逐年提高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100%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100%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10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9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益指标</w:t>
            </w:r>
          </w:p>
        </w:tc>
        <w:tc>
          <w:tcPr>
            <w:tcW w:w="1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1.生态安葬，文明祭扫蔚然成风，生态环境得到改善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100%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100%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10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9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可持续影响指标</w:t>
            </w: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1.大力提倡生态安葬，土地得以可持续利用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100%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100%　</w:t>
            </w:r>
          </w:p>
        </w:tc>
        <w:tc>
          <w:tcPr>
            <w:tcW w:w="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10　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9</w:t>
            </w:r>
          </w:p>
        </w:tc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7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03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10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服务对象满意度指标</w:t>
            </w:r>
          </w:p>
        </w:tc>
        <w:tc>
          <w:tcPr>
            <w:tcW w:w="1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1.受助群众满意度</w:t>
            </w: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满意度90%</w:t>
            </w:r>
          </w:p>
        </w:tc>
        <w:tc>
          <w:tcPr>
            <w:tcW w:w="10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90%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10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　9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5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总分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100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  <w:lang w:val="en-US" w:eastAsia="zh-CN"/>
              </w:rPr>
              <w:t>96</w:t>
            </w:r>
          </w:p>
        </w:tc>
        <w:tc>
          <w:tcPr>
            <w:tcW w:w="14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highlight w:val="none"/>
              </w:rPr>
              <w:t>　</w:t>
            </w:r>
          </w:p>
        </w:tc>
      </w:tr>
    </w:tbl>
    <w:p>
      <w:pP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</w:pPr>
    </w:p>
    <w:p>
      <w:pPr>
        <w:rPr>
          <w:rFonts w:hint="default" w:ascii="Times New Roman" w:hAnsi="Times New Roman" w:eastAsia="仿宋_GB2312" w:cs="Times New Roman"/>
          <w:szCs w:val="21"/>
          <w:highlight w:val="none"/>
        </w:rPr>
      </w:pP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  <w:highlight w:val="none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highlight w:val="none"/>
          <w:lang w:eastAsia="zh-CN"/>
        </w:rPr>
        <w:t>，其他事业发展类资金…各一张表。</w:t>
      </w:r>
    </w:p>
    <w:p>
      <w:pP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填表人：</w:t>
      </w:r>
      <w:r>
        <w:rPr>
          <w:rFonts w:hint="eastAsia" w:ascii="仿宋" w:hAnsi="仿宋" w:eastAsia="仿宋" w:cs="仿宋"/>
          <w:sz w:val="21"/>
          <w:szCs w:val="21"/>
          <w:lang w:eastAsia="zh-CN"/>
        </w:rPr>
        <w:t>彭必芸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填报日期：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202</w:t>
      </w:r>
      <w:r>
        <w:rPr>
          <w:rFonts w:hint="eastAsia" w:eastAsia="仿宋" w:cs="仿宋"/>
          <w:sz w:val="21"/>
          <w:szCs w:val="21"/>
          <w:lang w:val="en-US" w:eastAsia="zh-CN"/>
        </w:rPr>
        <w:t>4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.</w:t>
      </w:r>
      <w:r>
        <w:rPr>
          <w:rFonts w:hint="eastAsia" w:eastAsia="仿宋" w:cs="仿宋"/>
          <w:sz w:val="21"/>
          <w:szCs w:val="21"/>
          <w:lang w:val="en-US" w:eastAsia="zh-CN"/>
        </w:rPr>
        <w:t>6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.</w:t>
      </w:r>
      <w:r>
        <w:rPr>
          <w:rFonts w:hint="eastAsia" w:eastAsia="仿宋" w:cs="仿宋"/>
          <w:sz w:val="21"/>
          <w:szCs w:val="21"/>
          <w:lang w:val="en-US" w:eastAsia="zh-CN"/>
        </w:rPr>
        <w:t>30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 xml:space="preserve"> </w:t>
      </w:r>
      <w:r>
        <w:rPr>
          <w:rFonts w:hint="eastAsia" w:eastAsia="仿宋" w:cs="仿宋"/>
          <w:sz w:val="21"/>
          <w:szCs w:val="21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>联系电话：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13467306962</w:t>
      </w:r>
      <w:r>
        <w:rPr>
          <w:rFonts w:hint="eastAsia" w:ascii="Times New Roman" w:hAnsi="Times New Roman" w:eastAsia="仿宋_GB2312" w:cs="Times New Roman"/>
          <w:sz w:val="22"/>
          <w:szCs w:val="22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t xml:space="preserve"> 单位负责人签字：</w:t>
      </w:r>
      <w:r>
        <w:rPr>
          <w:rFonts w:hint="default" w:ascii="Times New Roman" w:hAnsi="Times New Roman" w:eastAsia="仿宋_GB2312" w:cs="Times New Roman"/>
          <w:sz w:val="22"/>
          <w:szCs w:val="22"/>
          <w:highlight w:val="none"/>
        </w:rPr>
        <w:br w:type="page"/>
      </w: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4</w:t>
      </w:r>
    </w:p>
    <w:p>
      <w:pPr>
        <w:jc w:val="center"/>
        <w:rPr>
          <w:rFonts w:hint="default" w:ascii="Times New Roman" w:hAnsi="Times New Roman" w:eastAsia="方正小标宋_GBK" w:cs="Times New Roman"/>
          <w:sz w:val="52"/>
          <w:szCs w:val="52"/>
          <w:highlight w:val="none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年度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岳阳市殡葬执法支队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整体支出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绩效自评报告</w:t>
      </w:r>
    </w:p>
    <w:p>
      <w:pPr>
        <w:jc w:val="center"/>
        <w:rPr>
          <w:rFonts w:hint="default" w:ascii="Times New Roman" w:hAnsi="Times New Roman" w:eastAsia="方正小标宋_GBK" w:cs="Times New Roman"/>
          <w:b/>
          <w:sz w:val="52"/>
          <w:szCs w:val="52"/>
          <w:highlight w:val="none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>
      <w:pPr>
        <w:jc w:val="both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>
      <w:pPr>
        <w:jc w:val="center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</w:p>
    <w:p>
      <w:pPr>
        <w:spacing w:line="600" w:lineRule="exact"/>
        <w:jc w:val="center"/>
        <w:rPr>
          <w:rFonts w:hint="default" w:ascii="Times New Roman" w:hAnsi="Times New Roman" w:eastAsia="仿宋_GB2312" w:cs="Times New Roman"/>
          <w:sz w:val="32"/>
          <w:szCs w:val="32"/>
          <w:highlight w:val="none"/>
          <w:u w:val="singl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部门（单位）名称：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single"/>
          <w:lang w:eastAsia="zh-CN"/>
        </w:rPr>
        <w:t>岳阳市殡葬执法支队</w:t>
      </w:r>
    </w:p>
    <w:p>
      <w:pPr>
        <w:spacing w:line="600" w:lineRule="exact"/>
        <w:jc w:val="center"/>
        <w:rPr>
          <w:rFonts w:hint="default" w:ascii="Times New Roman" w:hAnsi="Times New Roman" w:eastAsia="楷体_GB2312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楷体_GB2312" w:cs="Times New Roman"/>
          <w:sz w:val="32"/>
          <w:szCs w:val="32"/>
          <w:highlight w:val="none"/>
          <w:lang w:val="en-US" w:eastAsia="zh-CN"/>
        </w:rPr>
        <w:t>2024</w:t>
      </w:r>
      <w:r>
        <w:rPr>
          <w:rFonts w:hint="default" w:ascii="Times New Roman" w:hAnsi="Times New Roman" w:eastAsia="楷体_GB2312" w:cs="Times New Roman"/>
          <w:sz w:val="32"/>
          <w:szCs w:val="32"/>
          <w:highlight w:val="none"/>
        </w:rPr>
        <w:t xml:space="preserve">年 </w:t>
      </w:r>
      <w:r>
        <w:rPr>
          <w:rFonts w:hint="eastAsia" w:ascii="Times New Roman" w:hAnsi="Times New Roman" w:eastAsia="楷体_GB2312" w:cs="Times New Roman"/>
          <w:sz w:val="32"/>
          <w:szCs w:val="32"/>
          <w:highlight w:val="none"/>
          <w:lang w:val="en-US" w:eastAsia="zh-CN"/>
        </w:rPr>
        <w:t>6</w:t>
      </w:r>
      <w:r>
        <w:rPr>
          <w:rFonts w:hint="default" w:ascii="Times New Roman" w:hAnsi="Times New Roman" w:eastAsia="楷体_GB2312" w:cs="Times New Roman"/>
          <w:sz w:val="32"/>
          <w:szCs w:val="32"/>
          <w:highlight w:val="none"/>
        </w:rPr>
        <w:t>月</w:t>
      </w:r>
      <w:r>
        <w:rPr>
          <w:rFonts w:hint="eastAsia" w:ascii="Times New Roman" w:hAnsi="Times New Roman" w:eastAsia="楷体_GB2312" w:cs="Times New Roman"/>
          <w:sz w:val="32"/>
          <w:szCs w:val="32"/>
          <w:highlight w:val="none"/>
          <w:lang w:val="en-US" w:eastAsia="zh-CN"/>
        </w:rPr>
        <w:t>30</w:t>
      </w:r>
      <w:r>
        <w:rPr>
          <w:rFonts w:hint="default" w:ascii="Times New Roman" w:hAnsi="Times New Roman" w:eastAsia="楷体_GB2312" w:cs="Times New Roman"/>
          <w:sz w:val="32"/>
          <w:szCs w:val="32"/>
          <w:highlight w:val="none"/>
        </w:rPr>
        <w:t>日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br w:type="page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年度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岳阳市殡葬执法支队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整体支出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  <w:t>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部门（单位）基本情况</w:t>
      </w:r>
    </w:p>
    <w:p>
      <w:pPr>
        <w:spacing w:line="560" w:lineRule="exact"/>
        <w:ind w:firstLine="640" w:firstLineChars="200"/>
        <w:rPr>
          <w:rFonts w:eastAsia="楷体_GB2312"/>
          <w:sz w:val="32"/>
          <w:szCs w:val="32"/>
        </w:rPr>
      </w:pPr>
      <w:r>
        <w:rPr>
          <w:rFonts w:eastAsia="楷体_GB2312"/>
          <w:sz w:val="32"/>
          <w:szCs w:val="32"/>
        </w:rPr>
        <w:t>（一）部门（单位）基本情况</w:t>
      </w:r>
    </w:p>
    <w:p>
      <w:pPr>
        <w:spacing w:line="560" w:lineRule="exact"/>
        <w:ind w:firstLine="640" w:firstLineChars="200"/>
        <w:rPr>
          <w:rFonts w:eastAsia="楷体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本单位是民政局二级机构，财政全额拨款参公事业单位。人员编制</w:t>
      </w:r>
      <w:r>
        <w:rPr>
          <w:rFonts w:ascii="仿宋_GB2312" w:hAnsi="仿宋_GB2312" w:eastAsia="仿宋_GB2312" w:cs="仿宋_GB2312"/>
          <w:bCs/>
          <w:sz w:val="32"/>
          <w:szCs w:val="32"/>
        </w:rPr>
        <w:t>24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人，实有人数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人</w:t>
      </w:r>
      <w:r>
        <w:rPr>
          <w:rFonts w:ascii="仿宋_GB2312" w:hAnsi="仿宋_GB2312" w:eastAsia="仿宋_GB2312" w:cs="仿宋_GB2312"/>
          <w:bCs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内设三个职能股室：办公室、一大队、二大队。</w:t>
      </w:r>
    </w:p>
    <w:p>
      <w:pPr>
        <w:spacing w:line="560" w:lineRule="exact"/>
        <w:ind w:firstLine="640" w:firstLineChars="200"/>
        <w:rPr>
          <w:rFonts w:hint="eastAsia" w:eastAsia="楷体_GB2312"/>
          <w:sz w:val="32"/>
          <w:szCs w:val="32"/>
          <w:lang w:eastAsia="zh-CN"/>
        </w:rPr>
      </w:pPr>
      <w:r>
        <w:rPr>
          <w:rFonts w:hint="eastAsia" w:eastAsia="楷体_GB2312"/>
          <w:sz w:val="32"/>
          <w:szCs w:val="32"/>
          <w:lang w:eastAsia="zh-CN"/>
        </w:rPr>
        <w:t>（二）</w:t>
      </w:r>
      <w:r>
        <w:rPr>
          <w:rFonts w:eastAsia="楷体_GB2312"/>
          <w:sz w:val="32"/>
          <w:szCs w:val="32"/>
        </w:rPr>
        <w:t>部门（单位）年度整体支出绩效目标，市级专项资金绩效目标、其他项目支出（除市级专项资金以外）绩效目标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部门总目标：细化预算编制工作，认真做好预算编制；加强财务管理，严格财务审核；抓好“三公经费”控制管理，确保综合改革及综治维稳等各项工作任务圆满完成。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预决算公开：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2023年，按照上级要求，我单位在政府网站进行了预决算公开。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资产管理：进一步加强资产管理，制定了《资产管理使用制度》，明确了具体责任人，严格报批、销审手续，做好资产登记工作，无资产流失现象。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三公经费控制情况：贯彻落实上级有关精神，严格控制“三公经费”支出，取得了良好效果。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内部管理制度建设：健全单位财务管理制度、成立财务联审会签制度，加强对资金、物资的合理使用和管理；建立内部监督检查制度，强化内部制度执行的监督管理。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市级专项资金绩效目标完成情况：2023年，殡葬惠民专项资金全部发放到位，工作任务圆满完成。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二、一般公共预算支出情况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  <w:t>（一）基本支出情况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2023年整体支出总额为603.53万元，基本支出为342.95万元，占本年支出的56.82%；主要用于：工资福利支出269.98万元，占本年支出44.73%；商品服务支出为149.8万元，占本年支出24.82%；对个人和家庭的补助支出为183.74万元，占本年支出的30.44%。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  <w:t>项目支出情况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2023年度，市级殡葬惠民奖补专项资金用于发放自2022年11月16日至2023年6月30日文明、集中治丧奖补，分配安排和使用管理情况如下：文明治丧113例，发放奖励资金34.9万元，集中治丧51例，发放奖补资金15.3万元。奖补资金共计50.2万元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2023年度市级运转类项目资金支分配安排和使用管理情况：运转类项目资金包括：工会经费补助、伙食补助、物业服务补贴、综合绩效奖和平安岳阳建设奖等保民生的资金，共计185.65万元。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2023年度市级特定目标类项目专项资金分配安排和使用管理情况：殡葬执法专项经费24.72万元，用于日常殡葬执法工作开支。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黑体" w:cs="Times New Roman"/>
          <w:sz w:val="32"/>
          <w:szCs w:val="32"/>
          <w:highlight w:val="none"/>
          <w:lang w:eastAsia="zh-CN"/>
        </w:rPr>
        <w:t>三、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政府性基金预算支出情况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2023年度，我单位分配,19.72万元福利彩票公益金，用于龙头山公墓维护改造。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国有资本经营预算支出情况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无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社会保险基金预算支出情况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六、部门整体支出绩效情况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default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1.中心城区执法巡查已成常态化工作，接警处置率达100%。全年累计巡查近百次，遵守殡葬法规，接受先进殡葬方式的群体正在扩大，违规殡葬行为逐步减少。殡葬活动扰民情况逐步减少，移风易俗正在成为风尚。广大市民满意度逐年提高。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2.对全市经营性公墓每年进行一次执法检查，对违规超标公墓责令整改并依法处理。乱埋乱葬行为减少，实行生态安葬人数不断增加。殡葬服务设施、生态设施建设实现了在殡葬服务单位全覆盖。文明祭扫率逐年提高，传统型公墓正逐步向生态安葬转型。使得土地可持续利用。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3.殡葬执法专项经费24.72万元，主要用于殡葬执法、巡查，殡葬改革宣传。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default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4.对殡葬服务单位违规建设、经营行为进行处理，执法效果好，群众反映佳。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5.对全市殡葬执法工作进行督查，指导查处重大违法殡葬案件。</w:t>
      </w:r>
    </w:p>
    <w:p>
      <w:pPr>
        <w:numPr>
          <w:ilvl w:val="0"/>
          <w:numId w:val="0"/>
        </w:num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6.开展殡葬执法和落实惠民殡葬培训各一次。执法监督到位，惠民奖补资金发放规范。2023年度全年共发放自2022年11月16日至2023年6月30日惠民殡葬奖补资金50.2万元，其中文明治丧奖补113人次，资金34.9万元，集中治丧奖补51人次，资金15.3万元。接受先进生态安葬理念的人越来越多。</w:t>
      </w:r>
    </w:p>
    <w:p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七、存在的问题及原因分析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因部门整体支出的预算资金安排和使用上仍有不可预见性，还要加强预算管理。随着移风易俗、生态安葬理念的深入人心，专项资金迫切需要加大投入。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下一步改进措施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加强各部门协作、社会参与机制，建立监督机制，加大奖惩力度，加强财务队伍建设和业务指导，培养项目和部门的绩效管理队伍，建立绩效评价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的长效机制。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leftChars="0" w:firstLine="640" w:firstLineChars="200"/>
        <w:jc w:val="both"/>
        <w:textAlignment w:val="auto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部门整体支出绩效自评结果拟应用和公开情况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在民政局门户网站公开。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其他需要说明的情况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报告需要以下附件：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部门整体支出绩效评价基础数据表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部门整体支出绩效自评表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项目支出绩效自评表（一个一级项目支出一张表）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政府性基金预算支出情况表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国有资本经营预算支出情况表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社会保险基金预算支出情况表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br w:type="page"/>
      </w:r>
      <w:r>
        <w:rPr>
          <w:rFonts w:hint="eastAsia" w:ascii="黑体" w:hAnsi="黑体" w:eastAsia="黑体" w:cs="黑体"/>
          <w:sz w:val="32"/>
          <w:szCs w:val="32"/>
          <w:highlight w:val="none"/>
        </w:rPr>
        <w:t>附件</w:t>
      </w: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5</w:t>
      </w:r>
    </w:p>
    <w:p>
      <w:pPr>
        <w:spacing w:before="120" w:beforeLines="50" w:after="120" w:afterLines="50"/>
        <w:jc w:val="center"/>
        <w:rPr>
          <w:rFonts w:hint="eastAsia" w:ascii="方正小标宋简体" w:hAnsi="方正小标宋简体" w:eastAsia="方正小标宋简体" w:cs="方正小标宋简体"/>
          <w:spacing w:val="-6"/>
          <w:sz w:val="36"/>
          <w:szCs w:val="36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highlight w:val="none"/>
        </w:rPr>
        <w:t>部门整体支出</w:t>
      </w:r>
      <w:r>
        <w:rPr>
          <w:rFonts w:hint="eastAsia" w:ascii="方正小标宋简体" w:hAnsi="方正小标宋简体" w:eastAsia="方正小标宋简体" w:cs="方正小标宋简体"/>
          <w:spacing w:val="-6"/>
          <w:sz w:val="36"/>
          <w:szCs w:val="36"/>
          <w:highlight w:val="none"/>
        </w:rPr>
        <w:t>绩效自评工作考核评分表</w:t>
      </w:r>
    </w:p>
    <w:tbl>
      <w:tblPr>
        <w:tblStyle w:val="3"/>
        <w:tblW w:w="99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5"/>
        <w:gridCol w:w="1174"/>
        <w:gridCol w:w="5000"/>
        <w:gridCol w:w="30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bCs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21"/>
                <w:szCs w:val="21"/>
                <w:highlight w:val="none"/>
              </w:rPr>
              <w:t>一级指标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bCs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21"/>
                <w:szCs w:val="21"/>
                <w:highlight w:val="none"/>
              </w:rPr>
              <w:t>二级指标</w:t>
            </w:r>
          </w:p>
        </w:tc>
        <w:tc>
          <w:tcPr>
            <w:tcW w:w="5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bCs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21"/>
                <w:szCs w:val="21"/>
                <w:highlight w:val="none"/>
              </w:rPr>
              <w:t>评分标准</w:t>
            </w:r>
          </w:p>
        </w:tc>
        <w:tc>
          <w:tcPr>
            <w:tcW w:w="3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黑体" w:cs="Times New Roman"/>
                <w:bCs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黑体" w:cs="Times New Roman"/>
                <w:bCs/>
                <w:sz w:val="21"/>
                <w:szCs w:val="21"/>
                <w:highlight w:val="none"/>
              </w:rPr>
              <w:t>所需佐证材料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布置工作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</w:p>
          <w:p>
            <w:pPr>
              <w:spacing w:line="300" w:lineRule="exact"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10分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自评通知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（8分）</w:t>
            </w:r>
          </w:p>
        </w:tc>
        <w:tc>
          <w:tcPr>
            <w:tcW w:w="5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1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印发绩效自评通知的得2分，否则不得分。</w:t>
            </w:r>
          </w:p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按照本规程规定，绩效自评通知包括自评范围、自评主要依据、自评主要内容、自评程序和步骤、有关要求等内容，并附有本通知要求的附件的，得6分；否则缺1项扣1分，最多扣6分。</w:t>
            </w:r>
          </w:p>
        </w:tc>
        <w:tc>
          <w:tcPr>
            <w:tcW w:w="3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绩效自评通知盖章的电子版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工作小组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（2分）</w:t>
            </w:r>
          </w:p>
        </w:tc>
        <w:tc>
          <w:tcPr>
            <w:tcW w:w="5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成立绩效自评工作小组的得2分，否则不得分。</w:t>
            </w:r>
          </w:p>
        </w:tc>
        <w:tc>
          <w:tcPr>
            <w:tcW w:w="3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本部门、本单位预算绩效管理领导小组</w:t>
            </w:r>
            <w:r>
              <w:rPr>
                <w:rFonts w:hint="default" w:ascii="Times New Roman" w:hAnsi="Times New Roman" w:eastAsia="仿宋_GB2312" w:cs="Times New Roman"/>
                <w:spacing w:val="0"/>
                <w:sz w:val="20"/>
                <w:szCs w:val="20"/>
                <w:highlight w:val="none"/>
                <w:lang w:val="en-US" w:eastAsia="zh-CN"/>
              </w:rPr>
              <w:t>/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绩效评价工作小组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  <w:lang w:eastAsia="zh-CN"/>
              </w:rPr>
              <w:t>有关</w:t>
            </w:r>
            <w:r>
              <w:rPr>
                <w:rFonts w:hint="default" w:ascii="Times New Roman" w:hAnsi="Times New Roman" w:eastAsia="仿宋_GB2312" w:cs="Times New Roman"/>
                <w:spacing w:val="0"/>
                <w:sz w:val="20"/>
                <w:szCs w:val="20"/>
                <w:highlight w:val="none"/>
              </w:rPr>
              <w:t>文件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盖章的电子版</w:t>
            </w:r>
          </w:p>
        </w:tc>
      </w:tr>
      <w:tr>
        <w:trPr>
          <w:jc w:val="center"/>
        </w:trPr>
        <w:tc>
          <w:tcPr>
            <w:tcW w:w="7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实施评价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20分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单位自查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5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eastAsia="zh-CN"/>
              </w:rPr>
              <w:t>市级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预算部门本级和所属单位都要开展绩效自查，转移支付项目单位都要开展绩效自查，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eastAsia="zh-CN"/>
              </w:rPr>
              <w:t>县、区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级主管部门都要汇总本区域转移支付情况；以上各项每发现一个单位没有做相应工作的，扣1分，最多扣10分。</w:t>
            </w:r>
          </w:p>
        </w:tc>
        <w:tc>
          <w:tcPr>
            <w:tcW w:w="302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numPr>
                <w:ilvl w:val="0"/>
                <w:numId w:val="6"/>
              </w:num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转移支付项目单位名称和资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金情况清单</w:t>
            </w:r>
          </w:p>
          <w:p>
            <w:pPr>
              <w:numPr>
                <w:ilvl w:val="0"/>
                <w:numId w:val="6"/>
              </w:num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有转移支付资金的各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eastAsia="zh-CN"/>
              </w:rPr>
              <w:t>县区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主管部门汇总情况的盖章PDF版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提交报告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（10分）</w:t>
            </w:r>
          </w:p>
        </w:tc>
        <w:tc>
          <w:tcPr>
            <w:tcW w:w="802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按时向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eastAsia="zh-CN"/>
              </w:rPr>
              <w:t>市财政局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报送报告的得10分；每推迟一个工作日报送报告的扣1分，最多扣10分。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7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自评报告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70分</w:t>
            </w: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完整性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（15分）</w:t>
            </w:r>
          </w:p>
        </w:tc>
        <w:tc>
          <w:tcPr>
            <w:tcW w:w="80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1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绩效自评报告正文部分内容齐全的，得8分；否则每少一个部分扣2分，最多扣8分。</w:t>
            </w:r>
          </w:p>
          <w:p>
            <w:pPr>
              <w:spacing w:line="240" w:lineRule="auto"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绩效自评报告附件部分内容齐全的，得7分；否则每少一个部分扣2分，最多扣7分。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3" w:hRule="atLeast"/>
          <w:jc w:val="center"/>
        </w:trPr>
        <w:tc>
          <w:tcPr>
            <w:tcW w:w="7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绩效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自评表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（20分）</w:t>
            </w:r>
          </w:p>
        </w:tc>
        <w:tc>
          <w:tcPr>
            <w:tcW w:w="80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1、部门整体支出和项目支出绩效指标反映产出、效益、服务对象满意度方面的指标和预算执行率的权重符合《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eastAsia="zh-CN"/>
              </w:rPr>
              <w:t>岳阳市市级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预算部门绩效自评操作规程》要求的，得5分，否则按比例扣除相应的分数。</w:t>
            </w:r>
          </w:p>
          <w:p>
            <w:pPr>
              <w:spacing w:line="240" w:lineRule="auto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2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部门整体支出和项目支出绩效指标全部细化到三级指标的，得5分；部分细化的，酌情扣分；没有细化的，不得分。</w:t>
            </w:r>
          </w:p>
          <w:p>
            <w:pPr>
              <w:spacing w:line="240" w:lineRule="auto"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3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部门整体支出和项目支出三级绩效指标内涵明确、具体、可衡量的得5分；突出核心指标，精简实用的得3分；指标与部门整体支出和项目支出密切相关，全面反映产出和效益的得2分；否则，每项酌情扣分，最多扣10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7" w:hRule="atLeast"/>
          <w:jc w:val="center"/>
        </w:trPr>
        <w:tc>
          <w:tcPr>
            <w:tcW w:w="7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highlight w:val="none"/>
              </w:rPr>
            </w:pP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反映问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题情况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（20分）</w:t>
            </w:r>
          </w:p>
        </w:tc>
        <w:tc>
          <w:tcPr>
            <w:tcW w:w="80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从预算和预算绩效管理，部门履职效能，资金分配、使用和管理，资产和财务管理，政府采购等方面归纳问题、分析原因全面的，得20分；反映问题、分析原因较全面的，得16—18分；反映问题、分析原因不全面的，得13—15分；问题未归纳且过于简单的，得10—12分；只提出资金不足问题的不得分；其他情况酌情扣分。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7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</w:p>
        </w:tc>
        <w:tc>
          <w:tcPr>
            <w:tcW w:w="1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建议情况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（15分）</w:t>
            </w:r>
          </w:p>
        </w:tc>
        <w:tc>
          <w:tcPr>
            <w:tcW w:w="802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auto"/>
              <w:jc w:val="lef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建议与问题对应且全面的得15分，建议比较全面的得12—14分，建议不全面的得9—11分，建议过于简单的得6—8分，只提出加大资金投入建议的不得分；其他情况酌情扣分。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合计</w:t>
            </w:r>
          </w:p>
        </w:tc>
        <w:tc>
          <w:tcPr>
            <w:tcW w:w="11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100分</w:t>
            </w:r>
          </w:p>
        </w:tc>
        <w:tc>
          <w:tcPr>
            <w:tcW w:w="80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sz w:val="20"/>
                <w:szCs w:val="20"/>
                <w:highlight w:val="none"/>
              </w:rPr>
              <w:t>　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0" w:line="360" w:lineRule="auto"/>
        <w:ind w:right="0" w:rightChars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0775E4"/>
    <w:multiLevelType w:val="singleLevel"/>
    <w:tmpl w:val="920775E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9E710A65"/>
    <w:multiLevelType w:val="singleLevel"/>
    <w:tmpl w:val="9E710A65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D0E32B6A"/>
    <w:multiLevelType w:val="singleLevel"/>
    <w:tmpl w:val="D0E32B6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FF78F131"/>
    <w:multiLevelType w:val="singleLevel"/>
    <w:tmpl w:val="FF78F131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1157FA41"/>
    <w:multiLevelType w:val="singleLevel"/>
    <w:tmpl w:val="1157FA41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5DDF8822"/>
    <w:multiLevelType w:val="singleLevel"/>
    <w:tmpl w:val="5DDF882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886344"/>
    <w:rsid w:val="05F467D4"/>
    <w:rsid w:val="07A20C76"/>
    <w:rsid w:val="0A4F1AE4"/>
    <w:rsid w:val="0B1A3243"/>
    <w:rsid w:val="0C6C004B"/>
    <w:rsid w:val="0F2A2D26"/>
    <w:rsid w:val="13F044D5"/>
    <w:rsid w:val="1DD13795"/>
    <w:rsid w:val="1E175E20"/>
    <w:rsid w:val="1E6D06A4"/>
    <w:rsid w:val="22E1393F"/>
    <w:rsid w:val="2CDB1327"/>
    <w:rsid w:val="339F7DC0"/>
    <w:rsid w:val="34783605"/>
    <w:rsid w:val="359720FA"/>
    <w:rsid w:val="3DEB17A5"/>
    <w:rsid w:val="41437E8C"/>
    <w:rsid w:val="4F9445BE"/>
    <w:rsid w:val="59044B01"/>
    <w:rsid w:val="59886344"/>
    <w:rsid w:val="5B243716"/>
    <w:rsid w:val="5D1802FE"/>
    <w:rsid w:val="606A6604"/>
    <w:rsid w:val="607C3E58"/>
    <w:rsid w:val="668C5431"/>
    <w:rsid w:val="6829174D"/>
    <w:rsid w:val="6C0960CD"/>
    <w:rsid w:val="6DFD4C77"/>
    <w:rsid w:val="6EC353A5"/>
    <w:rsid w:val="70D97BAF"/>
    <w:rsid w:val="7A3F316B"/>
    <w:rsid w:val="7AB103B1"/>
    <w:rsid w:val="7EAD7761"/>
    <w:rsid w:val="DFEF8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customStyle="1" w:styleId="5">
    <w:name w:val="列出段落1"/>
    <w:basedOn w:val="1"/>
    <w:qFormat/>
    <w:uiPriority w:val="34"/>
    <w:pPr>
      <w:ind w:firstLine="420" w:firstLineChars="200"/>
    </w:pPr>
  </w:style>
  <w:style w:type="paragraph" w:styleId="6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2024-03-18T08:36:00Z</dcterms:created>
  <dc:creator>Administrator</dc:creator>
  <cp:lastModifiedBy>Administrator</cp:lastModifiedBy>
  <cp:lastPrinted>2024-07-02T05:46:00Z</cp:lastPrinted>
  <dcterms:modified xsi:type="dcterms:W3CDTF">2024-07-02T07:14:53Z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6182D3A10D564617983F46DEE354AEAF</vt:lpwstr>
  </property>
</Properties>
</file>