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503BD">
      <w:pPr>
        <w:pStyle w:val="13"/>
        <w:jc w:val="center"/>
        <w:rPr>
          <w:sz w:val="56"/>
          <w:szCs w:val="56"/>
        </w:rPr>
      </w:pPr>
    </w:p>
    <w:p w14:paraId="6D9F9CB4">
      <w:pPr>
        <w:pStyle w:val="13"/>
        <w:jc w:val="center"/>
        <w:rPr>
          <w:sz w:val="56"/>
          <w:szCs w:val="56"/>
        </w:rPr>
      </w:pPr>
    </w:p>
    <w:p w14:paraId="0C10DFA1">
      <w:pPr>
        <w:pStyle w:val="13"/>
        <w:jc w:val="center"/>
        <w:rPr>
          <w:sz w:val="84"/>
          <w:szCs w:val="84"/>
        </w:rPr>
      </w:pPr>
    </w:p>
    <w:p w14:paraId="2639631E">
      <w:pPr>
        <w:pStyle w:val="13"/>
        <w:jc w:val="center"/>
        <w:rPr>
          <w:sz w:val="84"/>
          <w:szCs w:val="84"/>
        </w:rPr>
      </w:pPr>
    </w:p>
    <w:p w14:paraId="2B636A9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286572B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岳阳市殡葬执法支队</w:t>
      </w:r>
    </w:p>
    <w:p w14:paraId="10D772CC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1C7E9332">
      <w:pPr>
        <w:pStyle w:val="13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3F0FD563">
      <w:pPr>
        <w:pStyle w:val="13"/>
        <w:jc w:val="center"/>
        <w:rPr>
          <w:sz w:val="56"/>
          <w:szCs w:val="56"/>
        </w:rPr>
      </w:pPr>
    </w:p>
    <w:p w14:paraId="7447F3CB">
      <w:pPr>
        <w:pStyle w:val="13"/>
        <w:jc w:val="center"/>
        <w:rPr>
          <w:sz w:val="56"/>
          <w:szCs w:val="56"/>
        </w:rPr>
      </w:pPr>
    </w:p>
    <w:p w14:paraId="4D75505A">
      <w:pPr>
        <w:pStyle w:val="13"/>
        <w:jc w:val="center"/>
        <w:rPr>
          <w:sz w:val="56"/>
          <w:szCs w:val="56"/>
        </w:rPr>
      </w:pPr>
    </w:p>
    <w:p w14:paraId="6F97C2E5">
      <w:pPr>
        <w:pStyle w:val="13"/>
        <w:jc w:val="center"/>
        <w:rPr>
          <w:sz w:val="32"/>
          <w:szCs w:val="32"/>
        </w:rPr>
      </w:pPr>
    </w:p>
    <w:p w14:paraId="32DEEDB0">
      <w:pPr>
        <w:pStyle w:val="13"/>
        <w:jc w:val="center"/>
        <w:rPr>
          <w:sz w:val="32"/>
          <w:szCs w:val="32"/>
        </w:rPr>
      </w:pPr>
    </w:p>
    <w:p w14:paraId="3DE7E7EA">
      <w:pPr>
        <w:pStyle w:val="13"/>
        <w:jc w:val="center"/>
        <w:rPr>
          <w:sz w:val="32"/>
          <w:szCs w:val="32"/>
        </w:rPr>
      </w:pPr>
    </w:p>
    <w:p w14:paraId="5A304E86">
      <w:pPr>
        <w:pStyle w:val="13"/>
        <w:jc w:val="center"/>
        <w:rPr>
          <w:sz w:val="32"/>
          <w:szCs w:val="32"/>
        </w:rPr>
      </w:pPr>
    </w:p>
    <w:p w14:paraId="30DD3C05">
      <w:pPr>
        <w:pStyle w:val="13"/>
        <w:jc w:val="center"/>
        <w:rPr>
          <w:sz w:val="32"/>
          <w:szCs w:val="32"/>
        </w:rPr>
      </w:pPr>
    </w:p>
    <w:p w14:paraId="7259184B">
      <w:pPr>
        <w:pStyle w:val="13"/>
        <w:spacing w:line="540" w:lineRule="exact"/>
        <w:jc w:val="center"/>
        <w:rPr>
          <w:sz w:val="56"/>
          <w:szCs w:val="56"/>
        </w:rPr>
      </w:pPr>
    </w:p>
    <w:p w14:paraId="4E1EE48F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3925F72F">
      <w:pPr>
        <w:pStyle w:val="13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69DBB5F9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岳阳市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殡葬执法支队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7094087F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20F52158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 w14:paraId="7ECA6F98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5F0369B4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4FE1AA6D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344CEFDC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51772316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5DF95F76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2B34E11E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50F71C5F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7CDA239C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0C5AEBC7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32707B5A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61496CE4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0A63CBCA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5F46AFDC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77001E0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15CE81AA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2B2B65E5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5B483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4533F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2E49E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2DD75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439D3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476CF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276BD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7168D86A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523FD863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12938913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1327FB2A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F57AA6E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BCBFA6A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AD45B8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8CFEEE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B42A1E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9490B7B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6E054CE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326768D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D06E59D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5F4ECA6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72A1066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4AFEEEF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岳阳市殡葬执法支队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69D14236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6362221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4B8EE70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EE9746C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C2A9E9F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4D72E994">
      <w:pPr>
        <w:pStyle w:val="14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195BB9C6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管理殡葬事宜，推进殡葬改革。殡葬改革与殡葬法规宣传。殡葬执法检查。殡葬职业教育，殡葬岗位培训。殡葬礼仪服务。遗体处置服务。遗体火化、骨灰安葬，安放服务。丧葬用品服务。墓碑制作。 </w:t>
      </w:r>
    </w:p>
    <w:p w14:paraId="7952160B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2F4CF2E8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（一）内设机构设置。岳阳市殡葬执法支队内设机构包括：</w:t>
      </w:r>
    </w:p>
    <w:p w14:paraId="24B5693D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1、办公室</w:t>
      </w:r>
    </w:p>
    <w:p w14:paraId="6D860ED1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2、一大队</w:t>
      </w:r>
    </w:p>
    <w:p w14:paraId="5194075E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640" w:firstLineChars="200"/>
        <w:jc w:val="both"/>
        <w:textAlignment w:val="auto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 w:bidi="ar-SA"/>
        </w:rPr>
        <w:t>3、二大队</w:t>
      </w:r>
    </w:p>
    <w:p w14:paraId="6F586774"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</w:p>
    <w:p w14:paraId="2761066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本单位无独立核算的下属单位，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度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部门决算汇总公开单位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仅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包括岳阳市殡葬执法支队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本级。</w:t>
      </w:r>
    </w:p>
    <w:p w14:paraId="03E4584B"/>
    <w:p w14:paraId="630ACB5C">
      <w:pPr>
        <w:pStyle w:val="2"/>
      </w:pPr>
    </w:p>
    <w:p w14:paraId="757BED8B">
      <w:pPr>
        <w:pStyle w:val="3"/>
      </w:pPr>
    </w:p>
    <w:p w14:paraId="61EC65E1"/>
    <w:p w14:paraId="4E093D27">
      <w:pPr>
        <w:pStyle w:val="2"/>
      </w:pPr>
    </w:p>
    <w:p w14:paraId="6869724F">
      <w:pPr>
        <w:pStyle w:val="3"/>
      </w:pPr>
    </w:p>
    <w:p w14:paraId="50E3DB91"/>
    <w:p w14:paraId="7E1485CA">
      <w:pPr>
        <w:pStyle w:val="2"/>
      </w:pPr>
    </w:p>
    <w:p w14:paraId="0C783AC2">
      <w:pPr>
        <w:pStyle w:val="3"/>
      </w:pPr>
    </w:p>
    <w:p w14:paraId="026480EE"/>
    <w:p w14:paraId="504123FE">
      <w:pPr>
        <w:pStyle w:val="2"/>
      </w:pPr>
    </w:p>
    <w:p w14:paraId="2391BD23">
      <w:pPr>
        <w:pStyle w:val="3"/>
      </w:pPr>
    </w:p>
    <w:p w14:paraId="3E24C9E3"/>
    <w:p w14:paraId="0CFA7910">
      <w:pPr>
        <w:pStyle w:val="2"/>
      </w:pPr>
    </w:p>
    <w:p w14:paraId="1B31E252">
      <w:pPr>
        <w:pStyle w:val="3"/>
      </w:pPr>
    </w:p>
    <w:p w14:paraId="6397818D"/>
    <w:p w14:paraId="2146A42E">
      <w:pPr>
        <w:pStyle w:val="2"/>
      </w:pPr>
    </w:p>
    <w:p w14:paraId="2D810678">
      <w:pPr>
        <w:pStyle w:val="3"/>
      </w:pPr>
    </w:p>
    <w:p w14:paraId="2B445E63"/>
    <w:p w14:paraId="320975D1">
      <w:pPr>
        <w:pStyle w:val="2"/>
      </w:pPr>
    </w:p>
    <w:p w14:paraId="4F3BBE41">
      <w:pPr>
        <w:pStyle w:val="3"/>
      </w:pPr>
    </w:p>
    <w:p w14:paraId="4B7D63B3"/>
    <w:p w14:paraId="4D43935F">
      <w:pPr>
        <w:pStyle w:val="2"/>
      </w:pPr>
    </w:p>
    <w:p w14:paraId="536BD363">
      <w:pPr>
        <w:pStyle w:val="3"/>
      </w:pPr>
    </w:p>
    <w:p w14:paraId="7B19286F"/>
    <w:p w14:paraId="75EB0EE3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99D0B5D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62CD0F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26AC8171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8186C4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0DB3C388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5EDC1138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9B4D723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E772615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4D554BB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CABF6FA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F76D080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19F2AD7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C4FFEC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0F22DC2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E02C2B3">
      <w:pPr>
        <w:pStyle w:val="13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F88E0EF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44983F80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DCA3B9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61BD054D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D9DD65E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C5844D6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8B12FE6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5E5CBA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604FFA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84EAB19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2392D2F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6343B1B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603.53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79.77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15.23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人员经费增加以及殡葬专项整治行动拨入专款增加。</w:t>
      </w:r>
    </w:p>
    <w:p w14:paraId="5929492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543CAED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603.53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513.48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14.92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5BE5308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760DCB7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万元，其中：基本支出342.9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56.82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%；项目支出260.58万元，占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BE33D8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617E638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年度财政拨款收、支总计513.48万元，与上年相比，增加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人员，人员经费增加。</w:t>
      </w:r>
    </w:p>
    <w:p w14:paraId="4B72991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22E7F84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1BD37EC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年度财政拨款支出493.76万元，占本年支出合计的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81.81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30.64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6.62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人员经费增加。</w:t>
      </w:r>
    </w:p>
    <w:p w14:paraId="43A68AA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786155E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年度财政拨款支出493.76万元，主要用于以下方面：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94.37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%；住房保障支出18.31万元，占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3.71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66454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01D107B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320.73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万元，支出决算数为493.76万元，完成年初预算的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153.95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1BE500D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民政管理事务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其他民政管理事务支出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1FF4EBB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为105.6万元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年初未进入本单位预算，但已进入财政大预算。</w:t>
      </w:r>
    </w:p>
    <w:p w14:paraId="7F18141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行政事业单位养老支出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机关事业单位基本养老保险缴费支出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1B6097E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为18.08万元，支出决算为18.08万元，完成年初预算的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一致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我单位严格按预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算执行决算。</w:t>
      </w:r>
    </w:p>
    <w:p w14:paraId="3C59D9EC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抚恤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其他优抚支出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 w14:paraId="4F2DD276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34.32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</w:rPr>
        <w:t>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年初未进入本单位预算，但已进入财政大预算。</w:t>
      </w:r>
    </w:p>
    <w:p w14:paraId="342BB3C1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社会保障和就业支出（类）社会福利（款）殡葬（项）。</w:t>
      </w:r>
    </w:p>
    <w:p w14:paraId="10EA850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年初预算为262.46万元，支出决算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300.11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114.35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%，决算数大于年初预算数的主要原因是：人员经费增加以及惠民殡葬奖补人数增加致奖补资金增加。</w:t>
      </w:r>
    </w:p>
    <w:p w14:paraId="503D06D1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社会保障和就业支出（类）其他社会保障和就业支出（款）其他社会保障和就业支出（项）。</w:t>
      </w:r>
    </w:p>
    <w:p w14:paraId="0CBF0C7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7.85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7.85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</w:t>
      </w:r>
      <w:r>
        <w:rPr>
          <w:rFonts w:hint="eastAsia" w:ascii="Times New Roman" w:hAnsi="Times New Roman" w:eastAsia="仿宋_GB2312"/>
          <w:sz w:val="32"/>
          <w:szCs w:val="32"/>
        </w:rPr>
        <w:t>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一致</w:t>
      </w:r>
      <w:r>
        <w:rPr>
          <w:rFonts w:hint="eastAsia" w:ascii="Times New Roman" w:hAnsi="Times New Roman" w:eastAsia="仿宋_GB2312"/>
          <w:sz w:val="32"/>
          <w:szCs w:val="32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我单位严格按预算执行决算。</w:t>
      </w:r>
    </w:p>
    <w:p w14:paraId="4BA40854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卫生健康支出（类）行政事业单位医疗（款）事业单位医疗（项）。</w:t>
      </w:r>
    </w:p>
    <w:p w14:paraId="77E5C12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9.5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9.5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</w:t>
      </w:r>
      <w:r>
        <w:rPr>
          <w:rFonts w:hint="eastAsia" w:ascii="Times New Roman" w:hAnsi="Times New Roman" w:eastAsia="仿宋_GB2312"/>
          <w:sz w:val="32"/>
          <w:szCs w:val="32"/>
        </w:rPr>
        <w:t>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一致</w:t>
      </w:r>
      <w:r>
        <w:rPr>
          <w:rFonts w:hint="eastAsia" w:ascii="Times New Roman" w:hAnsi="Times New Roman" w:eastAsia="仿宋_GB2312"/>
          <w:sz w:val="32"/>
          <w:szCs w:val="32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我单位严格按预算执行决算。</w:t>
      </w:r>
    </w:p>
    <w:p w14:paraId="0C351ACC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住房保障支出（类）住房改革支出（款）住房公积金（项）。</w:t>
      </w:r>
    </w:p>
    <w:p w14:paraId="011C52B1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18.31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18.31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</w:t>
      </w:r>
      <w:r>
        <w:rPr>
          <w:rFonts w:hint="eastAsia" w:ascii="Times New Roman" w:hAnsi="Times New Roman" w:eastAsia="仿宋_GB2312"/>
          <w:sz w:val="32"/>
          <w:szCs w:val="32"/>
        </w:rPr>
        <w:t>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一致</w:t>
      </w:r>
      <w:r>
        <w:rPr>
          <w:rFonts w:hint="eastAsia" w:ascii="Times New Roman" w:hAnsi="Times New Roman" w:eastAsia="仿宋_GB2312"/>
          <w:sz w:val="32"/>
          <w:szCs w:val="32"/>
        </w:rPr>
        <w:t>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我单位严格按预算执行决算。</w:t>
      </w:r>
    </w:p>
    <w:p w14:paraId="687EE8E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3A22B34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342.95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1FE6E36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308.12万元，占基本支出的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89.84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基本工资、津贴补贴、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zh-CN"/>
        </w:rPr>
        <w:t>奖金、伙食补助费、机关事业单位基本养老保险缴费、职工基本医疗保险缴费、其他社会保障缴费、住房公积金、医疗费、退休费、医疗费补助、其他对个人和家庭的补助。</w:t>
      </w:r>
    </w:p>
    <w:p w14:paraId="7F4E71C0"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34.83万元，占基本支出的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10.16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办公费、水费、电费、邮电费、工会经费、福利费、公务用车运行维护费、其他交通费用、其他商品和服务支出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。</w:t>
      </w:r>
    </w:p>
    <w:p w14:paraId="574C7FD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0F355FC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年度政府性基金预算财政拨款收入19.72万元；年初结转和结余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万元；支出19.72万元，其中基本支出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万元，项目支出19.72万元；年末结转和结余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万元。具体情况如下：</w:t>
      </w:r>
    </w:p>
    <w:p w14:paraId="6D469E0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其他支出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彩票公益金安排的支出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用于社会福利的彩票公益金支出</w:t>
      </w:r>
      <w:r>
        <w:rPr>
          <w:rFonts w:hint="eastAsia" w:ascii="Times New Roman" w:hAnsi="Times New Roman" w:eastAsia="仿宋_GB2312"/>
          <w:sz w:val="32"/>
          <w:szCs w:val="32"/>
        </w:rPr>
        <w:t>（项）。</w:t>
      </w:r>
    </w:p>
    <w:p w14:paraId="65095BE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6A15F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19.72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19.72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</w:rPr>
        <w:t>年初预算数的主要原因是：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资金全部用于龙头山公墓的维修维护改造。</w:t>
      </w:r>
    </w:p>
    <w:p w14:paraId="17BEF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1939D0B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2023年度国有资本经营预算财政拨款收入0万元；年初结转和结余0万元；支出0万元，其中：基本支出0万元，项目支出0万元；年末结转和结余0万元。</w:t>
      </w:r>
    </w:p>
    <w:p w14:paraId="02F0B373">
      <w:pPr>
        <w:pStyle w:val="2"/>
        <w:rPr>
          <w:rFonts w:hint="eastAsia"/>
          <w:lang w:val="en-US" w:eastAsia="zh-CN"/>
        </w:rPr>
      </w:pPr>
    </w:p>
    <w:p w14:paraId="6346369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22DFA21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7F7E97A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“三公”经费财政拨款支出预算为3.26万元，支出决算为3.26万元，完成预算的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等于年初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与上年相比减少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45.67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2023年度主要在中心城区开展殡葬改革工作，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致使公务用车运行维护费用减少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。其中：</w:t>
      </w:r>
    </w:p>
    <w:p w14:paraId="47D53E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等于年初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；与上年一致，无增减变动，主要原因是未安排因公出国（境）活动。</w:t>
      </w:r>
    </w:p>
    <w:p w14:paraId="06782D8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决算数等于预算数，</w:t>
      </w:r>
      <w:r>
        <w:rPr>
          <w:rFonts w:hint="eastAsia" w:ascii="Times New Roman" w:hAnsi="Times New Roman" w:eastAsia="仿宋_GB2312"/>
          <w:sz w:val="32"/>
          <w:szCs w:val="32"/>
        </w:rPr>
        <w:t>主要原因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是严格执行中央八项规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；与上年一致，无增减变动，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按有关政策厉行节约，严控公务接待支出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EB012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公务用车购置费支出预算为0万元，支出决算为0万元，决算数等于预算数，主要原因是我单位严格按预算执行决算；与上年一致，无增减变动，主要原因是两年均未购置公务用车。  </w:t>
      </w:r>
    </w:p>
    <w:p w14:paraId="5F4B480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公务用车运行维护费支出预算为3.26万元，支出决算为3.26万元，完成预算的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等于年初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45.67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2023年度主要在中心城区开展殡葬改革工作，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致使公务用车运行维护费用减少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6A19D4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5D9C7DC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万元，公务用车购置费及运行维护费支出决算3.26万元，占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50CBD5B5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万元，全年安排因公出国（境）团组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我单位2023年度无因公出国（境）费支出。 </w:t>
      </w:r>
    </w:p>
    <w:p w14:paraId="20168E1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，我单位2023年度无公务接待费支出。</w:t>
      </w:r>
    </w:p>
    <w:p w14:paraId="044EAA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公务用车购置费及运行维护费支出决算为3.26万元，其中：公务用车购置费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岳阳市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殡葬执法支队</w:t>
      </w:r>
      <w:r>
        <w:rPr>
          <w:rFonts w:hint="eastAsia" w:ascii="仿宋_GB2312" w:hAnsi="仿宋_GB2312" w:eastAsia="仿宋_GB2312" w:cs="仿宋_GB2312"/>
          <w:sz w:val="32"/>
          <w:szCs w:val="32"/>
        </w:rPr>
        <w:t>更新公务用车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公务用车运行维护费3.26万元，主要是按规定保留的公务用车的燃料费、维修费、过桥过路费、保险费等支出，截止202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 w14:paraId="5A1FF5B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4A470908">
      <w:pPr>
        <w:pStyle w:val="13"/>
        <w:ind w:firstLine="640" w:firstLineChars="200"/>
        <w:rPr>
          <w:rFonts w:hint="eastAsia" w:ascii="楷体" w:hAnsi="楷体" w:eastAsia="仿宋_GB2312" w:cs="楷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年度机关运行经费支出34.83万元，比年初预算数减少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12.74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万元，降低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26.78</w:t>
      </w:r>
      <w:r>
        <w:rPr>
          <w:rFonts w:hint="eastAsia" w:ascii="仿宋_GB2312" w:hAnsi="仿宋_GB2312" w:eastAsia="仿宋_GB2312" w:cs="仿宋_GB2312"/>
          <w:sz w:val="32"/>
          <w:szCs w:val="32"/>
        </w:rPr>
        <w:t>%。主要原因是：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压缩开支，尽量减少不必要支出。</w:t>
      </w:r>
    </w:p>
    <w:p w14:paraId="7C92F16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00C20488">
      <w:pPr>
        <w:pStyle w:val="1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年度，会议费年初预算0万元，支出决算为0万元，本单位无会议费的预算和支出决算数。</w:t>
      </w:r>
    </w:p>
    <w:p w14:paraId="7EA0CCFE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的预算和支出决算数。</w:t>
      </w:r>
    </w:p>
    <w:p w14:paraId="243DE99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举办节庆、晚会、论坛、赛事活动年初预算0万元，支出决算为0万元，本单位无举办节庆、晚会、论坛、赛事等活动的预算和支出决算数。</w:t>
      </w:r>
    </w:p>
    <w:p w14:paraId="3CBACAD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7F922BA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/>
          <w:i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本部门2023年度政府采购支出总额51.67万元，其中：政府采购货物支出15.36万元、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政府采购工程支出0万元、政府采购服务支出36.32万元。授予中小企业合同金额51.67万元，占政府采购支出总额的100%，其中：授予小微企业合同金额38.24万元，占授予中小企业合同金额的74.00%。货物采购授予中小企业合同金额占货物支出金额的100%，无法计算占政府采购工程支出的比重，服务采购授予中小企业合同金额占服务支出金额的100%。</w:t>
      </w:r>
    </w:p>
    <w:p w14:paraId="39DE245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61614D6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  <w:t>截至2023年12月31日，本单位共有车辆2辆，其中，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45EE184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4A9C008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605F1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4D13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493.76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万元，政府性基金预算支出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19.72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万元，国有资本经营预算支出0万元。从评价情况来看，整体支出绩效评价中，2023年整体支出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342.9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260.58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万元，本单位整体支出绩效自评综合评分96分，评价结果等次为优。</w:t>
      </w:r>
    </w:p>
    <w:p w14:paraId="28422D9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对一般公共预算项目支出全面开展绩效自评，项目1个，共涉及资金50.2万元，占一般公共预算项目支出总额的33.29%。组织对政府性基金预算项目支出开展绩效自评，项目0个，共涉及资金0万元，占政府性基金预算项目支出总额的0%。组织对国有资本经营预算项目支出开展绩效自评，项目0个，共涉及资金0万元，无法计算占国有资本经营预算支出的比重。从评价情况来看，项目绩效自评得分96分，评价结果等次为优。</w:t>
      </w:r>
    </w:p>
    <w:p w14:paraId="0432A9C2">
      <w:pPr>
        <w:pStyle w:val="2"/>
        <w:rPr>
          <w:rFonts w:hint="eastAsia"/>
          <w:lang w:eastAsia="zh-CN"/>
        </w:rPr>
      </w:pPr>
    </w:p>
    <w:p w14:paraId="51AEBF1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54424FF5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根据年初设定的绩效目标，绩效自评得分为96分。全年预算数为</w:t>
      </w:r>
      <w:r>
        <w:rPr>
          <w:rFonts w:hint="eastAsia" w:ascii="仿宋_GB2312" w:hAnsi="仿宋_GB2312" w:eastAsia="仿宋_GB2312" w:cs="仿宋_GB2312"/>
          <w:sz w:val="32"/>
          <w:szCs w:val="32"/>
        </w:rPr>
        <w:t>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万元，执行数为</w:t>
      </w:r>
      <w:r>
        <w:rPr>
          <w:rFonts w:hint="eastAsia" w:ascii="仿宋_GB2312" w:hAnsi="仿宋_GB2312" w:eastAsia="仿宋_GB2312" w:cs="仿宋_GB2312"/>
          <w:sz w:val="32"/>
          <w:szCs w:val="32"/>
        </w:rPr>
        <w:t>603.5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万元，完成预算的100%。绩效目标完成情况：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心城区执法巡查已成常态化工作，接警处置率达100%。遵守殡葬法规，接受先进殡葬方式的群体正在扩大，违规殡葬行为逐步减少。殡葬活动扰民情况逐步减少，移风易俗正在成为风尚。广大市民满意度逐年提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对全市经营性公墓每年进行一次执法检查，对违规超标公墓责令整改并依法处理。乱埋乱葬行为减少，实行生态安葬人数不断增加。殡葬服务设施、生态设施建设实现了在殡葬服务单位全覆盖。文明祭扫率逐年提高，传统型公墓正逐步向生态安葬转型。使得土地可持续利用。三是、对殡葬服务单位违规建设、经营行为进行处理，执法效果好，群众反映佳。四是、对全市殡葬执法工作进行督查，指导查处重大违法殡葬案件。五是、开展殡葬执法和落实惠民殡葬培训各一次。执法监督到位，惠民奖补资金发放规范。2023年度全年共发放惠民殡葬奖补资金50.2万元，其中集中治丧奖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人次，资金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15.3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万元，文明治丧奖补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113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人次，资金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34.9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万元。接受先进生态安葬理念的人越来越多。六是、殡葬执法专项经费24.72万元，主要用于殡葬执法、巡查，殡葬改革宣传。</w:t>
      </w:r>
    </w:p>
    <w:p w14:paraId="24C1C39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0F65BE92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存在的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主要问题及原因：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因部门整体支出的预算资金安排和使用上仍有不可预见性，还要加强预算管理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随着移风易俗、生态安葬理念的深入人心，专项资金迫切需要加大投入。</w:t>
      </w:r>
    </w:p>
    <w:p w14:paraId="1709476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下一步改进措施：一是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加强各部门协作、社会参与机制，建立监督机制，加大奖惩力度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；二是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加强财务队伍建设和业务指导，培养项目和部门的绩效管理队伍，建立绩效评价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的长效机制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25A24BB0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0FF952F8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4B1557A6">
      <w:pPr>
        <w:pStyle w:val="13"/>
        <w:jc w:val="both"/>
        <w:rPr>
          <w:sz w:val="72"/>
          <w:szCs w:val="72"/>
        </w:rPr>
      </w:pPr>
    </w:p>
    <w:p w14:paraId="7100D0CC">
      <w:pPr>
        <w:pStyle w:val="13"/>
        <w:jc w:val="center"/>
        <w:rPr>
          <w:sz w:val="72"/>
          <w:szCs w:val="72"/>
        </w:rPr>
      </w:pPr>
    </w:p>
    <w:p w14:paraId="7163DCB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098B6A8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2F4AA03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C6FC939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3FA919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5007D16C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219B192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09B388CF">
      <w:pPr>
        <w:pStyle w:val="2"/>
      </w:pPr>
    </w:p>
    <w:p w14:paraId="7753DF11">
      <w:pPr>
        <w:pStyle w:val="3"/>
      </w:pPr>
    </w:p>
    <w:p w14:paraId="115CE381"/>
    <w:p w14:paraId="29E7E8B8">
      <w:pPr>
        <w:pStyle w:val="2"/>
      </w:pPr>
    </w:p>
    <w:p w14:paraId="51B23435">
      <w:pPr>
        <w:pStyle w:val="3"/>
      </w:pPr>
    </w:p>
    <w:p w14:paraId="47F53E80"/>
    <w:p w14:paraId="029FCCCB">
      <w:pPr>
        <w:pStyle w:val="2"/>
      </w:pPr>
    </w:p>
    <w:p w14:paraId="6D43402F">
      <w:pPr>
        <w:pStyle w:val="3"/>
      </w:pPr>
    </w:p>
    <w:p w14:paraId="48EC6FED"/>
    <w:p w14:paraId="3BD962B0">
      <w:pPr>
        <w:pStyle w:val="2"/>
      </w:pPr>
    </w:p>
    <w:p w14:paraId="409ED3D6">
      <w:pPr>
        <w:pStyle w:val="3"/>
      </w:pPr>
    </w:p>
    <w:p w14:paraId="72208D41"/>
    <w:p w14:paraId="737A8511">
      <w:pPr>
        <w:pStyle w:val="2"/>
      </w:pPr>
    </w:p>
    <w:p w14:paraId="5062FD3F">
      <w:pPr>
        <w:pStyle w:val="3"/>
      </w:pPr>
    </w:p>
    <w:p w14:paraId="34D707B0"/>
    <w:p w14:paraId="771FC93C">
      <w:pPr>
        <w:pStyle w:val="2"/>
      </w:pPr>
    </w:p>
    <w:p w14:paraId="7BE626F0">
      <w:pPr>
        <w:pStyle w:val="3"/>
      </w:pPr>
    </w:p>
    <w:p w14:paraId="106AAF54"/>
    <w:p w14:paraId="702D814E">
      <w:pPr>
        <w:pStyle w:val="2"/>
      </w:pPr>
    </w:p>
    <w:p w14:paraId="4C098F0A">
      <w:pPr>
        <w:pStyle w:val="3"/>
      </w:pPr>
    </w:p>
    <w:p w14:paraId="44ECA8DE"/>
    <w:p w14:paraId="63BC4C3E">
      <w:pPr>
        <w:pStyle w:val="2"/>
      </w:pPr>
    </w:p>
    <w:p w14:paraId="7BEAC001">
      <w:pPr>
        <w:pStyle w:val="3"/>
      </w:pPr>
    </w:p>
    <w:p w14:paraId="23A1D5DE"/>
    <w:p w14:paraId="6DF8DA66">
      <w:pPr>
        <w:pStyle w:val="2"/>
      </w:pPr>
    </w:p>
    <w:p w14:paraId="6DA3B74A">
      <w:pPr>
        <w:pStyle w:val="3"/>
      </w:pPr>
    </w:p>
    <w:p w14:paraId="1BE03E5C"/>
    <w:p w14:paraId="0A5A9648">
      <w:pPr>
        <w:pStyle w:val="2"/>
      </w:pPr>
    </w:p>
    <w:p w14:paraId="5448B3BD">
      <w:pPr>
        <w:pStyle w:val="3"/>
      </w:pPr>
    </w:p>
    <w:p w14:paraId="69F41DF6"/>
    <w:p w14:paraId="638079B6">
      <w:pPr>
        <w:pStyle w:val="2"/>
      </w:pPr>
    </w:p>
    <w:p w14:paraId="1CB916F0">
      <w:pPr>
        <w:pStyle w:val="3"/>
      </w:pPr>
    </w:p>
    <w:p w14:paraId="6D738237">
      <w:pPr>
        <w:pStyle w:val="3"/>
      </w:pPr>
    </w:p>
    <w:p w14:paraId="418EA673"/>
    <w:p w14:paraId="787BD058">
      <w:pPr>
        <w:pStyle w:val="2"/>
      </w:pPr>
    </w:p>
    <w:p w14:paraId="19621D4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05064FBF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41E03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6CD1CBC0">
      <w:pPr>
        <w:pStyle w:val="13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1EF71A">
      <w:pPr>
        <w:pStyle w:val="3"/>
      </w:pPr>
    </w:p>
    <w:p w14:paraId="00AB9142"/>
    <w:p w14:paraId="4105C806">
      <w:pPr>
        <w:pStyle w:val="2"/>
      </w:pPr>
    </w:p>
    <w:p w14:paraId="6040BB36">
      <w:pPr>
        <w:pStyle w:val="3"/>
      </w:pPr>
    </w:p>
    <w:p w14:paraId="62787C70"/>
    <w:p w14:paraId="15E35D7D">
      <w:pPr>
        <w:pStyle w:val="2"/>
      </w:pPr>
    </w:p>
    <w:p w14:paraId="0DBD3913">
      <w:pPr>
        <w:pStyle w:val="3"/>
      </w:pPr>
    </w:p>
    <w:p w14:paraId="27C64EFD"/>
    <w:p w14:paraId="14004AE1">
      <w:pPr>
        <w:pStyle w:val="2"/>
      </w:pPr>
    </w:p>
    <w:p w14:paraId="32F279FC">
      <w:pPr>
        <w:pStyle w:val="3"/>
      </w:pPr>
    </w:p>
    <w:p w14:paraId="700C3D82"/>
    <w:p w14:paraId="4C6CDB7E">
      <w:pPr>
        <w:pStyle w:val="2"/>
      </w:pPr>
    </w:p>
    <w:p w14:paraId="58F3A683">
      <w:pPr>
        <w:pStyle w:val="3"/>
      </w:pPr>
    </w:p>
    <w:p w14:paraId="5158FF4F"/>
    <w:p w14:paraId="5CCD2F98">
      <w:pPr>
        <w:pStyle w:val="2"/>
      </w:pPr>
    </w:p>
    <w:p w14:paraId="1A1DF8EF">
      <w:pPr>
        <w:pStyle w:val="3"/>
      </w:pPr>
    </w:p>
    <w:p w14:paraId="7F2FADCD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2D490543">
      <w:pPr>
        <w:pStyle w:val="13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5C78D284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2CF5F313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1F396FB5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0B3100AA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2D26E6A4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64B31A"/>
    <w:multiLevelType w:val="singleLevel"/>
    <w:tmpl w:val="5764B31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BC28E7"/>
    <w:rsid w:val="01D47F8D"/>
    <w:rsid w:val="03E55DA2"/>
    <w:rsid w:val="05562157"/>
    <w:rsid w:val="059958AD"/>
    <w:rsid w:val="06C857E7"/>
    <w:rsid w:val="07E83443"/>
    <w:rsid w:val="08C24A73"/>
    <w:rsid w:val="0A720A8A"/>
    <w:rsid w:val="0B99690C"/>
    <w:rsid w:val="0DD5693F"/>
    <w:rsid w:val="0DF06BAE"/>
    <w:rsid w:val="0FE444A1"/>
    <w:rsid w:val="12583BA5"/>
    <w:rsid w:val="127C347F"/>
    <w:rsid w:val="13BA5B9C"/>
    <w:rsid w:val="16615DD0"/>
    <w:rsid w:val="18A7651D"/>
    <w:rsid w:val="1D97DEFF"/>
    <w:rsid w:val="1DFF72E5"/>
    <w:rsid w:val="1EFC6F07"/>
    <w:rsid w:val="1F0527A6"/>
    <w:rsid w:val="227B393C"/>
    <w:rsid w:val="22AC03C2"/>
    <w:rsid w:val="24253646"/>
    <w:rsid w:val="26AF0963"/>
    <w:rsid w:val="281B09D9"/>
    <w:rsid w:val="2AF12700"/>
    <w:rsid w:val="2BC0208D"/>
    <w:rsid w:val="2C380E88"/>
    <w:rsid w:val="2FDF85B8"/>
    <w:rsid w:val="2FFFEE04"/>
    <w:rsid w:val="30A717CE"/>
    <w:rsid w:val="30C916BD"/>
    <w:rsid w:val="31C95635"/>
    <w:rsid w:val="34DF85B0"/>
    <w:rsid w:val="35A90301"/>
    <w:rsid w:val="3B8F36BC"/>
    <w:rsid w:val="3D1E66D3"/>
    <w:rsid w:val="3D924A5E"/>
    <w:rsid w:val="3DCB6A74"/>
    <w:rsid w:val="3F045D6C"/>
    <w:rsid w:val="478E47F8"/>
    <w:rsid w:val="47A32780"/>
    <w:rsid w:val="491FF225"/>
    <w:rsid w:val="4DD22E65"/>
    <w:rsid w:val="4E2B0F4A"/>
    <w:rsid w:val="4FFD214C"/>
    <w:rsid w:val="5093479B"/>
    <w:rsid w:val="51455C87"/>
    <w:rsid w:val="5352765A"/>
    <w:rsid w:val="541F1CE3"/>
    <w:rsid w:val="5777D4F5"/>
    <w:rsid w:val="57CF670D"/>
    <w:rsid w:val="594F7143"/>
    <w:rsid w:val="59DD8326"/>
    <w:rsid w:val="5DEF592A"/>
    <w:rsid w:val="5E604DE2"/>
    <w:rsid w:val="5FC6BB1E"/>
    <w:rsid w:val="5FF720F1"/>
    <w:rsid w:val="63394FD5"/>
    <w:rsid w:val="63EC02FC"/>
    <w:rsid w:val="64AF3837"/>
    <w:rsid w:val="64C4255D"/>
    <w:rsid w:val="660C5D78"/>
    <w:rsid w:val="66A07679"/>
    <w:rsid w:val="67FF5C0B"/>
    <w:rsid w:val="6BAA4A2F"/>
    <w:rsid w:val="6EFC0924"/>
    <w:rsid w:val="6FB74722"/>
    <w:rsid w:val="6FEF8B7E"/>
    <w:rsid w:val="71A6591B"/>
    <w:rsid w:val="72935C87"/>
    <w:rsid w:val="737D59BA"/>
    <w:rsid w:val="737F32B1"/>
    <w:rsid w:val="73B86D12"/>
    <w:rsid w:val="74B72109"/>
    <w:rsid w:val="77C37683"/>
    <w:rsid w:val="79FF515B"/>
    <w:rsid w:val="7C326682"/>
    <w:rsid w:val="7E9E1962"/>
    <w:rsid w:val="7E9F11B4"/>
    <w:rsid w:val="7F37EC1E"/>
    <w:rsid w:val="7F6F781F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5466</Words>
  <Characters>5987</Characters>
  <Lines>63</Lines>
  <Paragraphs>18</Paragraphs>
  <TotalTime>69</TotalTime>
  <ScaleCrop>false</ScaleCrop>
  <LinksUpToDate>false</LinksUpToDate>
  <CharactersWithSpaces>6007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罗玉婵</cp:lastModifiedBy>
  <cp:lastPrinted>2024-08-08T10:20:00Z</cp:lastPrinted>
  <dcterms:modified xsi:type="dcterms:W3CDTF">2025-10-14T04:04:40Z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eyJoZGlkIjoiMGEyYTBkZjcwOWQwOTc0ODA1OGJhYjY1ZDUwMTRiNzIiLCJ1c2VySWQiOiIxNTY4NjE5MTI2In0=</vt:lpwstr>
  </property>
</Properties>
</file>