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Lines="0" w:line="360" w:lineRule="auto"/>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spacing w:val="0"/>
          <w:sz w:val="32"/>
          <w:szCs w:val="32"/>
          <w:highlight w:val="none"/>
          <w:lang w:val="en-US" w:eastAsia="zh-CN"/>
        </w:rPr>
        <w:t xml:space="preserve"> </w:t>
      </w:r>
      <w:r>
        <w:rPr>
          <w:rFonts w:hint="eastAsia" w:ascii="仿宋_GB2312" w:hAnsi="仿宋_GB2312" w:eastAsia="仿宋_GB2312" w:cs="仿宋_GB2312"/>
          <w:spacing w:val="0"/>
          <w:sz w:val="32"/>
          <w:szCs w:val="32"/>
          <w:highlight w:val="none"/>
          <w:lang w:val="en-US" w:eastAsia="zh-CN"/>
        </w:rPr>
        <w:t xml:space="preserve">     </w:t>
      </w:r>
      <w:r>
        <w:rPr>
          <w:rFonts w:hint="eastAsia" w:ascii="仿宋_GB2312" w:hAnsi="仿宋_GB2312" w:eastAsia="仿宋_GB2312" w:cs="仿宋_GB2312"/>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Lines="0" w:line="360" w:lineRule="auto"/>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 xml:space="preserve">年度部门整体支出绩效评价基础数据表 </w:t>
      </w:r>
    </w:p>
    <w:p>
      <w:pPr>
        <w:keepNext w:val="0"/>
        <w:keepLines w:val="0"/>
        <w:pageBreakBefore w:val="0"/>
        <w:widowControl w:val="0"/>
        <w:kinsoku/>
        <w:wordWrap/>
        <w:overflowPunct/>
        <w:topLinePunct w:val="0"/>
        <w:autoSpaceDE/>
        <w:autoSpaceDN/>
        <w:bidi w:val="0"/>
        <w:adjustRightInd/>
        <w:snapToGrid/>
        <w:spacing w:afterLines="0" w:line="360" w:lineRule="auto"/>
        <w:ind w:left="0" w:leftChars="0" w:firstLine="1600" w:firstLineChars="5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年度部门整体支出绩效自评表</w:t>
      </w:r>
    </w:p>
    <w:p>
      <w:pPr>
        <w:keepNext w:val="0"/>
        <w:keepLines w:val="0"/>
        <w:pageBreakBefore w:val="0"/>
        <w:widowControl w:val="0"/>
        <w:kinsoku/>
        <w:wordWrap/>
        <w:overflowPunct/>
        <w:topLinePunct w:val="0"/>
        <w:autoSpaceDE/>
        <w:autoSpaceDN/>
        <w:bidi w:val="0"/>
        <w:adjustRightInd/>
        <w:snapToGrid/>
        <w:spacing w:afterLines="0" w:line="360" w:lineRule="auto"/>
        <w:ind w:left="0" w:leftChars="0" w:firstLine="1600" w:firstLineChars="5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年度项目支出绩效自评表</w:t>
      </w:r>
    </w:p>
    <w:p>
      <w:pPr>
        <w:keepNext w:val="0"/>
        <w:keepLines w:val="0"/>
        <w:pageBreakBefore w:val="0"/>
        <w:widowControl w:val="0"/>
        <w:kinsoku/>
        <w:wordWrap/>
        <w:overflowPunct/>
        <w:topLinePunct w:val="0"/>
        <w:autoSpaceDE/>
        <w:autoSpaceDN/>
        <w:bidi w:val="0"/>
        <w:adjustRightInd/>
        <w:snapToGrid/>
        <w:spacing w:afterLines="0" w:line="360" w:lineRule="auto"/>
        <w:ind w:left="1596" w:leftChars="570" w:firstLine="0" w:firstLine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w:t>
      </w:r>
      <w:r>
        <w:rPr>
          <w:rFonts w:hint="eastAsia" w:ascii="仿宋_GB2312" w:hAnsi="仿宋_GB2312" w:eastAsia="仿宋_GB2312" w:cs="仿宋_GB2312"/>
          <w:sz w:val="32"/>
          <w:szCs w:val="32"/>
          <w:highlight w:val="none"/>
          <w:lang w:eastAsia="zh-CN"/>
        </w:rPr>
        <w:t>市</w:t>
      </w:r>
      <w:r>
        <w:rPr>
          <w:rFonts w:hint="eastAsia" w:ascii="仿宋_GB2312" w:hAnsi="仿宋_GB2312" w:eastAsia="仿宋_GB2312" w:cs="仿宋_GB2312"/>
          <w:sz w:val="32"/>
          <w:szCs w:val="32"/>
          <w:highlight w:val="none"/>
        </w:rPr>
        <w:t xml:space="preserve">直预算部门整体支出绩效自评报告 （统一参考格式）   </w:t>
      </w:r>
    </w:p>
    <w:p>
      <w:pPr>
        <w:keepNext w:val="0"/>
        <w:keepLines w:val="0"/>
        <w:pageBreakBefore w:val="0"/>
        <w:widowControl w:val="0"/>
        <w:kinsoku/>
        <w:wordWrap/>
        <w:overflowPunct/>
        <w:topLinePunct w:val="0"/>
        <w:autoSpaceDE/>
        <w:autoSpaceDN/>
        <w:bidi w:val="0"/>
        <w:adjustRightInd/>
        <w:snapToGrid/>
        <w:spacing w:afterLines="0" w:line="360" w:lineRule="auto"/>
        <w:ind w:left="0" w:leftChars="0" w:firstLine="1600" w:firstLineChars="5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部门整体支出绩效自评工作考核评分表</w:t>
      </w: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spacing w:after="120" w:afterLines="50" w:line="600" w:lineRule="exact"/>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3</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3"/>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51</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43</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84.32%</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2</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年决算数</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0.5</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0.2</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0.2</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706.6</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478.83</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lang w:val="en-US" w:eastAsia="zh-CN"/>
              </w:rPr>
              <w:t>680.54</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706.6</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478.83</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lang w:val="en-US" w:eastAsia="zh-CN"/>
              </w:rPr>
              <w:t>680.54</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338.74</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59.19</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506.62</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bookmarkStart w:id="0" w:name="_GoBack" w:colFirst="1" w:colLast="6"/>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rPr>
              <w:t>　</w:t>
            </w:r>
            <w:r>
              <w:rPr>
                <w:rFonts w:hint="eastAsia" w:ascii="仿宋_GB2312" w:hAnsi="仿宋_GB2312" w:eastAsia="仿宋_GB2312" w:cs="仿宋_GB2312"/>
                <w:color w:val="auto"/>
                <w:sz w:val="20"/>
                <w:szCs w:val="20"/>
                <w:lang w:val="en-US" w:eastAsia="zh-CN"/>
              </w:rPr>
              <w:t>16.7</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8</w:t>
            </w:r>
            <w:r>
              <w:rPr>
                <w:rFonts w:hint="eastAsia" w:ascii="仿宋_GB2312" w:hAnsi="仿宋_GB2312" w:eastAsia="仿宋_GB2312" w:cs="仿宋_GB2312"/>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8.34</w:t>
            </w: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rPr>
              <w:t>　</w:t>
            </w:r>
            <w:r>
              <w:rPr>
                <w:rFonts w:hint="eastAsia" w:ascii="仿宋_GB2312" w:hAnsi="仿宋_GB2312" w:eastAsia="仿宋_GB2312" w:cs="仿宋_GB2312"/>
                <w:color w:val="auto"/>
                <w:sz w:val="20"/>
                <w:szCs w:val="20"/>
                <w:lang w:val="en-US" w:eastAsia="zh-CN"/>
              </w:rPr>
              <w:t>13.54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　</w:t>
            </w:r>
            <w:r>
              <w:rPr>
                <w:rFonts w:hint="eastAsia" w:ascii="仿宋_GB2312" w:hAnsi="仿宋_GB2312" w:eastAsia="仿宋_GB2312" w:cs="仿宋_GB2312"/>
                <w:color w:val="auto"/>
                <w:sz w:val="20"/>
                <w:szCs w:val="20"/>
                <w:highlight w:val="none"/>
                <w:lang w:val="en-US" w:eastAsia="zh-CN"/>
              </w:rPr>
              <w:t>15.5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92.64</w:t>
            </w:r>
            <w:r>
              <w:rPr>
                <w:rFonts w:hint="eastAsia" w:ascii="仿宋_GB2312" w:hAnsi="仿宋_GB2312" w:eastAsia="仿宋_GB2312" w:cs="仿宋_GB2312"/>
                <w:color w:val="auto"/>
                <w:sz w:val="20"/>
                <w:szCs w:val="20"/>
                <w:highlight w:val="none"/>
              </w:rPr>
              <w:t>　</w:t>
            </w:r>
          </w:p>
        </w:tc>
      </w:tr>
      <w:bookmarkEnd w:id="0"/>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bl>
    <w:p>
      <w:pPr>
        <w:widowControl/>
        <w:spacing w:afterLines="0" w:line="400" w:lineRule="exact"/>
        <w:jc w:val="left"/>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highlight w:val="none"/>
        </w:rPr>
      </w:pPr>
    </w:p>
    <w:p>
      <w:pPr>
        <w:widowControl/>
        <w:spacing w:after="0" w:afterLines="0" w:line="400" w:lineRule="exact"/>
        <w:jc w:val="left"/>
        <w:rPr>
          <w:rFonts w:hint="eastAsia" w:ascii="黑体" w:hAnsi="黑体" w:eastAsia="黑体" w:cs="黑体"/>
          <w:sz w:val="32"/>
          <w:szCs w:val="32"/>
          <w:highlight w:val="none"/>
          <w:lang w:eastAsia="zh-CN"/>
        </w:rPr>
      </w:pPr>
      <w:r>
        <w:rPr>
          <w:rFonts w:hint="default" w:ascii="Times New Roman" w:hAnsi="Times New Roman" w:eastAsia="仿宋_GB2312" w:cs="Times New Roman"/>
          <w:sz w:val="22"/>
          <w:highlight w:val="none"/>
        </w:rPr>
        <w:t>填表人：        填报日期：          联系电话：            单位负责人签字：</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3"/>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trHeight w:val="365"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岳阳市社会福利院</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1556.77</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1987.43</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1924.32</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96.82%</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1592.53</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1234.78</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政府性基金拨款：</w:t>
            </w:r>
            <w:r>
              <w:rPr>
                <w:rFonts w:hint="eastAsia" w:ascii="仿宋_GB2312" w:hAnsi="仿宋_GB2312" w:eastAsia="仿宋_GB2312" w:cs="仿宋_GB2312"/>
                <w:color w:val="000000"/>
                <w:sz w:val="20"/>
                <w:szCs w:val="20"/>
                <w:highlight w:val="none"/>
                <w:lang w:val="en-US" w:eastAsia="zh-CN"/>
              </w:rPr>
              <w:t>150</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w:t>
            </w:r>
            <w:r>
              <w:rPr>
                <w:rFonts w:hint="eastAsia" w:ascii="仿宋_GB2312" w:hAnsi="仿宋_GB2312" w:eastAsia="仿宋_GB2312" w:cs="仿宋_GB2312"/>
                <w:color w:val="000000"/>
                <w:sz w:val="20"/>
                <w:szCs w:val="20"/>
                <w:highlight w:val="none"/>
                <w:lang w:val="en-US" w:eastAsia="zh-CN"/>
              </w:rPr>
              <w:t>680.54</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其他资金：</w:t>
            </w:r>
            <w:r>
              <w:rPr>
                <w:rFonts w:hint="eastAsia" w:ascii="仿宋_GB2312" w:hAnsi="仿宋_GB2312" w:eastAsia="仿宋_GB2312" w:cs="仿宋_GB2312"/>
                <w:color w:val="000000"/>
                <w:sz w:val="20"/>
                <w:szCs w:val="20"/>
                <w:highlight w:val="none"/>
                <w:lang w:val="en-US" w:eastAsia="zh-CN"/>
              </w:rPr>
              <w:t>244.9</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1：加强基础设施建设，全力打造服务平台，医养康融合养老。</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2：强化老小服务，涉及护理、医疗、康复、教育、娱乐等方面。</w:t>
            </w:r>
          </w:p>
          <w:p>
            <w:pPr>
              <w:widowControl/>
              <w:tabs>
                <w:tab w:val="left" w:pos="500"/>
                <w:tab w:val="center" w:pos="2499"/>
              </w:tabs>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3：完善文化中心建设，配套设施设备，配齐专业人员。</w:t>
            </w:r>
            <w:r>
              <w:rPr>
                <w:rFonts w:hint="eastAsia" w:ascii="仿宋_GB2312" w:hAnsi="仿宋_GB2312" w:eastAsia="仿宋_GB2312" w:cs="仿宋_GB2312"/>
                <w:color w:val="000000"/>
                <w:sz w:val="20"/>
                <w:szCs w:val="20"/>
                <w:highlight w:val="none"/>
                <w:lang w:eastAsia="zh-CN"/>
              </w:rPr>
              <w:tab/>
            </w:r>
            <w:r>
              <w:rPr>
                <w:rFonts w:hint="eastAsia" w:ascii="仿宋_GB2312" w:hAnsi="仿宋_GB2312" w:eastAsia="仿宋_GB2312" w:cs="仿宋_GB2312"/>
                <w:color w:val="000000"/>
                <w:sz w:val="20"/>
                <w:szCs w:val="20"/>
                <w:highlight w:val="none"/>
              </w:rPr>
              <w:t>　　</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numPr>
                <w:ilvl w:val="0"/>
                <w:numId w:val="1"/>
              </w:numPr>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增加基础设施设备，改善养老环境，医养康模式运行</w:t>
            </w:r>
            <w:r>
              <w:rPr>
                <w:rFonts w:hint="eastAsia" w:ascii="仿宋_GB2312" w:hAnsi="仿宋_GB2312" w:eastAsia="仿宋_GB2312" w:cs="仿宋_GB2312"/>
                <w:color w:val="000000"/>
                <w:sz w:val="20"/>
                <w:szCs w:val="20"/>
                <w:lang w:eastAsia="zh-CN"/>
              </w:rPr>
              <w:t>。</w:t>
            </w:r>
          </w:p>
          <w:p>
            <w:pPr>
              <w:widowControl/>
              <w:numPr>
                <w:ilvl w:val="0"/>
                <w:numId w:val="1"/>
              </w:numPr>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增加了医疗、康复、教育和娱乐服务等项目。</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3、</w:t>
            </w:r>
            <w:r>
              <w:rPr>
                <w:rFonts w:hint="eastAsia" w:ascii="仿宋_GB2312" w:hAnsi="仿宋_GB2312" w:eastAsia="仿宋_GB2312" w:cs="仿宋_GB2312"/>
                <w:color w:val="000000"/>
                <w:sz w:val="20"/>
                <w:szCs w:val="20"/>
              </w:rPr>
              <w:t>开设书法班、绘画班、唱歌班、舞蹈班、太极拳班、茶艺班、手工制作等13个班。</w:t>
            </w:r>
          </w:p>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安置流浪乞讨人员近70人,寄养人员人数近300人</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完成流浪乞讨人员近70人安置,截止年底，在院寄养人数近300人。</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完成流浪乞讨人员近70人安置,截止年底，在院寄养人数</w:t>
            </w:r>
            <w:r>
              <w:rPr>
                <w:rFonts w:hint="eastAsia" w:ascii="仿宋_GB2312" w:hAnsi="仿宋_GB2312" w:eastAsia="仿宋_GB2312" w:cs="仿宋_GB2312"/>
                <w:color w:val="000000"/>
                <w:sz w:val="20"/>
                <w:szCs w:val="20"/>
                <w:lang w:val="en-US" w:eastAsia="zh-CN"/>
              </w:rPr>
              <w:t>200余</w:t>
            </w:r>
            <w:r>
              <w:rPr>
                <w:rFonts w:hint="eastAsia" w:ascii="仿宋_GB2312" w:hAnsi="仿宋_GB2312" w:eastAsia="仿宋_GB2312" w:cs="仿宋_GB2312"/>
                <w:color w:val="000000"/>
                <w:sz w:val="20"/>
                <w:szCs w:val="20"/>
              </w:rPr>
              <w:t>人。</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疫情影响，寄养人员入住率未达标准，要加强宣传引导</w:t>
            </w:r>
          </w:p>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加强</w:t>
            </w:r>
            <w:r>
              <w:rPr>
                <w:rFonts w:hint="eastAsia" w:ascii="仿宋_GB2312" w:hAnsi="仿宋_GB2312" w:eastAsia="仿宋_GB2312" w:cs="仿宋_GB2312"/>
                <w:color w:val="000000"/>
                <w:sz w:val="20"/>
                <w:szCs w:val="20"/>
              </w:rPr>
              <w:t>服务项目，构建护理、医疗、康复、教育、娱乐五位一体养老模式。</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加强</w:t>
            </w:r>
            <w:r>
              <w:rPr>
                <w:rFonts w:hint="eastAsia" w:ascii="仿宋_GB2312" w:hAnsi="仿宋_GB2312" w:eastAsia="仿宋_GB2312" w:cs="仿宋_GB2312"/>
                <w:color w:val="000000"/>
                <w:sz w:val="20"/>
                <w:szCs w:val="20"/>
              </w:rPr>
              <w:t>了医疗、康复、教育和娱乐服务等项目。</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加强</w:t>
            </w:r>
            <w:r>
              <w:rPr>
                <w:rFonts w:hint="eastAsia" w:ascii="仿宋_GB2312" w:hAnsi="仿宋_GB2312" w:eastAsia="仿宋_GB2312" w:cs="仿宋_GB2312"/>
                <w:color w:val="000000"/>
                <w:sz w:val="20"/>
                <w:szCs w:val="20"/>
              </w:rPr>
              <w:t>了医疗、康复、教育和娱乐服务等项目。</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人员编制不足，加强人员培训，提高整体素质</w:t>
            </w:r>
          </w:p>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资金指标本年内用完</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年度内完成各项绩效目标</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年度内完成各项绩效目标</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部分资金因使用有结余</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合理安排支出成本</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节约开支，合理使用资金</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节约开支，合理使用资金</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lang w:val="en-US" w:eastAsia="zh-CN"/>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完善文化养老中心。医养康融合养老模式运行。</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文化养老中心改造完成已投入使用。</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文化养老中心改造完成已投入使用。</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爱老、敬老、孝老社会体系建设</w:t>
            </w:r>
          </w:p>
        </w:tc>
        <w:tc>
          <w:tcPr>
            <w:tcW w:w="1311"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安置流浪乞讨人员，缓解社会压力。</w:t>
            </w:r>
          </w:p>
        </w:tc>
        <w:tc>
          <w:tcPr>
            <w:tcW w:w="1269"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流浪乞讨人员经费已全部进行对流浪乞讨人员的安置、助医、济困支出。</w:t>
            </w:r>
          </w:p>
        </w:tc>
        <w:tc>
          <w:tcPr>
            <w:tcW w:w="716"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人员流动性强，加强队伍建设</w:t>
            </w:r>
          </w:p>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311"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269"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71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1691"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311"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269"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71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疗养环境改善，得到优化</w:t>
            </w:r>
          </w:p>
        </w:tc>
        <w:tc>
          <w:tcPr>
            <w:tcW w:w="1311"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文化养老中心投入使用。</w:t>
            </w:r>
          </w:p>
        </w:tc>
        <w:tc>
          <w:tcPr>
            <w:tcW w:w="1269"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文化养老中心投入使用。</w:t>
            </w:r>
          </w:p>
        </w:tc>
        <w:tc>
          <w:tcPr>
            <w:tcW w:w="716"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疗养环境改善，得到优化</w:t>
            </w: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27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311"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269"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71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311"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269"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71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服务对象家庭定期反馈；调动志愿者入驻</w:t>
            </w:r>
          </w:p>
        </w:tc>
        <w:tc>
          <w:tcPr>
            <w:tcW w:w="1311"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每季度到半年收集服务对象反馈信息；每季度开展一次志愿者活动。</w:t>
            </w:r>
          </w:p>
        </w:tc>
        <w:tc>
          <w:tcPr>
            <w:tcW w:w="1269"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每季度到半年收集服务对象反馈信息；每季度开展一次志愿者活动。</w:t>
            </w:r>
          </w:p>
        </w:tc>
        <w:tc>
          <w:tcPr>
            <w:tcW w:w="716"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服务对象家庭定期反馈；调动志愿者入驻</w:t>
            </w: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27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311"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269"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71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311"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269"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71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服务对象满意度</w:t>
            </w:r>
          </w:p>
        </w:tc>
        <w:tc>
          <w:tcPr>
            <w:tcW w:w="1311"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服务满意度90%以上</w:t>
            </w:r>
          </w:p>
        </w:tc>
        <w:tc>
          <w:tcPr>
            <w:tcW w:w="1269"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服务满意度90%以上</w:t>
            </w:r>
          </w:p>
        </w:tc>
        <w:tc>
          <w:tcPr>
            <w:tcW w:w="716"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w:t>
            </w:r>
          </w:p>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p>
            <w:pPr>
              <w:widowControl/>
              <w:spacing w:line="240" w:lineRule="exact"/>
              <w:jc w:val="both"/>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护理从业人员年龄偏大，要提升队伍整体素质</w:t>
            </w:r>
          </w:p>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27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311"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269"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71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481" w:hRule="atLeast"/>
          <w:jc w:val="center"/>
        </w:trPr>
        <w:tc>
          <w:tcPr>
            <w:tcW w:w="10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311"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269"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71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873"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c>
          <w:tcPr>
            <w:tcW w:w="1446"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bl>
    <w:p>
      <w:pPr>
        <w:widowControl/>
        <w:spacing w:line="600" w:lineRule="exact"/>
        <w:jc w:val="left"/>
        <w:rPr>
          <w:rFonts w:hint="eastAsia" w:ascii="Times New Roman" w:hAnsi="Times New Roman" w:eastAsia="黑体" w:cs="Times New Roman"/>
          <w:sz w:val="32"/>
          <w:szCs w:val="32"/>
          <w:highlight w:val="none"/>
          <w:lang w:eastAsia="zh-CN"/>
        </w:rPr>
      </w:pPr>
      <w:r>
        <w:rPr>
          <w:rFonts w:hint="default" w:ascii="Times New Roman" w:hAnsi="Times New Roman" w:eastAsia="仿宋_GB2312" w:cs="Times New Roman"/>
          <w:sz w:val="22"/>
          <w:szCs w:val="22"/>
          <w:highlight w:val="none"/>
        </w:rPr>
        <w:t xml:space="preserve">填表人：      填报日期：         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3"/>
        <w:tblW w:w="10339" w:type="dxa"/>
        <w:jc w:val="center"/>
        <w:tblLayout w:type="autofit"/>
        <w:tblCellMar>
          <w:top w:w="0" w:type="dxa"/>
          <w:left w:w="108" w:type="dxa"/>
          <w:bottom w:w="0" w:type="dxa"/>
          <w:right w:w="108" w:type="dxa"/>
        </w:tblCellMar>
      </w:tblPr>
      <w:tblGrid>
        <w:gridCol w:w="1115"/>
        <w:gridCol w:w="1149"/>
        <w:gridCol w:w="1024"/>
        <w:gridCol w:w="1393"/>
        <w:gridCol w:w="1262"/>
        <w:gridCol w:w="1230"/>
        <w:gridCol w:w="758"/>
        <w:gridCol w:w="915"/>
        <w:gridCol w:w="1493"/>
      </w:tblGrid>
      <w:tr>
        <w:tblPrEx>
          <w:tblCellMar>
            <w:top w:w="0" w:type="dxa"/>
            <w:left w:w="108" w:type="dxa"/>
            <w:bottom w:w="0" w:type="dxa"/>
            <w:right w:w="108" w:type="dxa"/>
          </w:tblCellMar>
        </w:tblPrEx>
        <w:trPr>
          <w:trHeight w:val="530" w:hRule="atLeast"/>
          <w:jc w:val="center"/>
        </w:trPr>
        <w:tc>
          <w:tcPr>
            <w:tcW w:w="11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9224"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三无人员生活补助</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80" w:hRule="atLeast"/>
          <w:jc w:val="center"/>
        </w:trPr>
        <w:tc>
          <w:tcPr>
            <w:tcW w:w="111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82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岳阳市民政局</w:t>
            </w:r>
          </w:p>
        </w:tc>
        <w:tc>
          <w:tcPr>
            <w:tcW w:w="1230"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66"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岳阳市社会福利院</w:t>
            </w:r>
          </w:p>
        </w:tc>
      </w:tr>
      <w:tr>
        <w:tblPrEx>
          <w:tblCellMar>
            <w:top w:w="0" w:type="dxa"/>
            <w:left w:w="108" w:type="dxa"/>
            <w:bottom w:w="0" w:type="dxa"/>
            <w:right w:w="108" w:type="dxa"/>
          </w:tblCellMar>
        </w:tblPrEx>
        <w:trPr>
          <w:trHeight w:val="530" w:hRule="atLeast"/>
          <w:jc w:val="center"/>
        </w:trPr>
        <w:tc>
          <w:tcPr>
            <w:tcW w:w="1115"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73"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3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9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trHeight w:val="280" w:hRule="atLeast"/>
          <w:jc w:val="center"/>
        </w:trPr>
        <w:tc>
          <w:tcPr>
            <w:tcW w:w="111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3"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3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228.82</w:t>
            </w:r>
          </w:p>
        </w:tc>
        <w:tc>
          <w:tcPr>
            <w:tcW w:w="12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228.82</w:t>
            </w:r>
          </w:p>
        </w:tc>
        <w:tc>
          <w:tcPr>
            <w:tcW w:w="12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trHeight w:val="280" w:hRule="atLeast"/>
          <w:jc w:val="center"/>
        </w:trPr>
        <w:tc>
          <w:tcPr>
            <w:tcW w:w="111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3"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3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228.82</w:t>
            </w:r>
          </w:p>
        </w:tc>
        <w:tc>
          <w:tcPr>
            <w:tcW w:w="12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228.82</w:t>
            </w:r>
          </w:p>
        </w:tc>
        <w:tc>
          <w:tcPr>
            <w:tcW w:w="12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trHeight w:val="280" w:hRule="atLeast"/>
          <w:jc w:val="center"/>
        </w:trPr>
        <w:tc>
          <w:tcPr>
            <w:tcW w:w="111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3"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3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80" w:hRule="atLeast"/>
          <w:jc w:val="center"/>
        </w:trPr>
        <w:tc>
          <w:tcPr>
            <w:tcW w:w="111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3"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3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80" w:hRule="atLeast"/>
          <w:jc w:val="center"/>
        </w:trPr>
        <w:tc>
          <w:tcPr>
            <w:tcW w:w="1115"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82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96"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trHeight w:val="280" w:hRule="atLeast"/>
          <w:jc w:val="center"/>
        </w:trPr>
        <w:tc>
          <w:tcPr>
            <w:tcW w:w="111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82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用于</w:t>
            </w:r>
            <w:r>
              <w:rPr>
                <w:rFonts w:hint="eastAsia" w:ascii="仿宋_GB2312" w:hAnsi="仿宋_GB2312" w:eastAsia="仿宋_GB2312" w:cs="仿宋_GB2312"/>
                <w:color w:val="000000"/>
                <w:sz w:val="20"/>
                <w:szCs w:val="20"/>
                <w:lang w:eastAsia="zh-CN"/>
              </w:rPr>
              <w:t>老小</w:t>
            </w:r>
            <w:r>
              <w:rPr>
                <w:rFonts w:hint="eastAsia" w:ascii="仿宋_GB2312" w:hAnsi="仿宋_GB2312" w:eastAsia="仿宋_GB2312" w:cs="仿宋_GB2312"/>
                <w:color w:val="000000"/>
                <w:sz w:val="20"/>
                <w:szCs w:val="20"/>
              </w:rPr>
              <w:t>费用，更好的为老小服务。　</w:t>
            </w:r>
            <w:r>
              <w:rPr>
                <w:rFonts w:hint="eastAsia" w:ascii="仿宋_GB2312" w:hAnsi="仿宋_GB2312" w:eastAsia="仿宋_GB2312" w:cs="仿宋_GB2312"/>
                <w:color w:val="000000"/>
                <w:sz w:val="20"/>
                <w:szCs w:val="20"/>
                <w:highlight w:val="none"/>
              </w:rPr>
              <w:t>　　</w:t>
            </w:r>
          </w:p>
        </w:tc>
        <w:tc>
          <w:tcPr>
            <w:tcW w:w="4396"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lang w:eastAsia="zh-CN"/>
              </w:rPr>
              <w:t>已完成。</w:t>
            </w:r>
          </w:p>
        </w:tc>
      </w:tr>
      <w:tr>
        <w:tblPrEx>
          <w:tblCellMar>
            <w:top w:w="0" w:type="dxa"/>
            <w:left w:w="108" w:type="dxa"/>
            <w:bottom w:w="0" w:type="dxa"/>
            <w:right w:w="108" w:type="dxa"/>
          </w:tblCellMar>
        </w:tblPrEx>
        <w:trPr>
          <w:trHeight w:val="530" w:hRule="atLeast"/>
          <w:jc w:val="center"/>
        </w:trPr>
        <w:tc>
          <w:tcPr>
            <w:tcW w:w="1115"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14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3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2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2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652" w:hRule="atLeast"/>
          <w:jc w:val="center"/>
        </w:trPr>
        <w:tc>
          <w:tcPr>
            <w:tcW w:w="111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安置三无人员近</w:t>
            </w:r>
            <w:r>
              <w:rPr>
                <w:rFonts w:hint="eastAsia" w:ascii="仿宋_GB2312" w:hAnsi="仿宋_GB2312" w:eastAsia="仿宋_GB2312" w:cs="仿宋_GB2312"/>
                <w:color w:val="000000"/>
                <w:sz w:val="20"/>
                <w:szCs w:val="20"/>
                <w:lang w:val="en-US" w:eastAsia="zh-CN"/>
              </w:rPr>
              <w:t>100</w:t>
            </w:r>
            <w:r>
              <w:rPr>
                <w:rFonts w:hint="eastAsia" w:ascii="仿宋_GB2312" w:hAnsi="仿宋_GB2312" w:eastAsia="仿宋_GB2312" w:cs="仿宋_GB2312"/>
                <w:color w:val="000000"/>
                <w:sz w:val="20"/>
                <w:szCs w:val="20"/>
              </w:rPr>
              <w:t>人</w:t>
            </w:r>
          </w:p>
        </w:tc>
        <w:tc>
          <w:tcPr>
            <w:tcW w:w="12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安置三无人员近</w:t>
            </w:r>
            <w:r>
              <w:rPr>
                <w:rFonts w:hint="eastAsia" w:ascii="仿宋_GB2312" w:hAnsi="仿宋_GB2312" w:eastAsia="仿宋_GB2312" w:cs="仿宋_GB2312"/>
                <w:color w:val="000000"/>
                <w:sz w:val="20"/>
                <w:szCs w:val="20"/>
                <w:lang w:val="en-US" w:eastAsia="zh-CN"/>
              </w:rPr>
              <w:t>100</w:t>
            </w:r>
            <w:r>
              <w:rPr>
                <w:rFonts w:hint="eastAsia" w:ascii="仿宋_GB2312" w:hAnsi="仿宋_GB2312" w:eastAsia="仿宋_GB2312" w:cs="仿宋_GB2312"/>
                <w:color w:val="000000"/>
                <w:sz w:val="20"/>
                <w:szCs w:val="20"/>
              </w:rPr>
              <w:t>人</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安置三无人员近</w:t>
            </w:r>
            <w:r>
              <w:rPr>
                <w:rFonts w:hint="eastAsia" w:ascii="仿宋_GB2312" w:hAnsi="仿宋_GB2312" w:eastAsia="仿宋_GB2312" w:cs="仿宋_GB2312"/>
                <w:color w:val="000000"/>
                <w:sz w:val="20"/>
                <w:szCs w:val="20"/>
                <w:lang w:val="en-US" w:eastAsia="zh-CN"/>
              </w:rPr>
              <w:t>100</w:t>
            </w:r>
            <w:r>
              <w:rPr>
                <w:rFonts w:hint="eastAsia" w:ascii="仿宋_GB2312" w:hAnsi="仿宋_GB2312" w:eastAsia="仿宋_GB2312" w:cs="仿宋_GB2312"/>
                <w:color w:val="000000"/>
                <w:sz w:val="20"/>
                <w:szCs w:val="20"/>
              </w:rPr>
              <w:t>人</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10</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779" w:hRule="exact"/>
          <w:jc w:val="center"/>
        </w:trPr>
        <w:tc>
          <w:tcPr>
            <w:tcW w:w="111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加强</w:t>
            </w:r>
            <w:r>
              <w:rPr>
                <w:rFonts w:hint="default" w:ascii="仿宋_GB2312" w:hAnsi="仿宋_GB2312" w:eastAsia="仿宋_GB2312" w:cs="仿宋_GB2312"/>
                <w:color w:val="000000"/>
                <w:sz w:val="20"/>
                <w:szCs w:val="20"/>
                <w:lang w:val="en-US" w:eastAsia="zh-CN"/>
              </w:rPr>
              <w:t xml:space="preserve">服务项目，构建护理、医疗、康复、教育、娱乐五位一体养老模式。 </w:t>
            </w:r>
          </w:p>
        </w:tc>
        <w:tc>
          <w:tcPr>
            <w:tcW w:w="12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加强</w:t>
            </w:r>
            <w:r>
              <w:rPr>
                <w:rFonts w:hint="eastAsia" w:ascii="仿宋_GB2312" w:hAnsi="仿宋_GB2312" w:eastAsia="仿宋_GB2312" w:cs="仿宋_GB2312"/>
                <w:color w:val="000000"/>
                <w:sz w:val="20"/>
                <w:szCs w:val="20"/>
              </w:rPr>
              <w:t>了医疗、康复、教育和娱乐服务等项目。</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加强</w:t>
            </w:r>
            <w:r>
              <w:rPr>
                <w:rFonts w:hint="eastAsia" w:ascii="仿宋_GB2312" w:hAnsi="仿宋_GB2312" w:eastAsia="仿宋_GB2312" w:cs="仿宋_GB2312"/>
                <w:color w:val="000000"/>
                <w:sz w:val="20"/>
                <w:szCs w:val="20"/>
              </w:rPr>
              <w:t>了医疗、康复、教育和娱乐服务等项目。</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专技人员紧缺，要加强人员队伍建设</w:t>
            </w:r>
          </w:p>
        </w:tc>
      </w:tr>
      <w:tr>
        <w:tblPrEx>
          <w:tblCellMar>
            <w:top w:w="0" w:type="dxa"/>
            <w:left w:w="108" w:type="dxa"/>
            <w:bottom w:w="0" w:type="dxa"/>
            <w:right w:w="108" w:type="dxa"/>
          </w:tblCellMar>
        </w:tblPrEx>
        <w:trPr>
          <w:trHeight w:val="1045" w:hRule="atLeast"/>
          <w:jc w:val="center"/>
        </w:trPr>
        <w:tc>
          <w:tcPr>
            <w:tcW w:w="111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本年度按时完成工作计划，年度资金使用完成</w:t>
            </w:r>
          </w:p>
        </w:tc>
        <w:tc>
          <w:tcPr>
            <w:tcW w:w="12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2022年年末资金余额为0</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xml:space="preserve">2022年年末资金余额为0 </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9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045" w:hRule="atLeast"/>
          <w:jc w:val="center"/>
        </w:trPr>
        <w:tc>
          <w:tcPr>
            <w:tcW w:w="111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按照年初安排预算，不超出预算范围。</w:t>
            </w:r>
          </w:p>
        </w:tc>
        <w:tc>
          <w:tcPr>
            <w:tcW w:w="12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项目成本不高于</w:t>
            </w:r>
            <w:r>
              <w:rPr>
                <w:rFonts w:hint="eastAsia" w:ascii="仿宋_GB2312" w:hAnsi="仿宋_GB2312" w:eastAsia="仿宋_GB2312" w:cs="仿宋_GB2312"/>
                <w:color w:val="000000"/>
                <w:sz w:val="20"/>
                <w:szCs w:val="20"/>
                <w:lang w:val="en-US" w:eastAsia="zh-CN"/>
              </w:rPr>
              <w:t>288.82</w:t>
            </w:r>
            <w:r>
              <w:rPr>
                <w:rFonts w:hint="eastAsia" w:ascii="仿宋_GB2312" w:hAnsi="仿宋_GB2312" w:eastAsia="仿宋_GB2312" w:cs="仿宋_GB2312"/>
                <w:color w:val="000000"/>
                <w:sz w:val="20"/>
                <w:szCs w:val="20"/>
              </w:rPr>
              <w:t>万元</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完成</w:t>
            </w:r>
            <w:r>
              <w:rPr>
                <w:rFonts w:hint="eastAsia" w:ascii="仿宋_GB2312" w:hAnsi="仿宋_GB2312" w:eastAsia="仿宋_GB2312" w:cs="仿宋_GB2312"/>
                <w:color w:val="000000"/>
                <w:sz w:val="20"/>
                <w:szCs w:val="20"/>
              </w:rPr>
              <w:t>各项成本费用</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9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07" w:hRule="atLeast"/>
          <w:jc w:val="center"/>
        </w:trPr>
        <w:tc>
          <w:tcPr>
            <w:tcW w:w="111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安全生产，疫情防控</w:t>
            </w:r>
          </w:p>
        </w:tc>
        <w:tc>
          <w:tcPr>
            <w:tcW w:w="12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全年无事故</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xml:space="preserve">全年无事故 </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9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07" w:hRule="atLeast"/>
          <w:jc w:val="center"/>
        </w:trPr>
        <w:tc>
          <w:tcPr>
            <w:tcW w:w="111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xml:space="preserve">构建和谐社会环境 </w:t>
            </w:r>
          </w:p>
        </w:tc>
        <w:tc>
          <w:tcPr>
            <w:tcW w:w="12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xml:space="preserve">构建敬老社会环境 </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有所提升</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w:t>
            </w:r>
          </w:p>
        </w:tc>
        <w:tc>
          <w:tcPr>
            <w:tcW w:w="149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人员流动性大，要加强人员管理</w:t>
            </w:r>
          </w:p>
        </w:tc>
      </w:tr>
      <w:tr>
        <w:tblPrEx>
          <w:tblCellMar>
            <w:top w:w="0" w:type="dxa"/>
            <w:left w:w="108" w:type="dxa"/>
            <w:bottom w:w="0" w:type="dxa"/>
            <w:right w:w="108" w:type="dxa"/>
          </w:tblCellMar>
        </w:tblPrEx>
        <w:trPr>
          <w:trHeight w:val="1045" w:hRule="atLeast"/>
          <w:jc w:val="center"/>
        </w:trPr>
        <w:tc>
          <w:tcPr>
            <w:tcW w:w="111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实现零排放、无污染垃圾</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0污染达标</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0污染达标</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9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07" w:hRule="atLeast"/>
          <w:jc w:val="center"/>
        </w:trPr>
        <w:tc>
          <w:tcPr>
            <w:tcW w:w="1115"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整合社区资源、调动社工入驻</w:t>
            </w:r>
          </w:p>
        </w:tc>
        <w:tc>
          <w:tcPr>
            <w:tcW w:w="12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每季度开展一次志愿者活动。</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每季度开展一次志愿者活动。</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966" w:hRule="atLeast"/>
          <w:jc w:val="center"/>
        </w:trPr>
        <w:tc>
          <w:tcPr>
            <w:tcW w:w="1115"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xml:space="preserve">服务对象满意 </w:t>
            </w:r>
          </w:p>
        </w:tc>
        <w:tc>
          <w:tcPr>
            <w:tcW w:w="12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服务对象满意</w:t>
            </w:r>
            <w:r>
              <w:rPr>
                <w:rFonts w:hint="eastAsia" w:ascii="仿宋_GB2312" w:hAnsi="仿宋_GB2312" w:eastAsia="仿宋_GB2312" w:cs="仿宋_GB2312"/>
                <w:color w:val="000000"/>
                <w:sz w:val="20"/>
                <w:szCs w:val="20"/>
                <w:lang w:eastAsia="zh-CN"/>
              </w:rPr>
              <w:t>达</w:t>
            </w:r>
            <w:r>
              <w:rPr>
                <w:rFonts w:hint="eastAsia" w:ascii="仿宋_GB2312" w:hAnsi="仿宋_GB2312" w:eastAsia="仿宋_GB2312" w:cs="仿宋_GB2312"/>
                <w:color w:val="000000"/>
                <w:sz w:val="20"/>
                <w:szCs w:val="20"/>
                <w:lang w:val="en-US" w:eastAsia="zh-CN"/>
              </w:rPr>
              <w:t>95%以上</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服务对象满意</w:t>
            </w:r>
            <w:r>
              <w:rPr>
                <w:rFonts w:hint="eastAsia" w:ascii="仿宋_GB2312" w:hAnsi="仿宋_GB2312" w:eastAsia="仿宋_GB2312" w:cs="仿宋_GB2312"/>
                <w:color w:val="000000"/>
                <w:sz w:val="20"/>
                <w:szCs w:val="20"/>
                <w:lang w:eastAsia="zh-CN"/>
              </w:rPr>
              <w:t>达</w:t>
            </w:r>
            <w:r>
              <w:rPr>
                <w:rFonts w:hint="eastAsia" w:ascii="仿宋_GB2312" w:hAnsi="仿宋_GB2312" w:eastAsia="仿宋_GB2312" w:cs="仿宋_GB2312"/>
                <w:color w:val="000000"/>
                <w:sz w:val="20"/>
                <w:szCs w:val="20"/>
                <w:lang w:val="en-US" w:eastAsia="zh-CN"/>
              </w:rPr>
              <w:t>95%以上</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w:t>
            </w:r>
          </w:p>
        </w:tc>
        <w:tc>
          <w:tcPr>
            <w:tcW w:w="1493" w:type="dxa"/>
            <w:tcBorders>
              <w:top w:val="nil"/>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护理从业人员年龄偏大，要提升队伍整体素质</w:t>
            </w:r>
          </w:p>
        </w:tc>
      </w:tr>
      <w:tr>
        <w:tblPrEx>
          <w:tblCellMar>
            <w:top w:w="0" w:type="dxa"/>
            <w:left w:w="108" w:type="dxa"/>
            <w:bottom w:w="0" w:type="dxa"/>
            <w:right w:w="108" w:type="dxa"/>
          </w:tblCellMar>
        </w:tblPrEx>
        <w:trPr>
          <w:trHeight w:val="310" w:hRule="atLeast"/>
          <w:jc w:val="center"/>
        </w:trPr>
        <w:tc>
          <w:tcPr>
            <w:tcW w:w="7173"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97</w:t>
            </w:r>
          </w:p>
        </w:tc>
        <w:tc>
          <w:tcPr>
            <w:tcW w:w="149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default" w:ascii="Times New Roman" w:hAnsi="Times New Roman" w:eastAsia="仿宋_GB2312" w:cs="Times New Roman"/>
          <w:sz w:val="22"/>
          <w:szCs w:val="22"/>
          <w:highlight w:val="none"/>
        </w:rPr>
        <w:br w:type="page"/>
      </w:r>
    </w:p>
    <w:p>
      <w:pPr>
        <w:widowControl/>
        <w:spacing w:line="600" w:lineRule="exact"/>
        <w:jc w:val="left"/>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pPr>
        <w:widowControl/>
        <w:spacing w:line="600" w:lineRule="exact"/>
        <w:ind w:firstLine="1920" w:firstLineChars="600"/>
        <w:jc w:val="left"/>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2022年度项目支出绩效自评表</w:t>
      </w:r>
    </w:p>
    <w:tbl>
      <w:tblPr>
        <w:tblStyle w:val="3"/>
        <w:tblW w:w="9851" w:type="dxa"/>
        <w:jc w:val="center"/>
        <w:tblLayout w:type="autofit"/>
        <w:tblCellMar>
          <w:top w:w="0" w:type="dxa"/>
          <w:left w:w="108" w:type="dxa"/>
          <w:bottom w:w="0" w:type="dxa"/>
          <w:right w:w="108" w:type="dxa"/>
        </w:tblCellMar>
      </w:tblPr>
      <w:tblGrid>
        <w:gridCol w:w="1079"/>
        <w:gridCol w:w="1080"/>
        <w:gridCol w:w="1079"/>
        <w:gridCol w:w="1284"/>
        <w:gridCol w:w="1073"/>
        <w:gridCol w:w="1134"/>
        <w:gridCol w:w="696"/>
        <w:gridCol w:w="870"/>
        <w:gridCol w:w="1556"/>
      </w:tblGrid>
      <w:tr>
        <w:tblPrEx>
          <w:tblCellMar>
            <w:top w:w="0" w:type="dxa"/>
            <w:left w:w="108" w:type="dxa"/>
            <w:bottom w:w="0" w:type="dxa"/>
            <w:right w:w="108" w:type="dxa"/>
          </w:tblCellMar>
        </w:tblPrEx>
        <w:trPr>
          <w:trHeight w:val="405"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非税征收成本</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岳阳市民政局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岳阳市社会福利院</w:t>
            </w:r>
          </w:p>
        </w:tc>
      </w:tr>
      <w:tr>
        <w:tblPrEx>
          <w:tblCellMar>
            <w:top w:w="0" w:type="dxa"/>
            <w:left w:w="108" w:type="dxa"/>
            <w:bottom w:w="0" w:type="dxa"/>
            <w:right w:w="108" w:type="dxa"/>
          </w:tblCellMar>
        </w:tblPrEx>
        <w:trPr>
          <w:trHeight w:val="355" w:hRule="atLeast"/>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8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0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55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8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152.32</w:t>
            </w:r>
          </w:p>
        </w:tc>
        <w:tc>
          <w:tcPr>
            <w:tcW w:w="10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152.32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152.32</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100%</w:t>
            </w:r>
          </w:p>
        </w:tc>
        <w:tc>
          <w:tcPr>
            <w:tcW w:w="15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8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152.32</w:t>
            </w:r>
          </w:p>
        </w:tc>
        <w:tc>
          <w:tcPr>
            <w:tcW w:w="10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152.32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152.32</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100%</w:t>
            </w:r>
          </w:p>
        </w:tc>
        <w:tc>
          <w:tcPr>
            <w:tcW w:w="15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8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8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用于护理收、寄养人员费用，更好的为老小服务。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已完成</w:t>
            </w:r>
          </w:p>
        </w:tc>
      </w:tr>
      <w:tr>
        <w:tblPrEx>
          <w:tblCellMar>
            <w:top w:w="0" w:type="dxa"/>
            <w:left w:w="108" w:type="dxa"/>
            <w:bottom w:w="0" w:type="dxa"/>
            <w:right w:w="108" w:type="dxa"/>
          </w:tblCellMar>
        </w:tblPrEx>
        <w:trPr>
          <w:trHeight w:val="455" w:hRule="atLeast"/>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8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0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5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85"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床位达到80%入住率 </w:t>
            </w:r>
          </w:p>
        </w:tc>
        <w:tc>
          <w:tcPr>
            <w:tcW w:w="1073"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床位入住率达到80%</w:t>
            </w:r>
          </w:p>
        </w:tc>
        <w:tc>
          <w:tcPr>
            <w:tcW w:w="1134"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床位入住率达</w:t>
            </w:r>
            <w:r>
              <w:rPr>
                <w:rFonts w:hint="eastAsia" w:ascii="仿宋_GB2312" w:hAnsi="仿宋_GB2312" w:eastAsia="仿宋_GB2312" w:cs="仿宋_GB2312"/>
                <w:color w:val="000000"/>
                <w:sz w:val="20"/>
                <w:szCs w:val="20"/>
                <w:lang w:val="en-US" w:eastAsia="zh-CN"/>
              </w:rPr>
              <w:t>60%</w:t>
            </w:r>
          </w:p>
        </w:tc>
        <w:tc>
          <w:tcPr>
            <w:tcW w:w="692"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w:t>
            </w:r>
          </w:p>
        </w:tc>
        <w:tc>
          <w:tcPr>
            <w:tcW w:w="1557"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疫情影响，寄养人员入住率减少，；加强宣传引导</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85"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73"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92"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87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58"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85"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73"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92"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87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85"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加强</w:t>
            </w:r>
            <w:r>
              <w:rPr>
                <w:rFonts w:hint="default" w:ascii="仿宋_GB2312" w:hAnsi="仿宋_GB2312" w:eastAsia="仿宋_GB2312" w:cs="仿宋_GB2312"/>
                <w:color w:val="000000"/>
                <w:sz w:val="20"/>
                <w:szCs w:val="20"/>
                <w:lang w:val="en-US" w:eastAsia="zh-CN"/>
              </w:rPr>
              <w:t xml:space="preserve">服务项目，构建护理、医疗、康复、教育、娱乐五位一体养老模式。 </w:t>
            </w:r>
          </w:p>
        </w:tc>
        <w:tc>
          <w:tcPr>
            <w:tcW w:w="1073"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加强</w:t>
            </w:r>
            <w:r>
              <w:rPr>
                <w:rFonts w:hint="eastAsia" w:ascii="仿宋_GB2312" w:hAnsi="仿宋_GB2312" w:eastAsia="仿宋_GB2312" w:cs="仿宋_GB2312"/>
                <w:color w:val="000000"/>
                <w:sz w:val="20"/>
                <w:szCs w:val="20"/>
              </w:rPr>
              <w:t>了医疗、康复、教育和娱乐服务等项目。</w:t>
            </w:r>
          </w:p>
        </w:tc>
        <w:tc>
          <w:tcPr>
            <w:tcW w:w="1134"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加强</w:t>
            </w:r>
            <w:r>
              <w:rPr>
                <w:rFonts w:hint="eastAsia" w:ascii="仿宋_GB2312" w:hAnsi="仿宋_GB2312" w:eastAsia="仿宋_GB2312" w:cs="仿宋_GB2312"/>
                <w:color w:val="000000"/>
                <w:sz w:val="20"/>
                <w:szCs w:val="20"/>
              </w:rPr>
              <w:t>了医疗、康复、教育和娱乐服务等项目。</w:t>
            </w:r>
          </w:p>
        </w:tc>
        <w:tc>
          <w:tcPr>
            <w:tcW w:w="692"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w:t>
            </w:r>
          </w:p>
        </w:tc>
        <w:tc>
          <w:tcPr>
            <w:tcW w:w="1557"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人员编制不足，加强人员培训，提高整体素质</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85"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73"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966"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85"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073"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85"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本年度按时完成工作计划，年度资金使用完成</w:t>
            </w:r>
          </w:p>
        </w:tc>
        <w:tc>
          <w:tcPr>
            <w:tcW w:w="1073"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2022年年末资金余额为0</w:t>
            </w:r>
          </w:p>
        </w:tc>
        <w:tc>
          <w:tcPr>
            <w:tcW w:w="1134"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2022年年末资金余额为0 </w:t>
            </w:r>
          </w:p>
        </w:tc>
        <w:tc>
          <w:tcPr>
            <w:tcW w:w="692"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557"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85"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73"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16"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85"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073"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85"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按照年初安排预算，不超出预算范围。</w:t>
            </w:r>
          </w:p>
        </w:tc>
        <w:tc>
          <w:tcPr>
            <w:tcW w:w="1073"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项目成本不高于</w:t>
            </w:r>
            <w:r>
              <w:rPr>
                <w:rFonts w:hint="eastAsia" w:ascii="仿宋_GB2312" w:hAnsi="仿宋_GB2312" w:eastAsia="仿宋_GB2312" w:cs="仿宋_GB2312"/>
                <w:color w:val="000000"/>
                <w:sz w:val="20"/>
                <w:szCs w:val="20"/>
                <w:lang w:val="en-US" w:eastAsia="zh-CN"/>
              </w:rPr>
              <w:t>152.32</w:t>
            </w:r>
            <w:r>
              <w:rPr>
                <w:rFonts w:hint="eastAsia" w:ascii="仿宋_GB2312" w:hAnsi="仿宋_GB2312" w:eastAsia="仿宋_GB2312" w:cs="仿宋_GB2312"/>
                <w:color w:val="000000"/>
                <w:sz w:val="20"/>
                <w:szCs w:val="20"/>
              </w:rPr>
              <w:t>万元</w:t>
            </w:r>
          </w:p>
        </w:tc>
        <w:tc>
          <w:tcPr>
            <w:tcW w:w="1134"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完成</w:t>
            </w:r>
            <w:r>
              <w:rPr>
                <w:rFonts w:hint="eastAsia" w:ascii="仿宋_GB2312" w:hAnsi="仿宋_GB2312" w:eastAsia="仿宋_GB2312" w:cs="仿宋_GB2312"/>
                <w:color w:val="000000"/>
                <w:sz w:val="20"/>
                <w:szCs w:val="20"/>
              </w:rPr>
              <w:t>各项成本费用</w:t>
            </w:r>
          </w:p>
        </w:tc>
        <w:tc>
          <w:tcPr>
            <w:tcW w:w="692"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557"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85"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73"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53"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85"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073"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85"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安全生产，疫情防控</w:t>
            </w:r>
          </w:p>
        </w:tc>
        <w:tc>
          <w:tcPr>
            <w:tcW w:w="1073"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全年无事故</w:t>
            </w:r>
          </w:p>
        </w:tc>
        <w:tc>
          <w:tcPr>
            <w:tcW w:w="1134"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全年无事故 </w:t>
            </w:r>
          </w:p>
        </w:tc>
        <w:tc>
          <w:tcPr>
            <w:tcW w:w="692"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557"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85"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73"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489"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85"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073"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85"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构建和谐社会环境 </w:t>
            </w:r>
          </w:p>
        </w:tc>
        <w:tc>
          <w:tcPr>
            <w:tcW w:w="1073"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构建敬老社会环境 </w:t>
            </w:r>
          </w:p>
        </w:tc>
        <w:tc>
          <w:tcPr>
            <w:tcW w:w="1134"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有所提升</w:t>
            </w:r>
          </w:p>
        </w:tc>
        <w:tc>
          <w:tcPr>
            <w:tcW w:w="692"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w:t>
            </w:r>
          </w:p>
        </w:tc>
        <w:tc>
          <w:tcPr>
            <w:tcW w:w="1557"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护理人员年龄结构偏大、流动性大，要强队伍，防退化</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85"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73"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71"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85"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073"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85"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实现零排放、无污染垃圾</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73"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0污染达标</w:t>
            </w:r>
          </w:p>
        </w:tc>
        <w:tc>
          <w:tcPr>
            <w:tcW w:w="1134"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0污染达标</w:t>
            </w:r>
          </w:p>
        </w:tc>
        <w:tc>
          <w:tcPr>
            <w:tcW w:w="692"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557"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85"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73"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85"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073"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85"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服务对象家庭定期反馈；调动志愿者入驻</w:t>
            </w:r>
          </w:p>
        </w:tc>
        <w:tc>
          <w:tcPr>
            <w:tcW w:w="1073"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每季度到半年收集服务对象反馈信息；每季度开展一次志愿者活动。</w:t>
            </w:r>
          </w:p>
        </w:tc>
        <w:tc>
          <w:tcPr>
            <w:tcW w:w="1134"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每季度到半年收集服务对象反馈信息；每季度开展一次志愿者活动。</w:t>
            </w:r>
          </w:p>
        </w:tc>
        <w:tc>
          <w:tcPr>
            <w:tcW w:w="692"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r>
              <w:rPr>
                <w:rFonts w:hint="eastAsia" w:ascii="仿宋_GB2312" w:hAnsi="仿宋_GB2312" w:eastAsia="仿宋_GB2312" w:cs="仿宋_GB2312"/>
                <w:color w:val="000000"/>
                <w:sz w:val="20"/>
                <w:szCs w:val="20"/>
              </w:rPr>
              <w:t>　</w:t>
            </w:r>
          </w:p>
        </w:tc>
        <w:tc>
          <w:tcPr>
            <w:tcW w:w="87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557"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85"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73"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538"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85"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073"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exac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85"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服务对象满意 </w:t>
            </w:r>
          </w:p>
        </w:tc>
        <w:tc>
          <w:tcPr>
            <w:tcW w:w="1073"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服务对象满意</w:t>
            </w:r>
            <w:r>
              <w:rPr>
                <w:rFonts w:hint="eastAsia" w:ascii="仿宋_GB2312" w:hAnsi="仿宋_GB2312" w:eastAsia="仿宋_GB2312" w:cs="仿宋_GB2312"/>
                <w:color w:val="000000"/>
                <w:sz w:val="20"/>
                <w:szCs w:val="20"/>
                <w:lang w:eastAsia="zh-CN"/>
              </w:rPr>
              <w:t>达</w:t>
            </w:r>
            <w:r>
              <w:rPr>
                <w:rFonts w:hint="eastAsia" w:ascii="仿宋_GB2312" w:hAnsi="仿宋_GB2312" w:eastAsia="仿宋_GB2312" w:cs="仿宋_GB2312"/>
                <w:color w:val="000000"/>
                <w:sz w:val="20"/>
                <w:szCs w:val="20"/>
                <w:lang w:val="en-US" w:eastAsia="zh-CN"/>
              </w:rPr>
              <w:t>95%以上</w:t>
            </w:r>
          </w:p>
        </w:tc>
        <w:tc>
          <w:tcPr>
            <w:tcW w:w="1134"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w:t>
            </w:r>
            <w:r>
              <w:rPr>
                <w:rFonts w:hint="eastAsia" w:ascii="仿宋_GB2312" w:hAnsi="仿宋_GB2312" w:eastAsia="仿宋_GB2312" w:cs="仿宋_GB2312"/>
                <w:color w:val="000000"/>
                <w:sz w:val="20"/>
                <w:szCs w:val="20"/>
                <w:lang w:eastAsia="zh-CN"/>
              </w:rPr>
              <w:t>达</w:t>
            </w:r>
            <w:r>
              <w:rPr>
                <w:rFonts w:hint="eastAsia" w:ascii="仿宋_GB2312" w:hAnsi="仿宋_GB2312" w:eastAsia="仿宋_GB2312" w:cs="仿宋_GB2312"/>
                <w:color w:val="000000"/>
                <w:sz w:val="20"/>
                <w:szCs w:val="20"/>
                <w:lang w:val="en-US" w:eastAsia="zh-CN"/>
              </w:rPr>
              <w:t>95%以上</w:t>
            </w:r>
          </w:p>
        </w:tc>
        <w:tc>
          <w:tcPr>
            <w:tcW w:w="692"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w:t>
            </w:r>
          </w:p>
        </w:tc>
        <w:tc>
          <w:tcPr>
            <w:tcW w:w="1557" w:type="dxa"/>
            <w:vMerge w:val="restart"/>
            <w:tcBorders>
              <w:top w:val="nil"/>
              <w:left w:val="nil"/>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护理从业人员年龄偏大，要提升队伍整体素质</w:t>
            </w: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85"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73"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12" w:hRule="atLeast"/>
          <w:jc w:val="center"/>
        </w:trPr>
        <w:tc>
          <w:tcPr>
            <w:tcW w:w="108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85"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073"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57"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96</w:t>
            </w:r>
          </w:p>
        </w:tc>
        <w:tc>
          <w:tcPr>
            <w:tcW w:w="155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rPr>
        <w:t>备注：一个一级项目支出一张表。</w:t>
      </w:r>
      <w:r>
        <w:rPr>
          <w:rFonts w:hint="eastAsia" w:ascii="Times New Roman" w:hAnsi="Times New Roman" w:eastAsia="仿宋_GB2312" w:cs="Times New Roman"/>
          <w:sz w:val="18"/>
          <w:szCs w:val="18"/>
          <w:lang w:eastAsia="zh-CN"/>
        </w:rPr>
        <w:t>如，</w:t>
      </w:r>
      <w:r>
        <w:rPr>
          <w:rFonts w:hint="default" w:ascii="Times New Roman" w:hAnsi="Times New Roman" w:eastAsia="仿宋_GB2312" w:cs="Times New Roman"/>
          <w:sz w:val="18"/>
          <w:szCs w:val="18"/>
        </w:rPr>
        <w:t>业务工作经费</w:t>
      </w:r>
      <w:r>
        <w:rPr>
          <w:rFonts w:hint="eastAsia" w:ascii="Times New Roman" w:hAnsi="Times New Roman" w:eastAsia="仿宋_GB2312" w:cs="Times New Roman"/>
          <w:sz w:val="18"/>
          <w:szCs w:val="18"/>
          <w:lang w:eastAsia="zh-CN"/>
        </w:rPr>
        <w:t>，</w:t>
      </w:r>
      <w:r>
        <w:rPr>
          <w:rFonts w:hint="default" w:ascii="Times New Roman" w:hAnsi="Times New Roman" w:eastAsia="仿宋_GB2312" w:cs="Times New Roman"/>
          <w:sz w:val="18"/>
          <w:szCs w:val="18"/>
        </w:rPr>
        <w:t>运行维护经费</w:t>
      </w:r>
      <w:r>
        <w:rPr>
          <w:rFonts w:hint="eastAsia" w:ascii="Times New Roman" w:hAnsi="Times New Roman" w:eastAsia="仿宋_GB2312" w:cs="Times New Roman"/>
          <w:sz w:val="18"/>
          <w:szCs w:val="18"/>
          <w:lang w:eastAsia="zh-CN"/>
        </w:rPr>
        <w:t>，其他事业发展类资金…各一张表</w:t>
      </w:r>
    </w:p>
    <w:p>
      <w:pPr>
        <w:jc w:val="left"/>
      </w:pPr>
      <w:r>
        <w:rPr>
          <w:rFonts w:hint="default"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eastAsia="zh-CN"/>
        </w:rPr>
        <w:t>：彭雅丽</w:t>
      </w:r>
      <w:r>
        <w:rPr>
          <w:rFonts w:hint="default" w:ascii="Times New Roman" w:hAnsi="Times New Roman" w:eastAsia="仿宋_GB2312" w:cs="Times New Roman"/>
          <w:sz w:val="22"/>
          <w:szCs w:val="22"/>
        </w:rPr>
        <w:t xml:space="preserve"> 填报日期：</w:t>
      </w:r>
      <w:r>
        <w:rPr>
          <w:rFonts w:hint="eastAsia" w:ascii="Times New Roman" w:hAnsi="Times New Roman" w:eastAsia="仿宋_GB2312" w:cs="Times New Roman"/>
          <w:sz w:val="22"/>
          <w:szCs w:val="22"/>
          <w:lang w:val="en-US" w:eastAsia="zh-CN"/>
        </w:rPr>
        <w:t xml:space="preserve">2024年6月13日 </w:t>
      </w:r>
      <w:r>
        <w:rPr>
          <w:rFonts w:hint="default" w:ascii="Times New Roman" w:hAnsi="Times New Roman" w:eastAsia="仿宋_GB2312" w:cs="Times New Roman"/>
          <w:sz w:val="22"/>
          <w:szCs w:val="22"/>
        </w:rPr>
        <w:t>联系电话</w:t>
      </w:r>
      <w:r>
        <w:rPr>
          <w:rFonts w:hint="eastAsia" w:ascii="Times New Roman" w:hAnsi="Times New Roman" w:eastAsia="仿宋_GB2312" w:cs="Times New Roman"/>
          <w:sz w:val="22"/>
          <w:szCs w:val="22"/>
          <w:lang w:eastAsia="zh-CN"/>
        </w:rPr>
        <w:t>：</w:t>
      </w:r>
      <w:r>
        <w:rPr>
          <w:rFonts w:hint="eastAsia" w:ascii="Times New Roman" w:hAnsi="Times New Roman" w:eastAsia="仿宋_GB2312" w:cs="Times New Roman"/>
          <w:sz w:val="22"/>
          <w:szCs w:val="22"/>
          <w:lang w:val="en-US" w:eastAsia="zh-CN"/>
        </w:rPr>
        <w:t>15674000521</w:t>
      </w:r>
      <w:r>
        <w:rPr>
          <w:rFonts w:hint="default" w:ascii="Times New Roman" w:hAnsi="Times New Roman" w:eastAsia="仿宋_GB2312" w:cs="Times New Roman"/>
          <w:sz w:val="22"/>
          <w:szCs w:val="22"/>
        </w:rPr>
        <w:t>单位负责人签字：</w:t>
      </w: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pPr>
        <w:jc w:val="center"/>
        <w:rPr>
          <w:rFonts w:hint="default" w:ascii="Times New Roman" w:hAnsi="Times New Roman" w:eastAsia="方正小标宋_GBK" w:cs="Times New Roman"/>
          <w:sz w:val="52"/>
          <w:szCs w:val="52"/>
          <w:highlight w:val="none"/>
        </w:rPr>
      </w:pP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岳阳市社会福利院</w:t>
      </w:r>
      <w:r>
        <w:rPr>
          <w:rFonts w:hint="eastAsia" w:ascii="方正小标宋简体" w:hAnsi="方正小标宋简体" w:eastAsia="方正小标宋简体" w:cs="方正小标宋简体"/>
          <w:sz w:val="44"/>
          <w:szCs w:val="44"/>
          <w:highlight w:val="none"/>
        </w:rPr>
        <w:t>单位整体支出</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pPr>
        <w:jc w:val="center"/>
        <w:rPr>
          <w:rFonts w:hint="default" w:ascii="Times New Roman" w:hAnsi="Times New Roman" w:eastAsia="方正小标宋_GBK" w:cs="Times New Roman"/>
          <w:b/>
          <w:sz w:val="52"/>
          <w:szCs w:val="5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pPr>
        <w:spacing w:line="600" w:lineRule="exact"/>
        <w:jc w:val="center"/>
        <w:rPr>
          <w:rFonts w:hint="default" w:ascii="Times New Roman" w:hAnsi="Times New Roman" w:eastAsia="楷体_GB2312" w:cs="Times New Roman"/>
          <w:sz w:val="32"/>
          <w:szCs w:val="32"/>
          <w:highlight w:val="none"/>
        </w:rPr>
      </w:pPr>
      <w:r>
        <w:rPr>
          <w:rFonts w:hint="eastAsia" w:ascii="Times New Roman" w:hAnsi="Times New Roman" w:eastAsia="楷体_GB2312" w:cs="Times New Roman"/>
          <w:sz w:val="32"/>
          <w:szCs w:val="32"/>
          <w:highlight w:val="none"/>
          <w:lang w:val="en-US" w:eastAsia="zh-CN"/>
        </w:rPr>
        <w:t>2024</w:t>
      </w:r>
      <w:r>
        <w:rPr>
          <w:rFonts w:hint="default" w:ascii="Times New Roman" w:hAnsi="Times New Roman" w:eastAsia="楷体_GB2312" w:cs="Times New Roman"/>
          <w:sz w:val="32"/>
          <w:szCs w:val="32"/>
          <w:highlight w:val="none"/>
        </w:rPr>
        <w:t>年</w:t>
      </w:r>
      <w:r>
        <w:rPr>
          <w:rFonts w:hint="eastAsia" w:ascii="Times New Roman" w:hAnsi="Times New Roman" w:eastAsia="楷体_GB2312" w:cs="Times New Roman"/>
          <w:sz w:val="32"/>
          <w:szCs w:val="32"/>
          <w:highlight w:val="none"/>
          <w:lang w:val="en-US" w:eastAsia="zh-CN"/>
        </w:rPr>
        <w:t>6</w:t>
      </w:r>
      <w:r>
        <w:rPr>
          <w:rFonts w:hint="default" w:ascii="Times New Roman" w:hAnsi="Times New Roman" w:eastAsia="楷体_GB2312" w:cs="Times New Roman"/>
          <w:sz w:val="32"/>
          <w:szCs w:val="32"/>
          <w:highlight w:val="none"/>
        </w:rPr>
        <w:t>月</w:t>
      </w:r>
      <w:r>
        <w:rPr>
          <w:rFonts w:hint="eastAsia" w:ascii="Times New Roman" w:hAnsi="Times New Roman" w:eastAsia="楷体_GB2312" w:cs="Times New Roman"/>
          <w:sz w:val="32"/>
          <w:szCs w:val="32"/>
          <w:highlight w:val="none"/>
          <w:lang w:val="en-US" w:eastAsia="zh-CN"/>
        </w:rPr>
        <w:t>17</w:t>
      </w:r>
      <w:r>
        <w:rPr>
          <w:rFonts w:hint="default" w:ascii="Times New Roman" w:hAnsi="Times New Roman" w:eastAsia="楷体_GB2312" w:cs="Times New Roman"/>
          <w:sz w:val="32"/>
          <w:szCs w:val="32"/>
          <w:highlight w:val="none"/>
        </w:rPr>
        <w:t>日</w:t>
      </w:r>
    </w:p>
    <w:p>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pPr>
        <w:jc w:val="center"/>
        <w:rPr>
          <w:rFonts w:hint="eastAsia" w:ascii="方正小标宋简体" w:hAnsi="方正小标宋简体" w:eastAsia="方正小标宋简体" w:cs="方正小标宋简体"/>
          <w:sz w:val="44"/>
          <w:szCs w:val="44"/>
          <w:highlight w:val="none"/>
        </w:rPr>
      </w:pPr>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岳阳市社会福利院</w:t>
      </w:r>
      <w:r>
        <w:rPr>
          <w:rFonts w:hint="eastAsia" w:ascii="方正小标宋简体" w:hAnsi="方正小标宋简体" w:eastAsia="方正小标宋简体" w:cs="方正小标宋简体"/>
          <w:sz w:val="44"/>
          <w:szCs w:val="44"/>
          <w:highlight w:val="none"/>
        </w:rPr>
        <w:t>单位整体支出</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pPr>
        <w:keepNext w:val="0"/>
        <w:keepLines w:val="0"/>
        <w:pageBreakBefore w:val="0"/>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一</w:t>
      </w:r>
      <w:r>
        <w:rPr>
          <w:rFonts w:hint="eastAsia" w:ascii="Times New Roman" w:hAnsi="Times New Roman" w:eastAsia="仿宋_GB2312" w:cs="Times New Roman"/>
          <w:color w:val="000000"/>
          <w:sz w:val="32"/>
          <w:szCs w:val="32"/>
        </w:rPr>
        <w:t>）我院始建于1958年，隶属民政局，是一所集孤寡老人、孤残儿童、流浪乞讨安置人员、三无精神病人和社会失能半失能老人等提供养护的纯公益性事业单位，从生活照料、医疗康复、文娱活动等多方面提供专业服务，先后获得“全国巾帼文明示范岗”、“湖南省一级社会福利院”、“湖南省示范福利机构”等荣誉。</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黑体" w:cs="Times New Roman"/>
          <w:sz w:val="32"/>
          <w:szCs w:val="32"/>
          <w:highlight w:val="none"/>
          <w:lang w:eastAsia="zh-CN"/>
        </w:rPr>
      </w:pPr>
      <w:r>
        <w:rPr>
          <w:rFonts w:hint="eastAsia" w:ascii="Times New Roman" w:hAnsi="Times New Roman" w:eastAsia="仿宋_GB2312" w:cs="Times New Roman"/>
          <w:color w:val="000000"/>
          <w:sz w:val="32"/>
          <w:szCs w:val="32"/>
        </w:rPr>
        <w:t>（二）部门（单位）整体支出</w:t>
      </w:r>
      <w:r>
        <w:rPr>
          <w:rFonts w:hint="eastAsia" w:ascii="Times New Roman" w:hAnsi="Times New Roman" w:eastAsia="仿宋_GB2312" w:cs="Times New Roman"/>
          <w:color w:val="000000"/>
          <w:sz w:val="32"/>
          <w:szCs w:val="32"/>
          <w:lang w:val="en-US" w:eastAsia="zh-CN"/>
        </w:rPr>
        <w:t>1924.32</w:t>
      </w:r>
      <w:r>
        <w:rPr>
          <w:rFonts w:hint="eastAsia" w:ascii="Times New Roman" w:hAnsi="Times New Roman" w:eastAsia="仿宋_GB2312" w:cs="Times New Roman"/>
          <w:color w:val="000000"/>
          <w:sz w:val="32"/>
          <w:szCs w:val="32"/>
        </w:rPr>
        <w:t>万元，其中基本支出</w:t>
      </w:r>
      <w:r>
        <w:rPr>
          <w:rFonts w:hint="eastAsia" w:ascii="Times New Roman" w:hAnsi="Times New Roman" w:eastAsia="仿宋_GB2312" w:cs="Times New Roman"/>
          <w:color w:val="000000"/>
          <w:sz w:val="32"/>
          <w:szCs w:val="32"/>
          <w:lang w:val="en-US" w:eastAsia="zh-CN"/>
        </w:rPr>
        <w:t>1234.78</w:t>
      </w:r>
      <w:r>
        <w:rPr>
          <w:rFonts w:hint="eastAsia" w:ascii="Times New Roman" w:hAnsi="Times New Roman" w:eastAsia="仿宋_GB2312" w:cs="Times New Roman"/>
          <w:color w:val="000000"/>
          <w:sz w:val="32"/>
          <w:szCs w:val="32"/>
        </w:rPr>
        <w:t>万元，项目支出</w:t>
      </w:r>
      <w:r>
        <w:rPr>
          <w:rFonts w:hint="eastAsia" w:ascii="Times New Roman" w:hAnsi="Times New Roman" w:eastAsia="仿宋_GB2312" w:cs="Times New Roman"/>
          <w:color w:val="000000"/>
          <w:sz w:val="32"/>
          <w:szCs w:val="32"/>
          <w:lang w:val="en-US" w:eastAsia="zh-CN"/>
        </w:rPr>
        <w:t>680.54</w:t>
      </w:r>
      <w:r>
        <w:rPr>
          <w:rFonts w:hint="eastAsia" w:ascii="Times New Roman" w:hAnsi="Times New Roman" w:eastAsia="仿宋_GB2312" w:cs="Times New Roman"/>
          <w:color w:val="000000"/>
          <w:sz w:val="32"/>
          <w:szCs w:val="32"/>
        </w:rPr>
        <w:t>万元，涉及流浪乞讨人员救助、老小服务、收、寄养人员日常护理等事项支出。</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pPr>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rPr>
        <w:t>本年度支出总额为</w:t>
      </w:r>
      <w:r>
        <w:rPr>
          <w:rFonts w:hint="eastAsia" w:ascii="Times New Roman" w:hAnsi="Times New Roman" w:eastAsia="仿宋_GB2312" w:cs="Times New Roman"/>
          <w:color w:val="000000"/>
          <w:sz w:val="32"/>
          <w:szCs w:val="32"/>
          <w:lang w:val="en-US" w:eastAsia="zh-CN"/>
        </w:rPr>
        <w:t>1924.32</w:t>
      </w:r>
      <w:r>
        <w:rPr>
          <w:rFonts w:hint="eastAsia" w:ascii="Times New Roman" w:hAnsi="Times New Roman" w:eastAsia="仿宋_GB2312" w:cs="Times New Roman"/>
          <w:color w:val="000000"/>
          <w:sz w:val="32"/>
          <w:szCs w:val="32"/>
        </w:rPr>
        <w:t>万元，基本支出</w:t>
      </w:r>
      <w:r>
        <w:rPr>
          <w:rFonts w:hint="eastAsia" w:ascii="Times New Roman" w:hAnsi="Times New Roman" w:eastAsia="仿宋_GB2312" w:cs="Times New Roman"/>
          <w:color w:val="000000"/>
          <w:sz w:val="32"/>
          <w:szCs w:val="32"/>
          <w:lang w:val="en-US" w:eastAsia="zh-CN"/>
        </w:rPr>
        <w:t>1234.78</w:t>
      </w:r>
      <w:r>
        <w:rPr>
          <w:rFonts w:hint="eastAsia" w:ascii="Times New Roman" w:hAnsi="Times New Roman" w:eastAsia="仿宋_GB2312" w:cs="Times New Roman"/>
          <w:color w:val="000000"/>
          <w:sz w:val="32"/>
          <w:szCs w:val="32"/>
        </w:rPr>
        <w:t xml:space="preserve">万元，占本年支出的 </w:t>
      </w:r>
      <w:r>
        <w:rPr>
          <w:rFonts w:hint="eastAsia" w:ascii="Times New Roman" w:hAnsi="Times New Roman" w:eastAsia="仿宋_GB2312" w:cs="Times New Roman"/>
          <w:color w:val="000000"/>
          <w:sz w:val="32"/>
          <w:szCs w:val="32"/>
          <w:lang w:val="en-US" w:eastAsia="zh-CN"/>
        </w:rPr>
        <w:t>64.16</w:t>
      </w:r>
      <w:r>
        <w:rPr>
          <w:rFonts w:hint="eastAsia" w:ascii="Times New Roman" w:hAnsi="Times New Roman" w:eastAsia="仿宋_GB2312" w:cs="Times New Roman"/>
          <w:color w:val="000000"/>
          <w:sz w:val="32"/>
          <w:szCs w:val="32"/>
        </w:rPr>
        <w:t>%；主要用于：工资福利支出</w:t>
      </w:r>
      <w:r>
        <w:rPr>
          <w:rFonts w:hint="eastAsia" w:ascii="Times New Roman" w:hAnsi="Times New Roman" w:eastAsia="仿宋_GB2312" w:cs="Times New Roman"/>
          <w:color w:val="000000"/>
          <w:sz w:val="32"/>
          <w:szCs w:val="32"/>
          <w:lang w:val="en-US" w:eastAsia="zh-CN"/>
        </w:rPr>
        <w:t>635.99</w:t>
      </w:r>
      <w:r>
        <w:rPr>
          <w:rFonts w:hint="eastAsia" w:ascii="Times New Roman" w:hAnsi="Times New Roman" w:eastAsia="仿宋_GB2312" w:cs="Times New Roman"/>
          <w:color w:val="000000"/>
          <w:sz w:val="32"/>
          <w:szCs w:val="32"/>
        </w:rPr>
        <w:t>万元，占本年支出</w:t>
      </w:r>
      <w:r>
        <w:rPr>
          <w:rFonts w:hint="eastAsia" w:ascii="Times New Roman" w:hAnsi="Times New Roman" w:eastAsia="仿宋_GB2312" w:cs="Times New Roman"/>
          <w:color w:val="000000"/>
          <w:sz w:val="32"/>
          <w:szCs w:val="32"/>
          <w:lang w:val="en-US" w:eastAsia="zh-CN"/>
        </w:rPr>
        <w:t>51.51</w:t>
      </w:r>
      <w:r>
        <w:rPr>
          <w:rFonts w:hint="eastAsia" w:ascii="Times New Roman" w:hAnsi="Times New Roman" w:eastAsia="仿宋_GB2312" w:cs="Times New Roman"/>
          <w:color w:val="000000"/>
          <w:sz w:val="32"/>
          <w:szCs w:val="32"/>
        </w:rPr>
        <w:t>%，商品和服务支出</w:t>
      </w:r>
      <w:r>
        <w:rPr>
          <w:rFonts w:hint="eastAsia" w:ascii="Times New Roman" w:hAnsi="Times New Roman" w:eastAsia="仿宋_GB2312" w:cs="Times New Roman"/>
          <w:color w:val="000000"/>
          <w:sz w:val="32"/>
          <w:szCs w:val="32"/>
          <w:lang w:val="en-US" w:eastAsia="zh-CN"/>
        </w:rPr>
        <w:t>183.07</w:t>
      </w:r>
      <w:r>
        <w:rPr>
          <w:rFonts w:hint="eastAsia" w:ascii="Times New Roman" w:hAnsi="Times New Roman" w:eastAsia="仿宋_GB2312" w:cs="Times New Roman"/>
          <w:color w:val="000000"/>
          <w:sz w:val="32"/>
          <w:szCs w:val="32"/>
        </w:rPr>
        <w:t>万元，占本年支出</w:t>
      </w:r>
      <w:r>
        <w:rPr>
          <w:rFonts w:hint="eastAsia" w:ascii="Times New Roman" w:hAnsi="Times New Roman" w:eastAsia="仿宋_GB2312" w:cs="Times New Roman"/>
          <w:color w:val="000000"/>
          <w:sz w:val="32"/>
          <w:szCs w:val="32"/>
          <w:lang w:val="en-US" w:eastAsia="zh-CN"/>
        </w:rPr>
        <w:t>14.83</w:t>
      </w:r>
      <w:r>
        <w:rPr>
          <w:rFonts w:hint="eastAsia" w:ascii="Times New Roman" w:hAnsi="Times New Roman" w:eastAsia="仿宋_GB2312" w:cs="Times New Roman"/>
          <w:color w:val="000000"/>
          <w:sz w:val="32"/>
          <w:szCs w:val="32"/>
        </w:rPr>
        <w:t>%，对个人和家庭的补助支出</w:t>
      </w:r>
      <w:r>
        <w:rPr>
          <w:rFonts w:hint="eastAsia" w:ascii="Times New Roman" w:hAnsi="Times New Roman" w:eastAsia="仿宋_GB2312" w:cs="Times New Roman"/>
          <w:color w:val="000000"/>
          <w:sz w:val="32"/>
          <w:szCs w:val="32"/>
          <w:lang w:val="en-US" w:eastAsia="zh-CN"/>
        </w:rPr>
        <w:t>399.71</w:t>
      </w:r>
      <w:r>
        <w:rPr>
          <w:rFonts w:hint="eastAsia" w:ascii="Times New Roman" w:hAnsi="Times New Roman" w:eastAsia="仿宋_GB2312" w:cs="Times New Roman"/>
          <w:color w:val="000000"/>
          <w:sz w:val="32"/>
          <w:szCs w:val="32"/>
        </w:rPr>
        <w:t>万元，占本年支出</w:t>
      </w:r>
      <w:r>
        <w:rPr>
          <w:rFonts w:hint="eastAsia" w:ascii="Times New Roman" w:hAnsi="Times New Roman" w:eastAsia="仿宋_GB2312" w:cs="Times New Roman"/>
          <w:color w:val="000000"/>
          <w:sz w:val="32"/>
          <w:szCs w:val="32"/>
          <w:lang w:val="en-US" w:eastAsia="zh-CN"/>
        </w:rPr>
        <w:t>32.37</w:t>
      </w:r>
      <w:r>
        <w:rPr>
          <w:rFonts w:hint="eastAsia" w:ascii="Times New Roman" w:hAnsi="Times New Roman" w:eastAsia="仿宋_GB2312" w:cs="Times New Roman"/>
          <w:color w:val="000000"/>
          <w:sz w:val="32"/>
          <w:szCs w:val="32"/>
        </w:rPr>
        <w:t>%。</w:t>
      </w:r>
    </w:p>
    <w:p>
      <w:pPr>
        <w:pStyle w:val="6"/>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p>
    <w:p>
      <w:pPr>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eastAsia" w:ascii="Times New Roman" w:hAnsi="Times New Roman" w:eastAsia="仿宋_GB2312" w:cs="Times New Roman"/>
          <w:color w:val="000000"/>
          <w:sz w:val="32"/>
          <w:szCs w:val="32"/>
          <w:lang w:eastAsia="zh-CN"/>
        </w:rPr>
      </w:pPr>
      <w:r>
        <w:rPr>
          <w:rFonts w:hint="default" w:ascii="Times New Roman" w:hAnsi="Times New Roman" w:eastAsia="楷体_GB2312" w:cs="Times New Roman"/>
          <w:b/>
          <w:sz w:val="32"/>
          <w:szCs w:val="32"/>
          <w:highlight w:val="none"/>
        </w:rPr>
        <w:t>（二）项目支出情况</w:t>
      </w:r>
    </w:p>
    <w:p>
      <w:pPr>
        <w:ind w:firstLine="960" w:firstLineChars="300"/>
        <w:rPr>
          <w:rFonts w:hint="default" w:ascii="Times New Roman" w:hAnsi="Times New Roman" w:eastAsia="楷体_GB2312" w:cs="Times New Roman"/>
          <w:b/>
          <w:sz w:val="32"/>
          <w:szCs w:val="32"/>
          <w:highlight w:val="none"/>
        </w:rPr>
      </w:pPr>
      <w:r>
        <w:rPr>
          <w:rFonts w:hint="eastAsia" w:ascii="Times New Roman" w:hAnsi="Times New Roman" w:eastAsia="仿宋_GB2312" w:cs="Times New Roman"/>
          <w:color w:val="000000"/>
          <w:sz w:val="32"/>
          <w:szCs w:val="32"/>
        </w:rPr>
        <w:t>本年度项目支出</w:t>
      </w:r>
      <w:r>
        <w:rPr>
          <w:rFonts w:hint="eastAsia" w:ascii="Times New Roman" w:hAnsi="Times New Roman" w:eastAsia="仿宋_GB2312" w:cs="Times New Roman"/>
          <w:color w:val="000000"/>
          <w:sz w:val="32"/>
          <w:szCs w:val="32"/>
          <w:lang w:val="en-US" w:eastAsia="zh-CN"/>
        </w:rPr>
        <w:t>680.55</w:t>
      </w:r>
      <w:r>
        <w:rPr>
          <w:rFonts w:hint="eastAsia" w:ascii="Times New Roman" w:hAnsi="Times New Roman" w:eastAsia="仿宋_GB2312" w:cs="Times New Roman"/>
          <w:color w:val="000000"/>
          <w:sz w:val="32"/>
          <w:szCs w:val="32"/>
        </w:rPr>
        <w:t>万元，占本年支出的</w:t>
      </w:r>
      <w:r>
        <w:rPr>
          <w:rFonts w:hint="eastAsia" w:ascii="Times New Roman" w:hAnsi="Times New Roman" w:eastAsia="仿宋_GB2312" w:cs="Times New Roman"/>
          <w:color w:val="000000"/>
          <w:sz w:val="32"/>
          <w:szCs w:val="32"/>
          <w:lang w:val="en-US" w:eastAsia="zh-CN"/>
        </w:rPr>
        <w:t>35.34</w:t>
      </w:r>
      <w:r>
        <w:rPr>
          <w:rFonts w:hint="eastAsia" w:ascii="Times New Roman" w:hAnsi="Times New Roman" w:eastAsia="仿宋_GB2312" w:cs="Times New Roman"/>
          <w:color w:val="000000"/>
          <w:sz w:val="32"/>
          <w:szCs w:val="32"/>
        </w:rPr>
        <w:t>%；主要用于老小服务日常支出，保障老小生活需要，为院内收、寄养人员做好照料、护理、疗养工作。其中：商品和服务支出</w:t>
      </w:r>
      <w:r>
        <w:rPr>
          <w:rFonts w:hint="eastAsia" w:ascii="Times New Roman" w:hAnsi="Times New Roman" w:eastAsia="仿宋_GB2312" w:cs="Times New Roman"/>
          <w:color w:val="000000"/>
          <w:sz w:val="32"/>
          <w:szCs w:val="32"/>
          <w:lang w:val="en-US" w:eastAsia="zh-CN"/>
        </w:rPr>
        <w:t>566.07</w:t>
      </w:r>
      <w:r>
        <w:rPr>
          <w:rFonts w:hint="eastAsia" w:ascii="Times New Roman" w:hAnsi="Times New Roman" w:eastAsia="仿宋_GB2312" w:cs="Times New Roman"/>
          <w:color w:val="000000"/>
          <w:sz w:val="32"/>
          <w:szCs w:val="32"/>
        </w:rPr>
        <w:t>万元，占本年支出</w:t>
      </w:r>
      <w:r>
        <w:rPr>
          <w:rFonts w:hint="eastAsia" w:ascii="Times New Roman" w:hAnsi="Times New Roman" w:eastAsia="仿宋_GB2312" w:cs="Times New Roman"/>
          <w:color w:val="000000"/>
          <w:sz w:val="32"/>
          <w:szCs w:val="32"/>
          <w:lang w:val="en-US" w:eastAsia="zh-CN"/>
        </w:rPr>
        <w:t>83.18</w:t>
      </w:r>
      <w:r>
        <w:rPr>
          <w:rFonts w:hint="eastAsia" w:ascii="Times New Roman" w:hAnsi="Times New Roman" w:eastAsia="仿宋_GB2312" w:cs="Times New Roman"/>
          <w:color w:val="000000"/>
          <w:sz w:val="32"/>
          <w:szCs w:val="32"/>
        </w:rPr>
        <w:t>%，对个人和家庭的补助支出</w:t>
      </w:r>
      <w:r>
        <w:rPr>
          <w:rFonts w:hint="eastAsia" w:ascii="Times New Roman" w:hAnsi="Times New Roman" w:eastAsia="仿宋_GB2312" w:cs="Times New Roman"/>
          <w:color w:val="000000"/>
          <w:sz w:val="32"/>
          <w:szCs w:val="32"/>
          <w:lang w:val="en-US" w:eastAsia="zh-CN"/>
        </w:rPr>
        <w:t>114.48</w:t>
      </w:r>
      <w:r>
        <w:rPr>
          <w:rFonts w:hint="eastAsia" w:ascii="Times New Roman" w:hAnsi="Times New Roman" w:eastAsia="仿宋_GB2312" w:cs="Times New Roman"/>
          <w:color w:val="000000"/>
          <w:sz w:val="32"/>
          <w:szCs w:val="32"/>
        </w:rPr>
        <w:t>万元，占本年支出</w:t>
      </w:r>
      <w:r>
        <w:rPr>
          <w:rFonts w:hint="eastAsia" w:ascii="Times New Roman" w:hAnsi="Times New Roman" w:eastAsia="仿宋_GB2312" w:cs="Times New Roman"/>
          <w:color w:val="000000"/>
          <w:sz w:val="32"/>
          <w:szCs w:val="32"/>
          <w:lang w:val="en-US" w:eastAsia="zh-CN"/>
        </w:rPr>
        <w:t>16.82</w:t>
      </w:r>
      <w:r>
        <w:rPr>
          <w:rFonts w:hint="eastAsia" w:ascii="Times New Roman" w:hAnsi="Times New Roman" w:eastAsia="仿宋_GB2312" w:cs="Times New Roman"/>
          <w:color w:val="000000"/>
          <w:sz w:val="32"/>
          <w:szCs w:val="32"/>
        </w:rPr>
        <w:t>%</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r>
        <w:rPr>
          <w:rFonts w:hint="eastAsia" w:ascii="Times New Roman" w:hAnsi="Times New Roman" w:eastAsia="仿宋_GB2312" w:cs="Times New Roman"/>
          <w:color w:val="000000"/>
          <w:sz w:val="32"/>
          <w:szCs w:val="32"/>
          <w:lang w:val="en-US" w:eastAsia="zh-CN"/>
        </w:rPr>
        <w:t>全年政府基金支出150万元，资金主要用于收寄养人员医、养、康等各项商品服务活动和项目开展。</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四、国有资本经营预算支出情况</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黑体" w:cs="Times New Roman"/>
          <w:sz w:val="32"/>
          <w:szCs w:val="32"/>
          <w:highlight w:val="none"/>
          <w:lang w:eastAsia="zh-CN"/>
        </w:rPr>
      </w:pPr>
      <w:r>
        <w:rPr>
          <w:rFonts w:hint="eastAsia" w:ascii="Times New Roman" w:hAnsi="Times New Roman" w:eastAsia="黑体" w:cs="Times New Roman"/>
          <w:sz w:val="32"/>
          <w:szCs w:val="32"/>
          <w:highlight w:val="none"/>
          <w:lang w:eastAsia="zh-CN"/>
        </w:rPr>
        <w:t>无</w:t>
      </w:r>
    </w:p>
    <w:p>
      <w:pPr>
        <w:pStyle w:val="6"/>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 xml:space="preserve">    无</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202</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rPr>
        <w:t>年预算成本未超出预算控制范围，如期完成所设预期目标，从单位实际情况出发，细化区分条目对应、列表清晰，把资金最大限度的用于服务老小，不断改善老小生活条件，持续为老小服务。在满足老年人吃饱穿暖的基础上，增加了康复、医疗、教育和娱乐等服务项目，进一步优化了疗养居住环境，院内防护设备设施加强，完善文化中心建设，增强配套设施设备。</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color w:val="000000"/>
          <w:sz w:val="32"/>
          <w:szCs w:val="32"/>
        </w:rPr>
        <w:t>人员编制严重不足，与日益发展的养老服务业和养老产业相比，目前我院养老服务从业者护理人员年龄结构偏大、人员流动性大，专技人员紧缺，人才引进难。</w:t>
      </w:r>
    </w:p>
    <w:p>
      <w:pPr>
        <w:keepNext w:val="0"/>
        <w:keepLines w:val="0"/>
        <w:pageBreakBefore w:val="0"/>
        <w:widowControl/>
        <w:numPr>
          <w:ilvl w:val="0"/>
          <w:numId w:val="4"/>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下一步改进措施</w:t>
      </w:r>
    </w:p>
    <w:p>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仿宋_GB2312" w:cs="Times New Roman"/>
          <w:color w:val="000000"/>
          <w:sz w:val="32"/>
          <w:szCs w:val="32"/>
        </w:rPr>
        <w:t>养老工作责任大、风险大，护工队伍整体素质需提升，加强专业护理知识及技能培训，提高业务能力。强学习，防淡化；强管理，防危化；强服务，防弱化；强队伍，防退化。</w:t>
      </w:r>
    </w:p>
    <w:p>
      <w:pPr>
        <w:keepNext w:val="0"/>
        <w:keepLines w:val="0"/>
        <w:pageBreakBefore w:val="0"/>
        <w:widowControl/>
        <w:numPr>
          <w:ilvl w:val="0"/>
          <w:numId w:val="4"/>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部门整体支出绩效自评结果拟应用和公开情况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仿宋_GB2312" w:cs="Times New Roman"/>
          <w:color w:val="000000"/>
          <w:sz w:val="32"/>
          <w:szCs w:val="32"/>
          <w:lang w:eastAsia="zh-CN"/>
        </w:rPr>
        <w:t>本自评结果公开在主管部门政务网</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其他需要说明的情况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报告需要以下附件：</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项目支出绩效自评表（一个一级项目支出一张表）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政府性基金预算支出情况表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社会保险基金预算支出情况表</w:t>
      </w: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highlight w:val="none"/>
          <w:lang w:val="en-US" w:eastAsia="zh-CN"/>
        </w:rPr>
      </w:pPr>
      <w:r>
        <w:rPr>
          <w:rFonts w:hint="eastAsia" w:ascii="仿宋_GB2312" w:hAnsi="仿宋_GB2312" w:eastAsia="仿宋_GB2312" w:cs="仿宋_GB2312"/>
          <w:sz w:val="32"/>
          <w:szCs w:val="3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5</w:t>
      </w:r>
    </w:p>
    <w:p>
      <w:pPr>
        <w:spacing w:before="120" w:beforeLines="50" w:after="120" w:afterLines="50"/>
        <w:jc w:val="center"/>
        <w:rPr>
          <w:rFonts w:hint="eastAsia" w:ascii="方正小标宋简体" w:hAnsi="方正小标宋简体" w:eastAsia="方正小标宋简体" w:cs="方正小标宋简体"/>
          <w:spacing w:val="-6"/>
          <w:sz w:val="36"/>
          <w:szCs w:val="36"/>
          <w:highlight w:val="none"/>
        </w:rPr>
      </w:pPr>
      <w:r>
        <w:rPr>
          <w:rFonts w:hint="eastAsia" w:ascii="方正小标宋简体" w:hAnsi="方正小标宋简体" w:eastAsia="方正小标宋简体" w:cs="方正小标宋简体"/>
          <w:sz w:val="36"/>
          <w:szCs w:val="36"/>
          <w:highlight w:val="none"/>
        </w:rPr>
        <w:t>部门整体支出</w:t>
      </w:r>
      <w:r>
        <w:rPr>
          <w:rFonts w:hint="eastAsia" w:ascii="方正小标宋简体" w:hAnsi="方正小标宋简体" w:eastAsia="方正小标宋简体" w:cs="方正小标宋简体"/>
          <w:spacing w:val="-6"/>
          <w:sz w:val="36"/>
          <w:szCs w:val="36"/>
          <w:highlight w:val="none"/>
        </w:rPr>
        <w:t>绩效自评工作考核评分表</w:t>
      </w:r>
    </w:p>
    <w:tbl>
      <w:tblPr>
        <w:tblStyle w:val="3"/>
        <w:tblW w:w="9941" w:type="dxa"/>
        <w:jc w:val="center"/>
        <w:tblLayout w:type="fixed"/>
        <w:tblCellMar>
          <w:top w:w="0" w:type="dxa"/>
          <w:left w:w="108" w:type="dxa"/>
          <w:bottom w:w="0" w:type="dxa"/>
          <w:right w:w="108" w:type="dxa"/>
        </w:tblCellMar>
      </w:tblPr>
      <w:tblGrid>
        <w:gridCol w:w="745"/>
        <w:gridCol w:w="1174"/>
        <w:gridCol w:w="5000"/>
        <w:gridCol w:w="3022"/>
      </w:tblGrid>
      <w:tr>
        <w:tblPrEx>
          <w:tblCellMar>
            <w:top w:w="0" w:type="dxa"/>
            <w:left w:w="108" w:type="dxa"/>
            <w:bottom w:w="0" w:type="dxa"/>
            <w:right w:w="108" w:type="dxa"/>
          </w:tblCellMar>
        </w:tblPrEx>
        <w:trPr>
          <w:tblHeader/>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一级指标</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二级指标</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评分标准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所需佐证材料</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布置工作</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自评通知</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（8分）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印发绩效自评通知的得2分，否则不得分。</w:t>
            </w:r>
          </w:p>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按照本规程规定，绩效自评通知包括自评范围、自评主要依据、自评主要内容、自评程序和步骤、有关要求等内容，并附有本通知要求的附件的，得6分；否则缺1项扣1分，最多扣6分。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绩效自评通知盖章的电子版</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工作小组</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成立绩效自评工作小组的得2分，否则不得分。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本部门、本单位预算绩效管理领导小组</w:t>
            </w:r>
            <w:r>
              <w:rPr>
                <w:rFonts w:hint="default" w:ascii="Times New Roman" w:hAnsi="Times New Roman" w:eastAsia="仿宋_GB2312" w:cs="Times New Roman"/>
                <w:spacing w:val="0"/>
                <w:sz w:val="20"/>
                <w:szCs w:val="20"/>
                <w:highlight w:val="none"/>
                <w:lang w:val="en-US" w:eastAsia="zh-CN"/>
              </w:rPr>
              <w:t>/</w:t>
            </w:r>
            <w:r>
              <w:rPr>
                <w:rFonts w:hint="default" w:ascii="Times New Roman" w:hAnsi="Times New Roman" w:eastAsia="仿宋_GB2312" w:cs="Times New Roman"/>
                <w:sz w:val="20"/>
                <w:szCs w:val="20"/>
                <w:highlight w:val="none"/>
              </w:rPr>
              <w:t>绩效评价工作小组</w:t>
            </w:r>
            <w:r>
              <w:rPr>
                <w:rFonts w:hint="default" w:ascii="Times New Roman" w:hAnsi="Times New Roman" w:eastAsia="仿宋_GB2312" w:cs="Times New Roman"/>
                <w:sz w:val="20"/>
                <w:szCs w:val="20"/>
                <w:highlight w:val="none"/>
                <w:lang w:eastAsia="zh-CN"/>
              </w:rPr>
              <w:t>有关</w:t>
            </w:r>
            <w:r>
              <w:rPr>
                <w:rFonts w:hint="default" w:ascii="Times New Roman" w:hAnsi="Times New Roman" w:eastAsia="仿宋_GB2312" w:cs="Times New Roman"/>
                <w:spacing w:val="0"/>
                <w:sz w:val="20"/>
                <w:szCs w:val="20"/>
                <w:highlight w:val="none"/>
              </w:rPr>
              <w:t>文件</w:t>
            </w:r>
            <w:r>
              <w:rPr>
                <w:rFonts w:hint="default" w:ascii="Times New Roman" w:hAnsi="Times New Roman" w:eastAsia="仿宋_GB2312" w:cs="Times New Roman"/>
                <w:sz w:val="20"/>
                <w:szCs w:val="20"/>
                <w:highlight w:val="none"/>
              </w:rPr>
              <w:t>盖章的电子版</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实施评价</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单位自查</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eastAsia" w:ascii="Times New Roman" w:hAnsi="Times New Roman" w:eastAsia="仿宋_GB2312" w:cs="Times New Roman"/>
                <w:sz w:val="20"/>
                <w:szCs w:val="20"/>
                <w:highlight w:val="none"/>
                <w:lang w:eastAsia="zh-CN"/>
              </w:rPr>
              <w:t>市级</w:t>
            </w:r>
            <w:r>
              <w:rPr>
                <w:rFonts w:hint="default" w:ascii="Times New Roman" w:hAnsi="Times New Roman" w:eastAsia="仿宋_GB2312" w:cs="Times New Roman"/>
                <w:sz w:val="20"/>
                <w:szCs w:val="20"/>
                <w:highlight w:val="none"/>
              </w:rPr>
              <w:t>预算部门本级和所属单位都要开展绩效自查，转移支付项目单位都要开展绩效自查，</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级主管部门都要汇总本区域转移支付情况；以上各项每发现一个单位没有做相应工作的，扣1分，最多扣10分。</w:t>
            </w:r>
          </w:p>
        </w:tc>
        <w:tc>
          <w:tcPr>
            <w:tcW w:w="3022" w:type="dxa"/>
            <w:tcBorders>
              <w:top w:val="single" w:color="auto" w:sz="4" w:space="0"/>
              <w:left w:val="nil"/>
              <w:bottom w:val="single" w:color="auto" w:sz="4" w:space="0"/>
              <w:right w:val="single" w:color="auto" w:sz="4" w:space="0"/>
            </w:tcBorders>
            <w:noWrap w:val="0"/>
            <w:vAlign w:val="center"/>
          </w:tcPr>
          <w:p>
            <w:pPr>
              <w:numPr>
                <w:ilvl w:val="0"/>
                <w:numId w:val="5"/>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转移支付项目单位名称和资</w:t>
            </w:r>
            <w:r>
              <w:rPr>
                <w:rFonts w:hint="eastAsia" w:ascii="Times New Roman" w:hAnsi="Times New Roman" w:eastAsia="仿宋_GB2312" w:cs="Times New Roman"/>
                <w:sz w:val="20"/>
                <w:szCs w:val="20"/>
                <w:highlight w:val="none"/>
                <w:lang w:val="en-US" w:eastAsia="zh-CN"/>
              </w:rPr>
              <w:t xml:space="preserve"> </w:t>
            </w:r>
            <w:r>
              <w:rPr>
                <w:rFonts w:hint="default" w:ascii="Times New Roman" w:hAnsi="Times New Roman" w:eastAsia="仿宋_GB2312" w:cs="Times New Roman"/>
                <w:sz w:val="20"/>
                <w:szCs w:val="20"/>
                <w:highlight w:val="none"/>
              </w:rPr>
              <w:t>金情况清单</w:t>
            </w:r>
          </w:p>
          <w:p>
            <w:pPr>
              <w:numPr>
                <w:ilvl w:val="0"/>
                <w:numId w:val="5"/>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有转移支付资金的各</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主管部门汇总情况的盖章PDF版　</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提交报告</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8022" w:type="dxa"/>
            <w:gridSpan w:val="2"/>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按时向</w:t>
            </w:r>
            <w:r>
              <w:rPr>
                <w:rFonts w:hint="eastAsia" w:ascii="Times New Roman" w:hAnsi="Times New Roman" w:eastAsia="仿宋_GB2312" w:cs="Times New Roman"/>
                <w:sz w:val="20"/>
                <w:szCs w:val="20"/>
                <w:highlight w:val="none"/>
                <w:lang w:eastAsia="zh-CN"/>
              </w:rPr>
              <w:t>市财政局</w:t>
            </w:r>
            <w:r>
              <w:rPr>
                <w:rFonts w:hint="default" w:ascii="Times New Roman" w:hAnsi="Times New Roman" w:eastAsia="仿宋_GB2312" w:cs="Times New Roman"/>
                <w:sz w:val="20"/>
                <w:szCs w:val="20"/>
                <w:highlight w:val="none"/>
              </w:rPr>
              <w:t>报送报告的得10分；每推迟一个工作日报送报告的扣1分，最多扣10分。</w:t>
            </w:r>
          </w:p>
        </w:tc>
      </w:tr>
      <w:tr>
        <w:tblPrEx>
          <w:tblCellMar>
            <w:top w:w="0" w:type="dxa"/>
            <w:left w:w="108" w:type="dxa"/>
            <w:bottom w:w="0" w:type="dxa"/>
            <w:right w:w="108" w:type="dxa"/>
          </w:tblCellMar>
        </w:tblPrEx>
        <w:trPr>
          <w:trHeight w:val="740" w:hRule="atLeast"/>
          <w:jc w:val="center"/>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自评报告</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70分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完整性</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绩效自评报告正文部分内容齐全的，得8分；否则每少一个部分扣2分，最多扣8分。</w:t>
            </w:r>
          </w:p>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绩效自评报告附件部分内容齐全的，得7分；否则每少一个部分扣2分，最多扣7分。</w:t>
            </w:r>
          </w:p>
        </w:tc>
      </w:tr>
      <w:tr>
        <w:tblPrEx>
          <w:tblCellMar>
            <w:top w:w="0" w:type="dxa"/>
            <w:left w:w="108" w:type="dxa"/>
            <w:bottom w:w="0" w:type="dxa"/>
            <w:right w:w="108" w:type="dxa"/>
          </w:tblCellMar>
        </w:tblPrEx>
        <w:trPr>
          <w:trHeight w:val="2143"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自评表</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1、部门整体支出和项目支出绩效指标反映产出、效益、服务对象满意度方面的指标和预算执行率的权重符合《</w:t>
            </w:r>
            <w:r>
              <w:rPr>
                <w:rFonts w:hint="eastAsia" w:ascii="Times New Roman" w:hAnsi="Times New Roman" w:eastAsia="仿宋_GB2312" w:cs="Times New Roman"/>
                <w:sz w:val="20"/>
                <w:szCs w:val="20"/>
                <w:highlight w:val="none"/>
                <w:lang w:eastAsia="zh-CN"/>
              </w:rPr>
              <w:t>岳阳市市级</w:t>
            </w:r>
            <w:r>
              <w:rPr>
                <w:rFonts w:hint="default" w:ascii="Times New Roman" w:hAnsi="Times New Roman" w:eastAsia="仿宋_GB2312" w:cs="Times New Roman"/>
                <w:sz w:val="20"/>
                <w:szCs w:val="20"/>
                <w:highlight w:val="none"/>
              </w:rPr>
              <w:t>预算部门绩效自评操作规程》要求的，得5分，否则按比例扣除相应的分数。</w:t>
            </w:r>
          </w:p>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部门整体支出和项目支出绩效指标全部细化到三级指标的，得5分；部分细化的，酌情扣分；没有细化的，不得分。</w:t>
            </w:r>
          </w:p>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3</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三级绩效指标内涵明确、具体、可衡量的得5分；突出核心指标，精简实用的得3分；指标与部门整体支出和项目支出密切相关，全面反映产出和效益的得2分；否则，每项酌情扣分，最多扣10分。</w:t>
            </w:r>
          </w:p>
        </w:tc>
      </w:tr>
      <w:tr>
        <w:tblPrEx>
          <w:tblCellMar>
            <w:top w:w="0" w:type="dxa"/>
            <w:left w:w="108" w:type="dxa"/>
            <w:bottom w:w="0" w:type="dxa"/>
            <w:right w:w="108" w:type="dxa"/>
          </w:tblCellMar>
        </w:tblPrEx>
        <w:trPr>
          <w:trHeight w:val="119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jc w:val="center"/>
              <w:rPr>
                <w:rFonts w:hint="default" w:ascii="Times New Roman" w:hAnsi="Times New Roman" w:cs="Times New Roman"/>
                <w:highlight w:val="none"/>
              </w:rPr>
            </w:pPr>
          </w:p>
          <w:p>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反映问</w:t>
            </w:r>
          </w:p>
          <w:p>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题情况</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从预算和预算绩效管理，部门履职效能，资金分配、使用和管理，资产和财务管理，政府采购等方面归纳问题、分析原因全面的，得20分；反映问题、分析原因较全面的，得16—18分；反映问题、分析原因不全面的，得13—15分；问题未归纳且过于简单的，得10—12分；只提出资金不足问题的不得分；其他情况酌情扣分。　</w:t>
            </w:r>
          </w:p>
        </w:tc>
      </w:tr>
      <w:tr>
        <w:tblPrEx>
          <w:tblCellMar>
            <w:top w:w="0" w:type="dxa"/>
            <w:left w:w="108" w:type="dxa"/>
            <w:bottom w:w="0" w:type="dxa"/>
            <w:right w:w="108" w:type="dxa"/>
          </w:tblCellMar>
        </w:tblPrEx>
        <w:trPr>
          <w:trHeight w:val="62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建议情况</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建议与问题对应且全面的得15分，建议比较全面的得12—14分，建议不全面的得9—11分，建议过于简单的得6—8分，只提出加大资金投入建议的不得分；其他情况酌情扣分。</w:t>
            </w:r>
          </w:p>
        </w:tc>
      </w:tr>
      <w:tr>
        <w:tblPrEx>
          <w:tblCellMar>
            <w:top w:w="0" w:type="dxa"/>
            <w:left w:w="108" w:type="dxa"/>
            <w:bottom w:w="0" w:type="dxa"/>
            <w:right w:w="108" w:type="dxa"/>
          </w:tblCellMar>
        </w:tblPrEx>
        <w:trPr>
          <w:trHeight w:val="495" w:hRule="atLeast"/>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合计</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100分</w:t>
            </w:r>
          </w:p>
        </w:tc>
        <w:tc>
          <w:tcPr>
            <w:tcW w:w="8022"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　</w:t>
            </w:r>
          </w:p>
        </w:tc>
      </w:tr>
    </w:tbl>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BB1FB9-15DA-4300-8BFD-EEB9B921D67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FB81C06E-EA17-4173-BB5A-D5B1B045BC1F}"/>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3" w:fontKey="{32B06800-97FE-4B52-B907-63E0B8D92591}"/>
  </w:font>
  <w:font w:name="方正小标宋简体">
    <w:panose1 w:val="02000000000000000000"/>
    <w:charset w:val="86"/>
    <w:family w:val="auto"/>
    <w:pitch w:val="default"/>
    <w:sig w:usb0="00000001" w:usb1="08000000" w:usb2="00000000" w:usb3="00000000" w:csb0="00040000" w:csb1="00000000"/>
    <w:embedRegular r:id="rId4" w:fontKey="{DF6F6493-9B2D-4043-B251-5BEBF15B140A}"/>
  </w:font>
  <w:font w:name="方正小标宋_GBK">
    <w:panose1 w:val="02000000000000000000"/>
    <w:charset w:val="86"/>
    <w:family w:val="script"/>
    <w:pitch w:val="default"/>
    <w:sig w:usb0="A00002BF" w:usb1="38CF7CFA" w:usb2="00082016" w:usb3="00000000" w:csb0="00040001" w:csb1="00000000"/>
    <w:embedRegular r:id="rId5" w:fontKey="{1EEBA14D-7B59-4AC3-8FEC-2854EC78A035}"/>
  </w:font>
  <w:font w:name="楷体_GB2312">
    <w:altName w:val="楷体"/>
    <w:panose1 w:val="02010609030101010101"/>
    <w:charset w:val="86"/>
    <w:family w:val="modern"/>
    <w:pitch w:val="default"/>
    <w:sig w:usb0="00000000" w:usb1="00000000" w:usb2="00000000" w:usb3="00000000" w:csb0="00040000" w:csb1="00000000"/>
    <w:embedRegular r:id="rId6" w:fontKey="{1E761906-1826-46D3-90F5-44133C8BE9C3}"/>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CE7BFF"/>
    <w:multiLevelType w:val="singleLevel"/>
    <w:tmpl w:val="CACE7BFF"/>
    <w:lvl w:ilvl="0" w:tentative="0">
      <w:start w:val="1"/>
      <w:numFmt w:val="chineseCounting"/>
      <w:suff w:val="nothing"/>
      <w:lvlText w:val="%1、"/>
      <w:lvlJc w:val="left"/>
      <w:rPr>
        <w:rFonts w:hint="eastAsia"/>
      </w:rPr>
    </w:lvl>
  </w:abstractNum>
  <w:abstractNum w:abstractNumId="1">
    <w:nsid w:val="E28D12D7"/>
    <w:multiLevelType w:val="singleLevel"/>
    <w:tmpl w:val="E28D12D7"/>
    <w:lvl w:ilvl="0" w:tentative="0">
      <w:start w:val="5"/>
      <w:numFmt w:val="chineseCounting"/>
      <w:suff w:val="nothing"/>
      <w:lvlText w:val="%1、"/>
      <w:lvlJc w:val="left"/>
      <w:rPr>
        <w:rFonts w:hint="eastAsia"/>
      </w:rPr>
    </w:lvl>
  </w:abstractNum>
  <w:abstractNum w:abstractNumId="2">
    <w:nsid w:val="EF081430"/>
    <w:multiLevelType w:val="singleLevel"/>
    <w:tmpl w:val="EF081430"/>
    <w:lvl w:ilvl="0" w:tentative="0">
      <w:start w:val="8"/>
      <w:numFmt w:val="chineseCounting"/>
      <w:suff w:val="nothing"/>
      <w:lvlText w:val="%1、"/>
      <w:lvlJc w:val="left"/>
      <w:rPr>
        <w:rFonts w:hint="eastAsia"/>
      </w:rPr>
    </w:lvl>
  </w:abstractNum>
  <w:abstractNum w:abstractNumId="3">
    <w:nsid w:val="5DDF8822"/>
    <w:multiLevelType w:val="singleLevel"/>
    <w:tmpl w:val="5DDF8822"/>
    <w:lvl w:ilvl="0" w:tentative="0">
      <w:start w:val="1"/>
      <w:numFmt w:val="decimal"/>
      <w:suff w:val="nothing"/>
      <w:lvlText w:val="%1、"/>
      <w:lvlJc w:val="left"/>
    </w:lvl>
  </w:abstractNum>
  <w:abstractNum w:abstractNumId="4">
    <w:nsid w:val="73A28F40"/>
    <w:multiLevelType w:val="singleLevel"/>
    <w:tmpl w:val="73A28F40"/>
    <w:lvl w:ilvl="0" w:tentative="0">
      <w:start w:val="1"/>
      <w:numFmt w:val="decimal"/>
      <w:suff w:val="nothing"/>
      <w:lvlText w:val="%1、"/>
      <w:lvlJc w:val="left"/>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yY2JjODc0MDM4OTUzYTc4YjI0YTg4Nzg3M2RmMjkifQ=="/>
  </w:docVars>
  <w:rsids>
    <w:rsidRoot w:val="59886344"/>
    <w:rsid w:val="02E23921"/>
    <w:rsid w:val="096D087F"/>
    <w:rsid w:val="3B2A6572"/>
    <w:rsid w:val="3DB57F2E"/>
    <w:rsid w:val="46946078"/>
    <w:rsid w:val="59886344"/>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宋体" w:cs="Times New Roman"/>
      <w:kern w:val="0"/>
      <w:sz w:val="28"/>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customStyle="1" w:styleId="5">
    <w:name w:val="列出段落1"/>
    <w:basedOn w:val="1"/>
    <w:qFormat/>
    <w:uiPriority w:val="34"/>
    <w:pPr>
      <w:ind w:firstLine="420" w:firstLineChars="200"/>
    </w:pPr>
  </w:style>
  <w:style w:type="paragraph" w:styleId="6">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5107</Words>
  <Characters>5634</Characters>
  <Lines>0</Lines>
  <Paragraphs>0</Paragraphs>
  <TotalTime>9</TotalTime>
  <ScaleCrop>false</ScaleCrop>
  <LinksUpToDate>false</LinksUpToDate>
  <CharactersWithSpaces>6108</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肆欧捶啦瘫</cp:lastModifiedBy>
  <dcterms:modified xsi:type="dcterms:W3CDTF">2024-09-26T08:03:35Z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F17D52CBA55344C9B8801F0D078BA212_13</vt:lpwstr>
  </property>
</Properties>
</file>