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6823E">
      <w:pPr>
        <w:pStyle w:val="13"/>
        <w:jc w:val="center"/>
        <w:rPr>
          <w:sz w:val="56"/>
          <w:szCs w:val="56"/>
        </w:rPr>
      </w:pPr>
    </w:p>
    <w:p w14:paraId="55237C3A">
      <w:pPr>
        <w:pStyle w:val="13"/>
        <w:jc w:val="center"/>
        <w:rPr>
          <w:sz w:val="56"/>
          <w:szCs w:val="56"/>
        </w:rPr>
      </w:pPr>
    </w:p>
    <w:p w14:paraId="79DE70D8">
      <w:pPr>
        <w:pStyle w:val="13"/>
        <w:jc w:val="center"/>
        <w:rPr>
          <w:sz w:val="84"/>
          <w:szCs w:val="84"/>
        </w:rPr>
      </w:pPr>
    </w:p>
    <w:p w14:paraId="489BB889">
      <w:pPr>
        <w:pStyle w:val="13"/>
        <w:jc w:val="center"/>
        <w:rPr>
          <w:sz w:val="84"/>
          <w:szCs w:val="84"/>
        </w:rPr>
      </w:pPr>
    </w:p>
    <w:p w14:paraId="6218FF2B">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87B5533">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岳阳市社会福利院</w:t>
      </w:r>
      <w:r>
        <w:rPr>
          <w:rFonts w:hint="eastAsia" w:ascii="方正小标宋_GBK" w:hAnsi="方正小标宋_GBK" w:eastAsia="方正小标宋_GBK" w:cs="方正小标宋_GBK"/>
          <w:sz w:val="84"/>
          <w:szCs w:val="84"/>
        </w:rPr>
        <w:t>部门决算</w:t>
      </w:r>
    </w:p>
    <w:p w14:paraId="0ED8FA29">
      <w:pPr>
        <w:pStyle w:val="13"/>
        <w:jc w:val="center"/>
        <w:rPr>
          <w:rFonts w:hint="eastAsia" w:ascii="方正小标宋_GBK" w:hAnsi="方正小标宋_GBK" w:eastAsia="方正小标宋_GBK" w:cs="方正小标宋_GBK"/>
          <w:sz w:val="56"/>
          <w:szCs w:val="56"/>
        </w:rPr>
      </w:pPr>
    </w:p>
    <w:p w14:paraId="78C16D1A">
      <w:pPr>
        <w:pStyle w:val="13"/>
        <w:jc w:val="center"/>
        <w:rPr>
          <w:sz w:val="56"/>
          <w:szCs w:val="56"/>
        </w:rPr>
      </w:pPr>
    </w:p>
    <w:p w14:paraId="2EE5B129">
      <w:pPr>
        <w:pStyle w:val="13"/>
        <w:jc w:val="center"/>
        <w:rPr>
          <w:sz w:val="56"/>
          <w:szCs w:val="56"/>
        </w:rPr>
      </w:pPr>
    </w:p>
    <w:p w14:paraId="173B7CFF">
      <w:pPr>
        <w:pStyle w:val="13"/>
        <w:jc w:val="center"/>
        <w:rPr>
          <w:sz w:val="56"/>
          <w:szCs w:val="56"/>
        </w:rPr>
      </w:pPr>
    </w:p>
    <w:p w14:paraId="0537C237">
      <w:pPr>
        <w:pStyle w:val="13"/>
        <w:jc w:val="center"/>
        <w:rPr>
          <w:sz w:val="32"/>
          <w:szCs w:val="32"/>
        </w:rPr>
      </w:pPr>
    </w:p>
    <w:p w14:paraId="6C50B9C4">
      <w:pPr>
        <w:pStyle w:val="13"/>
        <w:jc w:val="center"/>
        <w:rPr>
          <w:sz w:val="32"/>
          <w:szCs w:val="32"/>
        </w:rPr>
      </w:pPr>
    </w:p>
    <w:p w14:paraId="3328B04E">
      <w:pPr>
        <w:pStyle w:val="13"/>
        <w:jc w:val="center"/>
        <w:rPr>
          <w:sz w:val="32"/>
          <w:szCs w:val="32"/>
        </w:rPr>
      </w:pPr>
    </w:p>
    <w:p w14:paraId="242545E8">
      <w:pPr>
        <w:pStyle w:val="13"/>
        <w:jc w:val="center"/>
        <w:rPr>
          <w:sz w:val="32"/>
          <w:szCs w:val="32"/>
        </w:rPr>
      </w:pPr>
    </w:p>
    <w:p w14:paraId="1CB7F5E7">
      <w:pPr>
        <w:pStyle w:val="13"/>
        <w:jc w:val="center"/>
        <w:rPr>
          <w:sz w:val="32"/>
          <w:szCs w:val="32"/>
        </w:rPr>
      </w:pPr>
    </w:p>
    <w:p w14:paraId="073BE9CD">
      <w:pPr>
        <w:pStyle w:val="13"/>
        <w:spacing w:line="540" w:lineRule="exact"/>
        <w:jc w:val="center"/>
        <w:rPr>
          <w:sz w:val="56"/>
          <w:szCs w:val="56"/>
        </w:rPr>
      </w:pPr>
    </w:p>
    <w:p w14:paraId="552DE46B">
      <w:pPr>
        <w:pStyle w:val="13"/>
        <w:spacing w:line="500" w:lineRule="exact"/>
        <w:jc w:val="both"/>
        <w:rPr>
          <w:b/>
          <w:sz w:val="36"/>
          <w:szCs w:val="28"/>
        </w:rPr>
      </w:pPr>
    </w:p>
    <w:p w14:paraId="36B2D786">
      <w:pPr>
        <w:pStyle w:val="13"/>
        <w:spacing w:line="500" w:lineRule="exact"/>
        <w:jc w:val="center"/>
        <w:rPr>
          <w:b/>
          <w:sz w:val="36"/>
          <w:szCs w:val="28"/>
        </w:rPr>
      </w:pPr>
      <w:r>
        <w:rPr>
          <w:rFonts w:hint="eastAsia"/>
          <w:b/>
          <w:sz w:val="36"/>
          <w:szCs w:val="28"/>
        </w:rPr>
        <w:t>目录</w:t>
      </w:r>
    </w:p>
    <w:p w14:paraId="5731EE54">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岳阳市社会福利院</w:t>
      </w:r>
      <w:r>
        <w:rPr>
          <w:rFonts w:hint="eastAsia" w:ascii="黑体" w:hAnsi="黑体" w:eastAsia="黑体" w:cs="黑体"/>
          <w:b w:val="0"/>
          <w:bCs/>
          <w:sz w:val="28"/>
          <w:szCs w:val="28"/>
        </w:rPr>
        <w:t>概况</w:t>
      </w:r>
    </w:p>
    <w:p w14:paraId="6E19F3D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B0B3E86">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4C82E49">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7CF3F3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D668B4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0C872BC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6422445">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37F7A2D">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2C5C1D6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21A7B21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A4F4D2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537B576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24C2350">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5B0AC6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5F8B5830">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4BDCB6B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8721E9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6B4A9B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BD9C3A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F6EDEC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DA2298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93BEAB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8428F7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8C28E5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3FCF190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6B85E5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242BC3F4">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1FF61C0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91F8F8B">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5FC52470">
      <w:pPr>
        <w:pStyle w:val="13"/>
        <w:jc w:val="center"/>
        <w:rPr>
          <w:rFonts w:hint="eastAsia" w:ascii="方正小标宋_GBK" w:hAnsi="方正小标宋_GBK" w:eastAsia="方正小标宋_GBK" w:cs="方正小标宋_GBK"/>
          <w:sz w:val="84"/>
          <w:szCs w:val="84"/>
        </w:rPr>
      </w:pPr>
    </w:p>
    <w:p w14:paraId="18964697">
      <w:pPr>
        <w:pStyle w:val="13"/>
        <w:jc w:val="center"/>
        <w:rPr>
          <w:rFonts w:hint="eastAsia" w:ascii="方正小标宋_GBK" w:hAnsi="方正小标宋_GBK" w:eastAsia="方正小标宋_GBK" w:cs="方正小标宋_GBK"/>
          <w:sz w:val="84"/>
          <w:szCs w:val="84"/>
        </w:rPr>
      </w:pPr>
    </w:p>
    <w:p w14:paraId="5E9AB7D1">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D1E67ED">
      <w:pPr>
        <w:pStyle w:val="13"/>
        <w:jc w:val="center"/>
        <w:rPr>
          <w:rFonts w:hint="eastAsia" w:ascii="方正小标宋_GBK" w:hAnsi="方正小标宋_GBK" w:eastAsia="方正小标宋_GBK" w:cs="方正小标宋_GBK"/>
          <w:sz w:val="84"/>
          <w:szCs w:val="84"/>
        </w:rPr>
      </w:pPr>
    </w:p>
    <w:p w14:paraId="710137E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岳阳市社会福利院</w:t>
      </w:r>
      <w:r>
        <w:rPr>
          <w:rFonts w:hint="eastAsia" w:ascii="方正小标宋_GBK" w:hAnsi="方正小标宋_GBK" w:eastAsia="方正小标宋_GBK" w:cs="方正小标宋_GBK"/>
          <w:sz w:val="84"/>
          <w:szCs w:val="84"/>
        </w:rPr>
        <w:t>概况</w:t>
      </w:r>
    </w:p>
    <w:p w14:paraId="47D53B45">
      <w:pPr>
        <w:pStyle w:val="7"/>
        <w:rPr>
          <w:rFonts w:hint="eastAsia" w:ascii="方正小标宋_GBK" w:hAnsi="方正小标宋_GBK" w:eastAsia="方正小标宋_GBK" w:cs="方正小标宋_GBK"/>
          <w:sz w:val="84"/>
          <w:szCs w:val="84"/>
        </w:rPr>
      </w:pPr>
    </w:p>
    <w:p w14:paraId="5DA28826">
      <w:pPr>
        <w:pStyle w:val="3"/>
        <w:rPr>
          <w:rFonts w:hint="eastAsia" w:ascii="方正小标宋_GBK" w:hAnsi="方正小标宋_GBK" w:eastAsia="方正小标宋_GBK" w:cs="方正小标宋_GBK"/>
          <w:sz w:val="84"/>
          <w:szCs w:val="84"/>
        </w:rPr>
      </w:pPr>
    </w:p>
    <w:p w14:paraId="2F408AA8">
      <w:pPr>
        <w:rPr>
          <w:rFonts w:hint="eastAsia" w:ascii="方正小标宋_GBK" w:hAnsi="方正小标宋_GBK" w:eastAsia="方正小标宋_GBK" w:cs="方正小标宋_GBK"/>
          <w:sz w:val="84"/>
          <w:szCs w:val="84"/>
        </w:rPr>
      </w:pPr>
    </w:p>
    <w:p w14:paraId="4532B4DD">
      <w:pPr>
        <w:pStyle w:val="7"/>
        <w:rPr>
          <w:rFonts w:hint="eastAsia" w:ascii="方正小标宋_GBK" w:hAnsi="方正小标宋_GBK" w:eastAsia="方正小标宋_GBK" w:cs="方正小标宋_GBK"/>
          <w:sz w:val="84"/>
          <w:szCs w:val="84"/>
        </w:rPr>
      </w:pPr>
    </w:p>
    <w:p w14:paraId="45C573BC">
      <w:pPr>
        <w:pStyle w:val="3"/>
        <w:rPr>
          <w:rFonts w:hint="eastAsia" w:ascii="方正小标宋_GBK" w:hAnsi="方正小标宋_GBK" w:eastAsia="方正小标宋_GBK" w:cs="方正小标宋_GBK"/>
          <w:sz w:val="84"/>
          <w:szCs w:val="84"/>
        </w:rPr>
      </w:pPr>
    </w:p>
    <w:p w14:paraId="0D8CFD6B">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39113F0">
      <w:pPr>
        <w:widowControl/>
        <w:spacing w:line="600" w:lineRule="exact"/>
        <w:ind w:firstLine="640" w:firstLineChars="200"/>
        <w:rPr>
          <w:rFonts w:hint="eastAsia" w:ascii="黑体" w:hAnsi="黑体" w:eastAsia="黑体" w:cs="黑体"/>
          <w:b w:val="0"/>
          <w:bCs/>
          <w:kern w:val="0"/>
          <w:sz w:val="32"/>
          <w:szCs w:val="32"/>
        </w:rPr>
      </w:pPr>
      <w:r>
        <w:rPr>
          <w:rFonts w:hint="eastAsia" w:ascii="Times New Roman" w:hAnsi="Times New Roman" w:eastAsia="仿宋_GB2312" w:cs="仿宋_GB2312"/>
          <w:bCs/>
          <w:kern w:val="0"/>
          <w:sz w:val="32"/>
          <w:szCs w:val="32"/>
          <w:lang w:val="en-US" w:eastAsia="zh-CN" w:bidi="ar-SA"/>
        </w:rPr>
        <w:t>提供收养服务，弘扬救助精神，孤儿与弃婴收养，家庭无力照管残疾儿童收养，“三无”老人收养，老人自愿有偿收养，收养对象的康复治疗。</w:t>
      </w:r>
      <w:r>
        <w:rPr>
          <w:rFonts w:hint="eastAsia" w:ascii="黑体" w:hAnsi="黑体" w:eastAsia="黑体" w:cs="黑体"/>
          <w:b w:val="0"/>
          <w:bCs/>
          <w:kern w:val="0"/>
          <w:sz w:val="32"/>
          <w:szCs w:val="32"/>
        </w:rPr>
        <w:t>二、机构设置及决算单位构成</w:t>
      </w:r>
    </w:p>
    <w:p w14:paraId="529492C8">
      <w:pPr>
        <w:widowControl/>
        <w:numPr>
          <w:ilvl w:val="0"/>
          <w:numId w:val="2"/>
        </w:numPr>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内设机构设置。</w:t>
      </w:r>
    </w:p>
    <w:p w14:paraId="142B5B34">
      <w:pPr>
        <w:widowControl/>
        <w:numPr>
          <w:ilvl w:val="0"/>
          <w:numId w:val="0"/>
        </w:numPr>
        <w:spacing w:line="240" w:lineRule="auto"/>
        <w:ind w:firstLine="960" w:firstLineChars="3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岳阳市社会福利院单位内设机构包括：办公室、财务室、后勤服务部、医疗康复部、儿童服务部、老年人服务部。</w:t>
      </w:r>
    </w:p>
    <w:p w14:paraId="05F71F51">
      <w:pPr>
        <w:widowControl/>
        <w:numPr>
          <w:ilvl w:val="0"/>
          <w:numId w:val="2"/>
        </w:numPr>
        <w:spacing w:line="600" w:lineRule="exact"/>
        <w:ind w:left="0" w:leftChars="0"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决算单位构成。</w:t>
      </w:r>
    </w:p>
    <w:p w14:paraId="2D300186">
      <w:pPr>
        <w:widowControl/>
        <w:numPr>
          <w:ilvl w:val="0"/>
          <w:numId w:val="0"/>
        </w:numPr>
        <w:spacing w:line="240" w:lineRule="auto"/>
        <w:ind w:left="0" w:leftChars="0" w:firstLine="960" w:firstLineChars="300"/>
        <w:jc w:val="both"/>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2023年度部门决算汇总公开单位仅包括岳阳市社会福利院本级</w:t>
      </w:r>
      <w:r>
        <w:rPr>
          <w:rFonts w:hint="eastAsia" w:ascii="Times New Roman" w:hAnsi="Times New Roman" w:eastAsia="仿宋_GB2312" w:cs="仿宋_GB2312"/>
          <w:bCs/>
          <w:kern w:val="0"/>
          <w:sz w:val="32"/>
          <w:szCs w:val="32"/>
        </w:rPr>
        <w:t>。</w:t>
      </w:r>
    </w:p>
    <w:p w14:paraId="6B9716D4"/>
    <w:p w14:paraId="617FB2DE">
      <w:pPr>
        <w:pStyle w:val="7"/>
      </w:pPr>
    </w:p>
    <w:p w14:paraId="73F3CA21">
      <w:pPr>
        <w:pStyle w:val="3"/>
      </w:pPr>
    </w:p>
    <w:p w14:paraId="56B95908"/>
    <w:p w14:paraId="0E6E0C58">
      <w:pPr>
        <w:pStyle w:val="7"/>
      </w:pPr>
    </w:p>
    <w:p w14:paraId="07370006">
      <w:pPr>
        <w:pStyle w:val="3"/>
      </w:pPr>
    </w:p>
    <w:p w14:paraId="62B40B07"/>
    <w:p w14:paraId="4E258103">
      <w:pPr>
        <w:pStyle w:val="7"/>
      </w:pPr>
    </w:p>
    <w:p w14:paraId="215D3912">
      <w:pPr>
        <w:pStyle w:val="3"/>
      </w:pPr>
    </w:p>
    <w:p w14:paraId="4B71B075"/>
    <w:p w14:paraId="3F048F1F">
      <w:pPr>
        <w:pStyle w:val="7"/>
      </w:pPr>
    </w:p>
    <w:p w14:paraId="5237AF8E">
      <w:pPr>
        <w:pStyle w:val="3"/>
      </w:pPr>
    </w:p>
    <w:p w14:paraId="3AFA38A9"/>
    <w:p w14:paraId="47B677E9">
      <w:pPr>
        <w:pStyle w:val="7"/>
      </w:pPr>
    </w:p>
    <w:p w14:paraId="08C5980F">
      <w:pPr>
        <w:pStyle w:val="3"/>
      </w:pPr>
    </w:p>
    <w:p w14:paraId="054A30BC"/>
    <w:p w14:paraId="3932333B">
      <w:pPr>
        <w:pStyle w:val="7"/>
      </w:pPr>
    </w:p>
    <w:p w14:paraId="5696ED37">
      <w:pPr>
        <w:pStyle w:val="3"/>
      </w:pPr>
    </w:p>
    <w:p w14:paraId="250315A8"/>
    <w:p w14:paraId="6B5CF197">
      <w:pPr>
        <w:pStyle w:val="7"/>
      </w:pPr>
    </w:p>
    <w:p w14:paraId="33AFF6FB">
      <w:pPr>
        <w:pStyle w:val="3"/>
      </w:pPr>
    </w:p>
    <w:p w14:paraId="73653616"/>
    <w:p w14:paraId="733C56A8">
      <w:pPr>
        <w:pStyle w:val="7"/>
      </w:pPr>
    </w:p>
    <w:p w14:paraId="5BE69FBC">
      <w:pPr>
        <w:pStyle w:val="3"/>
      </w:pPr>
    </w:p>
    <w:p w14:paraId="63B44D02"/>
    <w:p w14:paraId="74EE9FA0">
      <w:pPr>
        <w:pStyle w:val="13"/>
        <w:jc w:val="center"/>
        <w:rPr>
          <w:rFonts w:hint="eastAsia" w:ascii="方正小标宋_GBK" w:hAnsi="方正小标宋_GBK" w:eastAsia="方正小标宋_GBK" w:cs="方正小标宋_GBK"/>
          <w:sz w:val="84"/>
          <w:szCs w:val="84"/>
        </w:rPr>
      </w:pPr>
    </w:p>
    <w:p w14:paraId="4889148E">
      <w:pPr>
        <w:pStyle w:val="13"/>
        <w:jc w:val="center"/>
        <w:rPr>
          <w:rFonts w:hint="eastAsia" w:ascii="方正小标宋_GBK" w:hAnsi="方正小标宋_GBK" w:eastAsia="方正小标宋_GBK" w:cs="方正小标宋_GBK"/>
          <w:sz w:val="84"/>
          <w:szCs w:val="84"/>
        </w:rPr>
      </w:pPr>
    </w:p>
    <w:p w14:paraId="6056DAF1">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25A148D7">
      <w:pPr>
        <w:pStyle w:val="13"/>
        <w:jc w:val="center"/>
        <w:rPr>
          <w:rFonts w:hint="eastAsia" w:ascii="方正小标宋_GBK" w:hAnsi="方正小标宋_GBK" w:eastAsia="方正小标宋_GBK" w:cs="方正小标宋_GBK"/>
          <w:sz w:val="84"/>
          <w:szCs w:val="84"/>
        </w:rPr>
      </w:pPr>
    </w:p>
    <w:p w14:paraId="75CB132D">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7E7C78F">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144BFB76">
      <w:pPr>
        <w:pStyle w:val="13"/>
        <w:jc w:val="center"/>
        <w:rPr>
          <w:rFonts w:hint="eastAsia" w:ascii="仿宋_GB2312" w:hAnsi="仿宋_GB2312" w:eastAsia="仿宋_GB2312" w:cs="仿宋_GB2312"/>
          <w:b w:val="0"/>
          <w:bCs w:val="0"/>
          <w:sz w:val="72"/>
          <w:szCs w:val="72"/>
          <w:lang w:eastAsia="zh-CN"/>
        </w:rPr>
      </w:pPr>
    </w:p>
    <w:p w14:paraId="5B9D892A">
      <w:pPr>
        <w:pStyle w:val="13"/>
        <w:jc w:val="center"/>
        <w:rPr>
          <w:rFonts w:hint="eastAsia" w:ascii="仿宋_GB2312" w:hAnsi="仿宋_GB2312" w:eastAsia="仿宋_GB2312" w:cs="仿宋_GB2312"/>
          <w:b w:val="0"/>
          <w:bCs w:val="0"/>
          <w:sz w:val="72"/>
          <w:szCs w:val="72"/>
          <w:lang w:eastAsia="zh-CN"/>
        </w:rPr>
      </w:pPr>
    </w:p>
    <w:p w14:paraId="0932D3D2">
      <w:pPr>
        <w:pStyle w:val="13"/>
        <w:jc w:val="center"/>
        <w:rPr>
          <w:rFonts w:hint="eastAsia" w:ascii="仿宋_GB2312" w:hAnsi="仿宋_GB2312" w:eastAsia="仿宋_GB2312" w:cs="仿宋_GB2312"/>
          <w:b w:val="0"/>
          <w:bCs w:val="0"/>
          <w:sz w:val="72"/>
          <w:szCs w:val="72"/>
          <w:lang w:eastAsia="zh-CN"/>
        </w:rPr>
      </w:pPr>
    </w:p>
    <w:p w14:paraId="56A9D160">
      <w:pPr>
        <w:pStyle w:val="13"/>
        <w:jc w:val="center"/>
        <w:rPr>
          <w:rFonts w:hint="eastAsia" w:ascii="仿宋_GB2312" w:hAnsi="仿宋_GB2312" w:eastAsia="仿宋_GB2312" w:cs="仿宋_GB2312"/>
          <w:b w:val="0"/>
          <w:bCs w:val="0"/>
          <w:sz w:val="72"/>
          <w:szCs w:val="72"/>
          <w:lang w:eastAsia="zh-CN"/>
        </w:rPr>
      </w:pPr>
    </w:p>
    <w:p w14:paraId="31A7E8C9">
      <w:pPr>
        <w:pStyle w:val="13"/>
        <w:jc w:val="center"/>
        <w:rPr>
          <w:rFonts w:hint="eastAsia" w:ascii="仿宋_GB2312" w:hAnsi="仿宋_GB2312" w:eastAsia="仿宋_GB2312" w:cs="仿宋_GB2312"/>
          <w:b w:val="0"/>
          <w:bCs w:val="0"/>
          <w:sz w:val="72"/>
          <w:szCs w:val="72"/>
          <w:lang w:eastAsia="zh-CN"/>
        </w:rPr>
      </w:pPr>
    </w:p>
    <w:p w14:paraId="1F8F050D">
      <w:pPr>
        <w:pStyle w:val="13"/>
        <w:jc w:val="center"/>
        <w:rPr>
          <w:rFonts w:hint="eastAsia" w:ascii="仿宋_GB2312" w:hAnsi="仿宋_GB2312" w:eastAsia="仿宋_GB2312" w:cs="仿宋_GB2312"/>
          <w:b w:val="0"/>
          <w:bCs w:val="0"/>
          <w:sz w:val="72"/>
          <w:szCs w:val="72"/>
          <w:lang w:eastAsia="zh-CN"/>
        </w:rPr>
      </w:pPr>
    </w:p>
    <w:p w14:paraId="2FAC3E89">
      <w:pPr>
        <w:pStyle w:val="13"/>
        <w:jc w:val="center"/>
        <w:rPr>
          <w:rFonts w:hint="eastAsia" w:ascii="仿宋_GB2312" w:hAnsi="仿宋_GB2312" w:eastAsia="仿宋_GB2312" w:cs="仿宋_GB2312"/>
          <w:b w:val="0"/>
          <w:bCs w:val="0"/>
          <w:sz w:val="72"/>
          <w:szCs w:val="72"/>
          <w:lang w:eastAsia="zh-CN"/>
        </w:rPr>
      </w:pPr>
    </w:p>
    <w:p w14:paraId="2F6DC1F1">
      <w:pPr>
        <w:pStyle w:val="13"/>
        <w:jc w:val="center"/>
        <w:rPr>
          <w:rFonts w:hint="eastAsia" w:ascii="方正小标宋_GBK" w:hAnsi="方正小标宋_GBK" w:eastAsia="方正小标宋_GBK" w:cs="方正小标宋_GBK"/>
          <w:sz w:val="72"/>
          <w:szCs w:val="72"/>
        </w:rPr>
      </w:pPr>
    </w:p>
    <w:p w14:paraId="0E6F731D">
      <w:pPr>
        <w:pStyle w:val="13"/>
        <w:jc w:val="center"/>
        <w:rPr>
          <w:rFonts w:hint="eastAsia" w:ascii="方正小标宋_GBK" w:hAnsi="方正小标宋_GBK" w:eastAsia="方正小标宋_GBK" w:cs="方正小标宋_GBK"/>
          <w:sz w:val="72"/>
          <w:szCs w:val="72"/>
        </w:rPr>
      </w:pPr>
    </w:p>
    <w:p w14:paraId="13634FC7">
      <w:pPr>
        <w:pStyle w:val="13"/>
        <w:jc w:val="both"/>
        <w:rPr>
          <w:rFonts w:hint="eastAsia" w:ascii="方正小标宋_GBK" w:hAnsi="方正小标宋_GBK" w:eastAsia="方正小标宋_GBK" w:cs="方正小标宋_GBK"/>
          <w:sz w:val="72"/>
          <w:szCs w:val="72"/>
        </w:rPr>
      </w:pPr>
    </w:p>
    <w:p w14:paraId="46A82D70">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0A6E1671">
      <w:pPr>
        <w:pStyle w:val="13"/>
        <w:jc w:val="center"/>
        <w:rPr>
          <w:rFonts w:hint="eastAsia" w:ascii="方正小标宋_GBK" w:hAnsi="方正小标宋_GBK" w:eastAsia="方正小标宋_GBK" w:cs="方正小标宋_GBK"/>
          <w:sz w:val="70"/>
          <w:szCs w:val="70"/>
        </w:rPr>
      </w:pPr>
    </w:p>
    <w:p w14:paraId="758E92D5">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67739785">
      <w:pPr>
        <w:pStyle w:val="13"/>
        <w:jc w:val="center"/>
        <w:rPr>
          <w:rFonts w:hint="eastAsia" w:ascii="方正小标宋_GBK" w:hAnsi="方正小标宋_GBK" w:eastAsia="方正小标宋_GBK" w:cs="方正小标宋_GBK"/>
          <w:sz w:val="70"/>
          <w:szCs w:val="70"/>
        </w:rPr>
      </w:pPr>
    </w:p>
    <w:p w14:paraId="4EA1E474">
      <w:pPr>
        <w:pStyle w:val="13"/>
        <w:jc w:val="center"/>
        <w:rPr>
          <w:rFonts w:hint="eastAsia" w:ascii="方正小标宋_GBK" w:hAnsi="方正小标宋_GBK" w:eastAsia="方正小标宋_GBK" w:cs="方正小标宋_GBK"/>
          <w:sz w:val="70"/>
          <w:szCs w:val="70"/>
        </w:rPr>
      </w:pPr>
    </w:p>
    <w:p w14:paraId="34087D70">
      <w:pPr>
        <w:pStyle w:val="13"/>
        <w:jc w:val="center"/>
        <w:rPr>
          <w:rFonts w:hint="eastAsia" w:ascii="方正小标宋_GBK" w:hAnsi="方正小标宋_GBK" w:eastAsia="方正小标宋_GBK" w:cs="方正小标宋_GBK"/>
          <w:sz w:val="70"/>
          <w:szCs w:val="70"/>
        </w:rPr>
      </w:pPr>
    </w:p>
    <w:p w14:paraId="3D7B234E">
      <w:pPr>
        <w:pStyle w:val="13"/>
        <w:jc w:val="center"/>
        <w:rPr>
          <w:rFonts w:hint="eastAsia" w:ascii="方正小标宋_GBK" w:hAnsi="方正小标宋_GBK" w:eastAsia="方正小标宋_GBK" w:cs="方正小标宋_GBK"/>
          <w:sz w:val="70"/>
          <w:szCs w:val="70"/>
        </w:rPr>
      </w:pPr>
    </w:p>
    <w:p w14:paraId="79490E0D">
      <w:pPr>
        <w:pStyle w:val="13"/>
        <w:jc w:val="center"/>
        <w:rPr>
          <w:rFonts w:hint="eastAsia" w:ascii="方正小标宋_GBK" w:hAnsi="方正小标宋_GBK" w:eastAsia="方正小标宋_GBK" w:cs="方正小标宋_GBK"/>
          <w:sz w:val="70"/>
          <w:szCs w:val="70"/>
        </w:rPr>
      </w:pPr>
    </w:p>
    <w:p w14:paraId="4FA9F2C6">
      <w:pPr>
        <w:pStyle w:val="13"/>
        <w:jc w:val="center"/>
        <w:rPr>
          <w:rFonts w:hint="eastAsia" w:ascii="方正小标宋_GBK" w:hAnsi="方正小标宋_GBK" w:eastAsia="方正小标宋_GBK" w:cs="方正小标宋_GBK"/>
          <w:sz w:val="70"/>
          <w:szCs w:val="70"/>
        </w:rPr>
      </w:pPr>
    </w:p>
    <w:p w14:paraId="2C261C7F">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0402C85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2C3FDDFA">
      <w:pPr>
        <w:pStyle w:val="13"/>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1924.32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294.24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18.05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和观音阁院区合并导致收入和支出增长。</w:t>
      </w:r>
      <w:r>
        <w:rPr>
          <w:rFonts w:hint="eastAsia" w:ascii="仿宋_GB2312" w:hAnsi="仿宋_GB2312" w:eastAsia="仿宋_GB2312" w:cs="仿宋_GB2312"/>
          <w:sz w:val="32"/>
          <w:szCs w:val="32"/>
        </w:rPr>
        <w:t>一般公共预算财政拨款收入</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793.08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99.2</w:t>
      </w:r>
      <w:r>
        <w:rPr>
          <w:rFonts w:hint="eastAsia" w:ascii="仿宋_GB2312" w:hAnsi="仿宋_GB2312" w:eastAsia="仿宋_GB2312" w:cs="仿宋_GB2312"/>
          <w:sz w:val="32"/>
          <w:szCs w:val="32"/>
        </w:rPr>
        <w:t>%；政府性基金预算财政拨款收入</w:t>
      </w:r>
      <w:r>
        <w:rPr>
          <w:rFonts w:hint="eastAsia" w:ascii="仿宋_GB2312" w:hAnsi="仿宋_GB2312" w:eastAsia="仿宋_GB2312" w:cs="仿宋_GB2312"/>
          <w:sz w:val="32"/>
          <w:szCs w:val="32"/>
          <w:lang w:val="en-US" w:eastAsia="zh-CN"/>
        </w:rPr>
        <w:t>减少56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减少27.18</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减少441.43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减少71.04</w:t>
      </w:r>
      <w:r>
        <w:rPr>
          <w:rFonts w:hint="eastAsia" w:ascii="仿宋_GB2312" w:hAnsi="仿宋_GB2312" w:eastAsia="仿宋_GB2312" w:cs="仿宋_GB2312"/>
          <w:sz w:val="32"/>
          <w:szCs w:val="32"/>
        </w:rPr>
        <w:t>%。</w:t>
      </w:r>
    </w:p>
    <w:p w14:paraId="4338D04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335248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年度收入合计1922.48万元，其中：财政拨款收入1742.53万元，占</w:t>
      </w:r>
      <w:r>
        <w:rPr>
          <w:rFonts w:hint="eastAsia" w:ascii="仿宋_GB2312" w:hAnsi="仿宋_GB2312" w:eastAsia="仿宋_GB2312" w:cs="仿宋_GB2312"/>
          <w:sz w:val="32"/>
          <w:szCs w:val="32"/>
          <w:lang w:val="en-US" w:eastAsia="zh-CN"/>
        </w:rPr>
        <w:t>90.64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万元；其他收入179.95万元，占</w:t>
      </w:r>
      <w:r>
        <w:rPr>
          <w:rFonts w:hint="eastAsia" w:ascii="仿宋_GB2312" w:hAnsi="仿宋_GB2312" w:eastAsia="仿宋_GB2312" w:cs="仿宋_GB2312"/>
          <w:sz w:val="32"/>
          <w:szCs w:val="32"/>
          <w:lang w:val="en-US" w:eastAsia="zh-CN"/>
        </w:rPr>
        <w:t>9.36</w:t>
      </w:r>
      <w:r>
        <w:rPr>
          <w:rFonts w:hint="eastAsia" w:ascii="仿宋_GB2312" w:hAnsi="仿宋_GB2312" w:eastAsia="仿宋_GB2312" w:cs="仿宋_GB2312"/>
          <w:sz w:val="32"/>
          <w:szCs w:val="32"/>
        </w:rPr>
        <w:t>%。</w:t>
      </w:r>
    </w:p>
    <w:p w14:paraId="405CF6A3">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A309E6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年度支出合计1924.33万元，其中：基本支出1243.78万元，占</w:t>
      </w:r>
      <w:r>
        <w:rPr>
          <w:rFonts w:hint="eastAsia" w:ascii="仿宋_GB2312" w:hAnsi="仿宋_GB2312" w:eastAsia="仿宋_GB2312" w:cs="仿宋_GB2312"/>
          <w:sz w:val="32"/>
          <w:szCs w:val="32"/>
          <w:lang w:val="en-US" w:eastAsia="zh-CN"/>
        </w:rPr>
        <w:t>64.63</w:t>
      </w:r>
      <w:r>
        <w:rPr>
          <w:rFonts w:hint="eastAsia" w:ascii="仿宋_GB2312" w:hAnsi="仿宋_GB2312" w:eastAsia="仿宋_GB2312" w:cs="仿宋_GB2312"/>
          <w:sz w:val="32"/>
          <w:szCs w:val="32"/>
        </w:rPr>
        <w:t>%；项目支出680.55万元，占</w:t>
      </w:r>
      <w:r>
        <w:rPr>
          <w:rFonts w:hint="eastAsia" w:ascii="仿宋_GB2312" w:hAnsi="仿宋_GB2312" w:eastAsia="仿宋_GB2312" w:cs="仿宋_GB2312"/>
          <w:sz w:val="32"/>
          <w:szCs w:val="32"/>
          <w:lang w:val="en-US" w:eastAsia="zh-CN"/>
        </w:rPr>
        <w:t>35.37</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bookmarkStart w:id="0" w:name="_GoBack"/>
      <w:bookmarkEnd w:id="0"/>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03296AE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94D081F">
      <w:pPr>
        <w:pStyle w:val="13"/>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年度财政拨款收、支总计1742.53万元，与上年相比，增加</w:t>
      </w:r>
      <w:r>
        <w:rPr>
          <w:rFonts w:hint="eastAsia" w:ascii="仿宋_GB2312" w:hAnsi="仿宋_GB2312" w:eastAsia="仿宋_GB2312" w:cs="仿宋_GB2312"/>
          <w:sz w:val="32"/>
          <w:szCs w:val="32"/>
          <w:lang w:val="en-US" w:eastAsia="zh-CN"/>
        </w:rPr>
        <w:t>736.88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73.27</w:t>
      </w:r>
      <w:r>
        <w:rPr>
          <w:rFonts w:hint="eastAsia" w:ascii="仿宋_GB2312" w:hAnsi="仿宋_GB2312" w:eastAsia="仿宋_GB2312" w:cs="仿宋_GB2312"/>
          <w:sz w:val="32"/>
          <w:szCs w:val="32"/>
        </w:rPr>
        <w:t>%，主要是因为一般公共预算财政拨款收入</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793.08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99.2</w:t>
      </w:r>
      <w:r>
        <w:rPr>
          <w:rFonts w:hint="eastAsia" w:ascii="仿宋_GB2312" w:hAnsi="仿宋_GB2312" w:eastAsia="仿宋_GB2312" w:cs="仿宋_GB2312"/>
          <w:sz w:val="32"/>
          <w:szCs w:val="32"/>
        </w:rPr>
        <w:t>%；政府性基金预算财政拨款收入</w:t>
      </w:r>
      <w:r>
        <w:rPr>
          <w:rFonts w:hint="eastAsia" w:ascii="仿宋_GB2312" w:hAnsi="仿宋_GB2312" w:eastAsia="仿宋_GB2312" w:cs="仿宋_GB2312"/>
          <w:sz w:val="32"/>
          <w:szCs w:val="32"/>
          <w:lang w:val="en-US" w:eastAsia="zh-CN"/>
        </w:rPr>
        <w:t>减少56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减少27.18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1BC639A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0FDC8E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B535E1A">
      <w:pPr>
        <w:pStyle w:val="13"/>
        <w:ind w:firstLine="800" w:firstLineChars="250"/>
        <w:rPr>
          <w:rFonts w:ascii="宋体" w:hAnsi="宋体" w:eastAsia="宋体"/>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年度财政拨款支出1592.53万元，占本年支出合计的</w:t>
      </w:r>
      <w:r>
        <w:rPr>
          <w:rFonts w:hint="eastAsia" w:ascii="仿宋_GB2312" w:hAnsi="仿宋_GB2312" w:eastAsia="仿宋_GB2312" w:cs="仿宋_GB2312"/>
          <w:sz w:val="32"/>
          <w:szCs w:val="32"/>
          <w:lang w:val="en-US" w:eastAsia="zh-CN"/>
        </w:rPr>
        <w:t>82.72</w:t>
      </w:r>
      <w:r>
        <w:rPr>
          <w:rFonts w:hint="eastAsia" w:ascii="仿宋_GB2312" w:hAnsi="仿宋_GB2312" w:eastAsia="仿宋_GB2312" w:cs="仿宋_GB2312"/>
          <w:sz w:val="32"/>
          <w:szCs w:val="32"/>
        </w:rPr>
        <w:t>%，与上年相比，财政拨款支出</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en-US" w:eastAsia="zh-CN"/>
        </w:rPr>
        <w:t>793.08</w:t>
      </w:r>
      <w:r>
        <w:rPr>
          <w:rFonts w:hint="eastAsia" w:ascii="仿宋_GB2312" w:hAnsi="仿宋_GB2312" w:eastAsia="仿宋_GB2312" w:cs="仿宋_GB2312"/>
          <w:color w:val="auto"/>
          <w:sz w:val="32"/>
          <w:szCs w:val="32"/>
        </w:rPr>
        <w:t>万元，增长</w:t>
      </w:r>
      <w:r>
        <w:rPr>
          <w:rFonts w:hint="eastAsia" w:ascii="仿宋_GB2312" w:hAnsi="仿宋_GB2312" w:eastAsia="仿宋_GB2312" w:cs="仿宋_GB2312"/>
          <w:color w:val="auto"/>
          <w:sz w:val="32"/>
          <w:szCs w:val="32"/>
          <w:lang w:val="en-US" w:eastAsia="zh-CN"/>
        </w:rPr>
        <w:t>99.2</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val="en-US" w:eastAsia="zh-CN"/>
        </w:rPr>
        <w:t>和观音阁院区合并导致收入的增长，</w:t>
      </w:r>
      <w:r>
        <w:rPr>
          <w:rFonts w:hint="eastAsia" w:ascii="Times New Roman" w:hAnsi="Times New Roman" w:eastAsia="仿宋_GB2312"/>
          <w:color w:val="auto"/>
          <w:sz w:val="32"/>
          <w:szCs w:val="32"/>
        </w:rPr>
        <w:t>主要是因为社会保障和就业支出较上年</w:t>
      </w:r>
      <w:r>
        <w:rPr>
          <w:rFonts w:hint="eastAsia" w:ascii="Times New Roman" w:hAnsi="Times New Roman" w:eastAsia="仿宋_GB2312"/>
          <w:color w:val="auto"/>
          <w:sz w:val="32"/>
          <w:szCs w:val="32"/>
          <w:lang w:val="en-US" w:eastAsia="zh-CN"/>
        </w:rPr>
        <w:t>增加733.42</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增加93.25</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；卫生医疗支出较上年</w:t>
      </w:r>
      <w:r>
        <w:rPr>
          <w:rFonts w:hint="eastAsia" w:ascii="Times New Roman" w:hAnsi="Times New Roman" w:eastAsia="仿宋_GB2312"/>
          <w:color w:val="auto"/>
          <w:sz w:val="32"/>
          <w:szCs w:val="32"/>
          <w:lang w:val="en-US" w:eastAsia="zh-CN"/>
        </w:rPr>
        <w:t>增加12.05万元，增加92.83%</w:t>
      </w:r>
      <w:r>
        <w:rPr>
          <w:rFonts w:hint="eastAsia" w:ascii="Times New Roman" w:hAnsi="Times New Roman" w:eastAsia="仿宋_GB2312"/>
          <w:color w:val="auto"/>
          <w:sz w:val="32"/>
          <w:szCs w:val="32"/>
        </w:rPr>
        <w:t>。</w:t>
      </w:r>
    </w:p>
    <w:p w14:paraId="765FF0BE">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i/>
          <w:iCs/>
          <w:color w:val="auto"/>
          <w:sz w:val="32"/>
          <w:szCs w:val="32"/>
          <w:lang w:eastAsia="zh-CN"/>
        </w:rPr>
      </w:pPr>
      <w:r>
        <w:rPr>
          <w:rFonts w:hint="eastAsia" w:ascii="仿宋_GB2312" w:hAnsi="仿宋_GB2312" w:eastAsia="仿宋_GB2312" w:cs="仿宋_GB2312"/>
          <w:color w:val="auto"/>
          <w:sz w:val="32"/>
          <w:szCs w:val="32"/>
          <w:lang w:val="en-US" w:eastAsia="zh-CN"/>
        </w:rPr>
        <w:t>住房保障支出增加47.62万元，</w:t>
      </w:r>
      <w:r>
        <w:rPr>
          <w:rFonts w:hint="eastAsia" w:ascii="Times New Roman" w:hAnsi="Times New Roman" w:eastAsia="仿宋_GB2312"/>
          <w:color w:val="auto"/>
          <w:sz w:val="32"/>
          <w:szCs w:val="32"/>
          <w:lang w:val="en-US" w:eastAsia="zh-CN"/>
        </w:rPr>
        <w:t>增加100%。</w:t>
      </w:r>
    </w:p>
    <w:p w14:paraId="0F0AE8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410CAC6">
      <w:pPr>
        <w:pStyle w:val="13"/>
        <w:ind w:firstLine="640" w:firstLineChars="200"/>
        <w:rPr>
          <w:rFonts w:hint="eastAsia" w:ascii="仿宋_GB2312" w:hAnsi="仿宋_GB2312" w:eastAsia="仿宋_GB2312" w:cs="仿宋_GB2312"/>
          <w:b/>
          <w:bCs/>
          <w:i/>
          <w:color w:val="FF000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年度财政拨款支出1592.53万元，主要用于以下方面：</w:t>
      </w:r>
      <w:r>
        <w:rPr>
          <w:rFonts w:hint="eastAsia" w:ascii="Times New Roman" w:hAnsi="Times New Roman" w:eastAsia="仿宋_GB2312"/>
          <w:sz w:val="32"/>
          <w:szCs w:val="32"/>
        </w:rPr>
        <w:t>社会保障和就业（类）支出1519.89万元，占</w:t>
      </w:r>
      <w:r>
        <w:rPr>
          <w:rFonts w:hint="eastAsia" w:ascii="Times New Roman" w:hAnsi="Times New Roman" w:eastAsia="仿宋_GB2312"/>
          <w:sz w:val="32"/>
          <w:szCs w:val="32"/>
          <w:lang w:val="en-US" w:eastAsia="zh-CN"/>
        </w:rPr>
        <w:t>95.44</w:t>
      </w:r>
      <w:r>
        <w:rPr>
          <w:rFonts w:hint="eastAsia" w:ascii="Times New Roman" w:hAnsi="Times New Roman" w:eastAsia="仿宋_GB2312"/>
          <w:sz w:val="32"/>
          <w:szCs w:val="32"/>
        </w:rPr>
        <w:t>%；卫生健康（类）支出</w:t>
      </w:r>
      <w:r>
        <w:rPr>
          <w:rFonts w:hint="eastAsia" w:ascii="Times New Roman" w:hAnsi="Times New Roman" w:eastAsia="仿宋_GB2312"/>
          <w:sz w:val="32"/>
          <w:szCs w:val="32"/>
          <w:lang w:val="en-US" w:eastAsia="zh-CN"/>
        </w:rPr>
        <w:t>25.03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1.57</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住房保障</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2.99%。</w:t>
      </w:r>
    </w:p>
    <w:p w14:paraId="70EBEDC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6AEB6F7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1556.77</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1592.53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102.3</w:t>
      </w:r>
      <w:r>
        <w:rPr>
          <w:rFonts w:hint="eastAsia" w:ascii="仿宋_GB2312" w:hAnsi="仿宋_GB2312" w:eastAsia="仿宋_GB2312" w:cs="仿宋_GB2312"/>
          <w:sz w:val="32"/>
          <w:szCs w:val="32"/>
        </w:rPr>
        <w:t>%，其中：</w:t>
      </w:r>
    </w:p>
    <w:p w14:paraId="19FF3BBB">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、社会保障和就业支出（类）行政事业单位养老支出（款）机关事业单位基本养老保险缴费支出（项）。</w:t>
      </w:r>
    </w:p>
    <w:p w14:paraId="17B89391">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47.66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47.66</w:t>
      </w:r>
      <w:r>
        <w:rPr>
          <w:rFonts w:hint="eastAsia" w:ascii="Times New Roman" w:hAnsi="Times New Roman" w:eastAsia="仿宋_GB2312"/>
          <w:color w:val="auto"/>
          <w:sz w:val="32"/>
          <w:szCs w:val="32"/>
        </w:rPr>
        <w:t>万元，完成年初预算的100%，决算数与预算数一致，</w:t>
      </w:r>
      <w:r>
        <w:rPr>
          <w:rFonts w:hint="eastAsia" w:ascii="Times New Roman" w:hAnsi="Times New Roman" w:eastAsia="仿宋_GB2312"/>
          <w:color w:val="auto"/>
          <w:sz w:val="32"/>
          <w:szCs w:val="32"/>
          <w:lang w:eastAsia="zh-CN"/>
        </w:rPr>
        <w:t>主要原因是</w:t>
      </w:r>
      <w:r>
        <w:rPr>
          <w:rFonts w:hint="eastAsia" w:ascii="Times New Roman" w:hAnsi="Times New Roman" w:eastAsia="仿宋_GB2312"/>
          <w:color w:val="auto"/>
          <w:sz w:val="32"/>
          <w:szCs w:val="32"/>
        </w:rPr>
        <w:t>我单位严格按预算执行决算。</w:t>
      </w:r>
    </w:p>
    <w:p w14:paraId="7E965400">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、社会保障和就业支出（类）社会福利（款）社会福利事业单位（项）。</w:t>
      </w:r>
    </w:p>
    <w:p w14:paraId="55E478EB">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1497.58</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1406.97</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93.95</w:t>
      </w:r>
      <w:r>
        <w:rPr>
          <w:rFonts w:hint="eastAsia" w:ascii="Times New Roman" w:hAnsi="Times New Roman" w:eastAsia="仿宋_GB2312"/>
          <w:color w:val="auto"/>
          <w:sz w:val="32"/>
          <w:szCs w:val="32"/>
        </w:rPr>
        <w:t>%。 决算数小于预算数的主要原因是</w:t>
      </w:r>
      <w:r>
        <w:rPr>
          <w:rFonts w:hint="eastAsia" w:ascii="Times New Roman" w:hAnsi="Times New Roman" w:eastAsia="仿宋_GB2312"/>
          <w:color w:val="auto"/>
          <w:sz w:val="32"/>
          <w:szCs w:val="32"/>
          <w:lang w:val="en-US" w:eastAsia="zh-CN"/>
        </w:rPr>
        <w:t>1497.58</w:t>
      </w:r>
      <w:r>
        <w:rPr>
          <w:rFonts w:hint="eastAsia" w:ascii="Times New Roman" w:hAnsi="Times New Roman" w:eastAsia="仿宋_GB2312"/>
          <w:color w:val="auto"/>
          <w:sz w:val="32"/>
          <w:szCs w:val="32"/>
        </w:rPr>
        <w:t>万元中有</w:t>
      </w:r>
      <w:r>
        <w:rPr>
          <w:rFonts w:hint="eastAsia" w:ascii="Times New Roman" w:hAnsi="Times New Roman" w:eastAsia="仿宋_GB2312"/>
          <w:color w:val="auto"/>
          <w:sz w:val="32"/>
          <w:szCs w:val="32"/>
          <w:lang w:val="en-US" w:eastAsia="zh-CN"/>
        </w:rPr>
        <w:t>250.01</w:t>
      </w:r>
      <w:r>
        <w:rPr>
          <w:rFonts w:hint="eastAsia" w:ascii="Times New Roman" w:hAnsi="Times New Roman" w:eastAsia="仿宋_GB2312"/>
          <w:color w:val="auto"/>
          <w:sz w:val="32"/>
          <w:szCs w:val="32"/>
        </w:rPr>
        <w:t>万元的非税收入任务但实际并未完成。</w:t>
      </w:r>
    </w:p>
    <w:p w14:paraId="2A392B4D">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、社会保障和就业支出（类）社会福利（款）其他社会福利支出（项）。</w:t>
      </w:r>
    </w:p>
    <w:p w14:paraId="4584277F">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0.16</w:t>
      </w:r>
      <w:r>
        <w:rPr>
          <w:rFonts w:hint="eastAsia" w:ascii="Times New Roman" w:hAnsi="Times New Roman" w:eastAsia="仿宋_GB2312"/>
          <w:color w:val="auto"/>
          <w:sz w:val="32"/>
          <w:szCs w:val="32"/>
        </w:rPr>
        <w:t>万元，决算数大于预算数的主要原因是年中追加了该项经费。</w:t>
      </w:r>
    </w:p>
    <w:p w14:paraId="04D18FBE">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、社会保障和就业支出（类）最低生活保障（款）城市最低生活保障金支出（项）。</w:t>
      </w:r>
    </w:p>
    <w:p w14:paraId="2AFB0DE9">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w:t>
      </w:r>
      <w:r>
        <w:rPr>
          <w:rFonts w:hint="eastAsia" w:ascii="Times New Roman" w:hAnsi="Times New Roman" w:eastAsia="仿宋_GB2312"/>
          <w:color w:val="auto"/>
          <w:sz w:val="32"/>
          <w:szCs w:val="32"/>
          <w:lang w:val="en-US" w:eastAsia="zh-CN"/>
        </w:rPr>
        <w:t>60</w:t>
      </w:r>
      <w:r>
        <w:rPr>
          <w:rFonts w:hint="eastAsia" w:ascii="Times New Roman" w:hAnsi="Times New Roman" w:eastAsia="仿宋_GB2312"/>
          <w:color w:val="auto"/>
          <w:sz w:val="32"/>
          <w:szCs w:val="32"/>
        </w:rPr>
        <w:t>万元，决算数大于预算数的主要原因是该经费未纳入财政年初预算。</w:t>
      </w:r>
    </w:p>
    <w:p w14:paraId="33664903">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、卫生健康支出（类）行政事业单位医疗（款）事业单位医疗（项）。</w:t>
      </w:r>
    </w:p>
    <w:p w14:paraId="6E9F7AD6">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25.03</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25.03</w:t>
      </w:r>
      <w:r>
        <w:rPr>
          <w:rFonts w:hint="eastAsia" w:ascii="Times New Roman" w:hAnsi="Times New Roman" w:eastAsia="仿宋_GB2312"/>
          <w:color w:val="auto"/>
          <w:sz w:val="32"/>
          <w:szCs w:val="32"/>
        </w:rPr>
        <w:t>万元，完成年初预算的100%，决算数与预算数一致，我单位严格按预算执行决算。</w:t>
      </w:r>
    </w:p>
    <w:p w14:paraId="75F55786">
      <w:pPr>
        <w:pStyle w:val="13"/>
        <w:ind w:firstLine="800" w:firstLineChars="25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6、住房保障支出</w:t>
      </w:r>
      <w:r>
        <w:rPr>
          <w:rFonts w:hint="eastAsia" w:ascii="Times New Roman" w:hAnsi="Times New Roman" w:eastAsia="仿宋_GB2312"/>
          <w:color w:val="auto"/>
          <w:sz w:val="32"/>
          <w:szCs w:val="32"/>
        </w:rPr>
        <w:t>（类）住房改革支出（款） 住房公积金（项）</w:t>
      </w:r>
    </w:p>
    <w:p w14:paraId="0077D90F">
      <w:pPr>
        <w:pStyle w:val="13"/>
        <w:ind w:firstLine="800" w:firstLineChars="25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47.62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47.62</w:t>
      </w:r>
      <w:r>
        <w:rPr>
          <w:rFonts w:hint="eastAsia" w:ascii="Times New Roman" w:hAnsi="Times New Roman" w:eastAsia="仿宋_GB2312"/>
          <w:color w:val="auto"/>
          <w:sz w:val="32"/>
          <w:szCs w:val="32"/>
        </w:rPr>
        <w:t>万元，完成年初预算的100%，决算数与预算数一致，我单位严格按预算执行决算。</w:t>
      </w:r>
    </w:p>
    <w:p w14:paraId="6EB3B783">
      <w:pPr>
        <w:pStyle w:val="13"/>
        <w:numPr>
          <w:ilvl w:val="0"/>
          <w:numId w:val="3"/>
        </w:numPr>
        <w:ind w:firstLine="800" w:firstLineChars="25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社会保障和就业支出（类）抚恤（款）其他优抚支出（项）。</w:t>
      </w:r>
    </w:p>
    <w:p w14:paraId="5C67D0E5">
      <w:pPr>
        <w:pStyle w:val="13"/>
        <w:ind w:firstLine="800" w:firstLineChars="25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3.64</w:t>
      </w:r>
      <w:r>
        <w:rPr>
          <w:rFonts w:hint="eastAsia" w:ascii="Times New Roman" w:hAnsi="Times New Roman" w:eastAsia="仿宋_GB2312"/>
          <w:color w:val="auto"/>
          <w:sz w:val="32"/>
          <w:szCs w:val="32"/>
        </w:rPr>
        <w:t>万元，决算数大于预算数的主要原因是年中追加了该项经费。</w:t>
      </w:r>
    </w:p>
    <w:p w14:paraId="06DDA4CC">
      <w:pPr>
        <w:pStyle w:val="13"/>
        <w:numPr>
          <w:ilvl w:val="0"/>
          <w:numId w:val="3"/>
        </w:numPr>
        <w:ind w:firstLine="800" w:firstLineChars="25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社会保障和就业支出（类）其他社会保障和就业支出（款）其他社会保障和就业支出（项）。</w:t>
      </w:r>
    </w:p>
    <w:p w14:paraId="55900DB0">
      <w:pPr>
        <w:pStyle w:val="13"/>
        <w:ind w:firstLine="800" w:firstLineChars="25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1.46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1.46</w:t>
      </w:r>
      <w:r>
        <w:rPr>
          <w:rFonts w:hint="eastAsia" w:ascii="Times New Roman" w:hAnsi="Times New Roman" w:eastAsia="仿宋_GB2312"/>
          <w:color w:val="auto"/>
          <w:sz w:val="32"/>
          <w:szCs w:val="32"/>
        </w:rPr>
        <w:t>万元，完成年初预算的100%，决算数与预算数一致，我单位严格按预算执行决算。</w:t>
      </w:r>
    </w:p>
    <w:p w14:paraId="1F98E30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237C9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年度财政拨款基本支出1062.1万元，其中：</w:t>
      </w:r>
    </w:p>
    <w:p w14:paraId="58D01BD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971.55万元，占基本支出的</w:t>
      </w:r>
      <w:r>
        <w:rPr>
          <w:rFonts w:hint="eastAsia" w:ascii="仿宋_GB2312" w:hAnsi="仿宋_GB2312" w:eastAsia="仿宋_GB2312" w:cs="仿宋_GB2312"/>
          <w:sz w:val="32"/>
          <w:szCs w:val="32"/>
          <w:lang w:val="en-US" w:eastAsia="zh-CN"/>
        </w:rPr>
        <w:t>91.47</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imes New Roman" w:hAnsi="Times New Roman" w:eastAsia="仿宋_GB2312"/>
          <w:sz w:val="32"/>
          <w:szCs w:val="32"/>
          <w:lang w:eastAsia="zh-CN"/>
        </w:rPr>
        <w:t>。</w:t>
      </w:r>
    </w:p>
    <w:p w14:paraId="7457608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90.55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8.53</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w:t>
      </w:r>
      <w:r>
        <w:rPr>
          <w:rFonts w:hint="eastAsia" w:ascii="Times New Roman" w:hAnsi="Times New Roman" w:eastAsia="仿宋_GB2312"/>
          <w:sz w:val="32"/>
          <w:szCs w:val="32"/>
          <w:lang w:val="zh-CN"/>
        </w:rPr>
        <w:t>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14:paraId="3158001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05FF4005">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14:paraId="1C7B70E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eastAsia="zh-CN"/>
        </w:rPr>
        <w:t>其他支出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福彩公益金安排的支出</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用于社会福利的彩票公益金支出</w:t>
      </w:r>
      <w:r>
        <w:rPr>
          <w:rFonts w:hint="eastAsia" w:ascii="Times New Roman" w:hAnsi="Times New Roman" w:eastAsia="仿宋_GB2312"/>
          <w:sz w:val="32"/>
          <w:szCs w:val="32"/>
        </w:rPr>
        <w:t>（项）。</w:t>
      </w:r>
    </w:p>
    <w:p w14:paraId="000DD30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150</w:t>
      </w:r>
      <w:r>
        <w:rPr>
          <w:rFonts w:hint="eastAsia" w:ascii="Times New Roman" w:hAnsi="Times New Roman" w:eastAsia="仿宋_GB2312"/>
          <w:sz w:val="32"/>
          <w:szCs w:val="32"/>
        </w:rPr>
        <w:t>万元，决算数大于年初预算数的主要原因是年中追加了该项经费</w:t>
      </w:r>
      <w:r>
        <w:rPr>
          <w:rFonts w:hint="eastAsia" w:ascii="Times New Roman" w:hAnsi="Times New Roman" w:eastAsia="仿宋_GB2312"/>
          <w:sz w:val="32"/>
          <w:szCs w:val="32"/>
          <w:lang w:eastAsia="zh-CN"/>
        </w:rPr>
        <w:t>。</w:t>
      </w:r>
    </w:p>
    <w:p w14:paraId="07EADA4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A12FB4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2023年度国有资本经营预算财政拨款收入0万元；年初结转和结余0万；支出0万元，其中：基本支出0万元，项目支出0万元；年末结转和结余0万元。</w:t>
      </w:r>
    </w:p>
    <w:p w14:paraId="7B2F331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23CFAA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82D992D">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2023年度“三公”经费财政拨款支出预算为0.2万元，支出决算为0.2万元，完成预算的100％，决算数等于预算数的主要原因是严格按预算执行决算。其中：</w:t>
      </w:r>
    </w:p>
    <w:p w14:paraId="584A9AF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782401DD">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公务接待费支出预算为0.2万元，支出决算为0.2万元，完成预算的100％，决算数等于预算数，主要原因是严格按预算执行决算，按有关政策厉行节约，严控公务接待支出。 </w:t>
      </w:r>
    </w:p>
    <w:p w14:paraId="73B9C2D3">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公务用车购置费支出预算为0万元，支出决算为0万元，决算数等于预算数，主要原因是我单位严格按预算执行决算；与上年一致，无增减变动，主要原因是两年均未购置公务用车。  </w:t>
      </w:r>
    </w:p>
    <w:p w14:paraId="58BFAB1A">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公务用车运行维护费支出预算为0万元，支出决算为0万元，决算数等于预算数，主要原因是我单位严格按预算执行决算；与上年一致，无增减变动，主要原因是两年均无公务用车需要运行维护。</w:t>
      </w:r>
      <w:r>
        <w:rPr>
          <w:rFonts w:hint="eastAsia" w:ascii="仿宋_GB2312" w:hAnsi="仿宋_GB2312" w:eastAsia="仿宋_GB2312" w:cs="仿宋_GB2312"/>
          <w:b w:val="0"/>
          <w:bCs/>
          <w:color w:val="FF0000"/>
          <w:kern w:val="0"/>
          <w:sz w:val="32"/>
          <w:szCs w:val="32"/>
          <w:lang w:val="en-US" w:eastAsia="zh-CN" w:bidi="ar-SA"/>
        </w:rPr>
        <w:t xml:space="preserve"> </w:t>
      </w:r>
    </w:p>
    <w:p w14:paraId="1854FA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48747D9">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2023年度“三公”经费财政拨款支出决算中，公务接待费支出决算0.2万元，占“三公”经费财政拨款支出决算的100％，因公出国（境）费支出决算0万元，公务用车购置费及运行维护费支出决算0万元。其中：</w:t>
      </w:r>
      <w:r>
        <w:rPr>
          <w:rFonts w:hint="eastAsia" w:ascii="仿宋_GB2312" w:hAnsi="仿宋_GB2312" w:eastAsia="仿宋_GB2312" w:cs="仿宋_GB2312"/>
          <w:b w:val="0"/>
          <w:bCs/>
          <w:color w:val="FF0000"/>
          <w:kern w:val="0"/>
          <w:sz w:val="32"/>
          <w:szCs w:val="32"/>
          <w:lang w:val="en-US" w:eastAsia="zh-CN" w:bidi="ar-SA"/>
        </w:rPr>
        <w:t xml:space="preserve">  </w:t>
      </w:r>
    </w:p>
    <w:p w14:paraId="32D30D28">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因公出国（境）费支出决算为0万元，全年安排因公出国（境）团组0个，累计0人次，我单位2023年度无因公出国（境）费支出。  </w:t>
      </w:r>
    </w:p>
    <w:p w14:paraId="7A87E15E">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 xml:space="preserve">公务接待费支出决算为0.2万元，全年共接待来访团组2个、来宾19人次。  </w:t>
      </w:r>
    </w:p>
    <w:p w14:paraId="37FBF4FD">
      <w:pPr>
        <w:keepNext w:val="0"/>
        <w:keepLines w:val="0"/>
        <w:pageBreakBefore w:val="0"/>
        <w:widowControl w:val="0"/>
        <w:numPr>
          <w:ilvl w:val="0"/>
          <w:numId w:val="4"/>
        </w:numPr>
        <w:kinsoku/>
        <w:wordWrap/>
        <w:overflowPunct/>
        <w:topLinePunct w:val="0"/>
        <w:autoSpaceDE w:val="0"/>
        <w:autoSpaceDN w:val="0"/>
        <w:bidi w:val="0"/>
        <w:adjustRightInd w:val="0"/>
        <w:snapToGrid/>
        <w:spacing w:line="600" w:lineRule="exact"/>
        <w:ind w:left="-10" w:leftChars="0" w:firstLine="640" w:firstLineChars="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b w:val="0"/>
          <w:bCs/>
          <w:color w:val="auto"/>
          <w:kern w:val="0"/>
          <w:sz w:val="32"/>
          <w:szCs w:val="32"/>
          <w:lang w:val="en-US" w:eastAsia="zh-CN" w:bidi="ar-SA"/>
        </w:rPr>
        <w:t>公务用车购置费及运行维护费支出决算为0万元，其中：公务用车购置费0万元，当年没有购置公务用车。公务用车运行维护费0万元，截至2023年12月31日，我单位开支财政拨款的公务用车保有量为0辆。</w:t>
      </w:r>
    </w:p>
    <w:p w14:paraId="5DDFD92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4A15355C">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b w:val="0"/>
          <w:bCs/>
          <w:color w:val="000000"/>
          <w:sz w:val="32"/>
          <w:szCs w:val="32"/>
          <w:lang w:val="en-US" w:eastAsia="zh-CN"/>
        </w:rPr>
        <w:t>本单位为事业单位，按照机关运行经费的口径，本年度机关运行经费为0</w:t>
      </w:r>
      <w:r>
        <w:rPr>
          <w:rFonts w:hint="eastAsia" w:ascii="楷体" w:hAnsi="楷体" w:eastAsia="楷体" w:cs="楷体"/>
          <w:sz w:val="32"/>
          <w:szCs w:val="32"/>
        </w:rPr>
        <w:t>。</w:t>
      </w:r>
    </w:p>
    <w:p w14:paraId="4ABA2592">
      <w:pPr>
        <w:pStyle w:val="13"/>
        <w:keepNext w:val="0"/>
        <w:keepLines w:val="0"/>
        <w:pageBreakBefore w:val="0"/>
        <w:widowControl w:val="0"/>
        <w:tabs>
          <w:tab w:val="left" w:pos="7840"/>
        </w:tabs>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lang w:eastAsia="zh-CN"/>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r>
        <w:rPr>
          <w:rFonts w:hint="eastAsia" w:hAnsi="黑体" w:cs="黑体"/>
          <w:b w:val="0"/>
          <w:bCs/>
          <w:sz w:val="32"/>
          <w:szCs w:val="32"/>
          <w:lang w:eastAsia="zh-CN"/>
        </w:rPr>
        <w:tab/>
      </w:r>
    </w:p>
    <w:p w14:paraId="6838C739">
      <w:pPr>
        <w:pStyle w:val="13"/>
        <w:ind w:firstLine="640" w:firstLineChars="200"/>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本单位无会议费的预算和支出决算数；本单位无培训费的预算和支出决算数；本单位无举办节庆、晚会、论坛、赛事等活动的预算和支出决算数。</w:t>
      </w:r>
    </w:p>
    <w:p w14:paraId="54810CD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FCEF28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万元，无法计算占授予中小企业合同金额</w:t>
      </w:r>
      <w:r>
        <w:rPr>
          <w:rFonts w:hint="eastAsia" w:ascii="Times New Roman" w:hAnsi="Times New Roman" w:eastAsia="仿宋_GB2312"/>
          <w:sz w:val="32"/>
          <w:szCs w:val="32"/>
          <w:lang w:val="en-US" w:eastAsia="zh-CN"/>
        </w:rPr>
        <w:t>的比重</w:t>
      </w:r>
      <w:r>
        <w:rPr>
          <w:rFonts w:hint="eastAsia" w:ascii="Times New Roman" w:hAnsi="Times New Roman" w:eastAsia="仿宋_GB2312"/>
          <w:sz w:val="32"/>
          <w:szCs w:val="32"/>
        </w:rPr>
        <w:t>。货物采购授予中小企业合同金额</w:t>
      </w:r>
      <w:r>
        <w:rPr>
          <w:rFonts w:hint="eastAsia" w:ascii="Times New Roman" w:hAnsi="Times New Roman" w:eastAsia="仿宋_GB2312"/>
          <w:sz w:val="32"/>
          <w:szCs w:val="32"/>
          <w:lang w:val="en-US" w:eastAsia="zh-CN"/>
        </w:rPr>
        <w:t>0万元，无法计算</w:t>
      </w:r>
      <w:r>
        <w:rPr>
          <w:rFonts w:hint="eastAsia" w:ascii="Times New Roman" w:hAnsi="Times New Roman" w:eastAsia="仿宋_GB2312"/>
          <w:sz w:val="32"/>
          <w:szCs w:val="32"/>
        </w:rPr>
        <w:t>占货物支出金额的</w:t>
      </w:r>
      <w:r>
        <w:rPr>
          <w:rFonts w:hint="eastAsia" w:ascii="Times New Roman" w:hAnsi="Times New Roman" w:eastAsia="仿宋_GB2312"/>
          <w:sz w:val="32"/>
          <w:szCs w:val="32"/>
          <w:lang w:val="en-US" w:eastAsia="zh-CN"/>
        </w:rPr>
        <w:t>比重</w:t>
      </w:r>
      <w:r>
        <w:rPr>
          <w:rFonts w:hint="eastAsia" w:ascii="Times New Roman" w:hAnsi="Times New Roman" w:eastAsia="仿宋_GB2312"/>
          <w:sz w:val="32"/>
          <w:szCs w:val="32"/>
        </w:rPr>
        <w:t>，工程采购授予中小企业合同金额</w:t>
      </w:r>
      <w:r>
        <w:rPr>
          <w:rFonts w:hint="eastAsia" w:ascii="Times New Roman" w:hAnsi="Times New Roman" w:eastAsia="仿宋_GB2312"/>
          <w:sz w:val="32"/>
          <w:szCs w:val="32"/>
          <w:lang w:val="en-US" w:eastAsia="zh-CN"/>
        </w:rPr>
        <w:t>0万元，无法计算占货物支出金额的比重</w:t>
      </w:r>
      <w:r>
        <w:rPr>
          <w:rFonts w:hint="eastAsia" w:ascii="Times New Roman" w:hAnsi="Times New Roman" w:eastAsia="仿宋_GB2312"/>
          <w:sz w:val="32"/>
          <w:szCs w:val="32"/>
        </w:rPr>
        <w:t>，服务采购授予中小企业合同金额</w:t>
      </w:r>
      <w:r>
        <w:rPr>
          <w:rFonts w:hint="eastAsia" w:ascii="Times New Roman" w:hAnsi="Times New Roman" w:eastAsia="仿宋_GB2312"/>
          <w:sz w:val="32"/>
          <w:szCs w:val="32"/>
          <w:lang w:val="en-US" w:eastAsia="zh-CN"/>
        </w:rPr>
        <w:t>0万元，无法计算</w:t>
      </w:r>
      <w:r>
        <w:rPr>
          <w:rFonts w:hint="eastAsia" w:ascii="Times New Roman" w:hAnsi="Times New Roman" w:eastAsia="仿宋_GB2312"/>
          <w:sz w:val="32"/>
          <w:szCs w:val="32"/>
        </w:rPr>
        <w:t>占服务支出金额的</w:t>
      </w:r>
      <w:r>
        <w:rPr>
          <w:rFonts w:hint="eastAsia" w:ascii="Times New Roman" w:hAnsi="Times New Roman" w:eastAsia="仿宋_GB2312"/>
          <w:sz w:val="32"/>
          <w:szCs w:val="32"/>
          <w:lang w:val="en-US" w:eastAsia="zh-CN"/>
        </w:rPr>
        <w:t>比重</w:t>
      </w:r>
      <w:r>
        <w:rPr>
          <w:rFonts w:hint="eastAsia" w:ascii="Times New Roman" w:hAnsi="Times New Roman" w:eastAsia="仿宋_GB2312"/>
          <w:sz w:val="32"/>
          <w:szCs w:val="32"/>
        </w:rPr>
        <w:t>。</w:t>
      </w:r>
    </w:p>
    <w:p w14:paraId="23CEE70B">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5B0524B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w:t>
      </w:r>
    </w:p>
    <w:p w14:paraId="077CB6D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5E0B0CA">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F2643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342C9F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1592.53万元，政府性基金预算支出150万元，国有资本经营预算支出0万元。从评价情况来看，整体支出绩效评价中，2023年整体支出1924.33万元，其中：基本支出1243.78万元，项目支出680.55万元，本单位整体支出绩效自评综合评分95分，评价结果等次为优秀。</w:t>
      </w:r>
    </w:p>
    <w:p w14:paraId="2E25819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381.14万元，占一般公共预算项目支出总额的71.85%。组织对政府性基金预算项目支出开展绩效自评，项目0个，共涉及资金0万元，无法计算占政府性基金预算项目支出总额的比重。组织对国有资本经营预算项目支出开展绩效自评，项目0个，共涉及资金0万元，无法计算占国有资本经营预算项目支出总额的比重。从评价情况来看，项目绩效自评得分97分，评价结果等次为优秀。</w:t>
      </w:r>
    </w:p>
    <w:p w14:paraId="4A3A7A8E">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0CD890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根根据年初设定的绩效目标，绩效自评得分为95分。全年预算数为1987.43万元，执行数为1924.32万元，完成预算的</w:t>
      </w:r>
      <w:r>
        <w:rPr>
          <w:rFonts w:hint="eastAsia" w:ascii="仿宋_GB2312" w:hAnsi="仿宋_GB2312" w:eastAsia="仿宋_GB2312" w:cs="仿宋_GB2312"/>
          <w:b w:val="0"/>
          <w:bCs w:val="0"/>
          <w:sz w:val="32"/>
          <w:szCs w:val="32"/>
          <w:lang w:val="en-US" w:eastAsia="zh"/>
          <w:woUserID w:val="1"/>
        </w:rPr>
        <w:t>96.82</w:t>
      </w:r>
      <w:r>
        <w:rPr>
          <w:rFonts w:hint="eastAsia" w:ascii="仿宋_GB2312" w:hAnsi="仿宋_GB2312" w:eastAsia="仿宋_GB2312" w:cs="仿宋_GB2312"/>
          <w:b w:val="0"/>
          <w:bCs w:val="0"/>
          <w:sz w:val="32"/>
          <w:szCs w:val="32"/>
          <w:lang w:val="en-US" w:eastAsia="zh-CN"/>
        </w:rPr>
        <w:t>%。绩效目标完成情况：一是增加基础设施设备，改善养老环境，医养康模式运行；二是增加了医疗、康复、教育和娱乐服务等项目。</w:t>
      </w:r>
    </w:p>
    <w:p w14:paraId="598E9A7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99E597C">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存在的主要问题及原因：一是疫情影响，寄养人员入住率未达标准；二是人员编制不足。下一步改进措施：一是要加强宣传引；二是加强人员培训，提高整体素质。</w:t>
      </w:r>
    </w:p>
    <w:p w14:paraId="0ACE8D54">
      <w:pPr>
        <w:autoSpaceDE w:val="0"/>
        <w:autoSpaceDN w:val="0"/>
        <w:adjustRightInd w:val="0"/>
        <w:ind w:firstLine="640" w:firstLineChars="200"/>
        <w:jc w:val="left"/>
        <w:rPr>
          <w:rFonts w:hint="eastAsia"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0207B4F9">
      <w:pPr>
        <w:pStyle w:val="13"/>
        <w:jc w:val="both"/>
        <w:rPr>
          <w:sz w:val="72"/>
          <w:szCs w:val="72"/>
        </w:rPr>
      </w:pPr>
    </w:p>
    <w:p w14:paraId="4635B808">
      <w:pPr>
        <w:pStyle w:val="13"/>
        <w:jc w:val="center"/>
        <w:rPr>
          <w:sz w:val="72"/>
          <w:szCs w:val="72"/>
        </w:rPr>
      </w:pPr>
    </w:p>
    <w:p w14:paraId="26DD77BD">
      <w:pPr>
        <w:pStyle w:val="13"/>
        <w:jc w:val="center"/>
        <w:rPr>
          <w:rFonts w:hint="eastAsia" w:ascii="方正小标宋_GBK" w:hAnsi="方正小标宋_GBK" w:eastAsia="方正小标宋_GBK" w:cs="方正小标宋_GBK"/>
          <w:sz w:val="70"/>
          <w:szCs w:val="70"/>
          <w:lang w:eastAsia="zh-CN"/>
        </w:rPr>
      </w:pPr>
    </w:p>
    <w:p w14:paraId="62B2D918">
      <w:pPr>
        <w:pStyle w:val="13"/>
        <w:jc w:val="center"/>
        <w:rPr>
          <w:rFonts w:hint="eastAsia" w:ascii="方正小标宋_GBK" w:hAnsi="方正小标宋_GBK" w:eastAsia="方正小标宋_GBK" w:cs="方正小标宋_GBK"/>
          <w:sz w:val="70"/>
          <w:szCs w:val="70"/>
          <w:lang w:eastAsia="zh-CN"/>
        </w:rPr>
      </w:pPr>
    </w:p>
    <w:p w14:paraId="26297BB0">
      <w:pPr>
        <w:pStyle w:val="13"/>
        <w:jc w:val="center"/>
        <w:rPr>
          <w:rFonts w:hint="eastAsia" w:ascii="方正小标宋_GBK" w:hAnsi="方正小标宋_GBK" w:eastAsia="方正小标宋_GBK" w:cs="方正小标宋_GBK"/>
          <w:sz w:val="72"/>
          <w:szCs w:val="72"/>
        </w:rPr>
      </w:pPr>
    </w:p>
    <w:p w14:paraId="48415644">
      <w:pPr>
        <w:pStyle w:val="13"/>
        <w:jc w:val="center"/>
        <w:rPr>
          <w:rFonts w:hint="eastAsia" w:ascii="方正小标宋_GBK" w:hAnsi="方正小标宋_GBK" w:eastAsia="方正小标宋_GBK" w:cs="方正小标宋_GBK"/>
          <w:sz w:val="72"/>
          <w:szCs w:val="72"/>
        </w:rPr>
      </w:pPr>
    </w:p>
    <w:p w14:paraId="01390132">
      <w:pPr>
        <w:pStyle w:val="13"/>
        <w:jc w:val="both"/>
        <w:rPr>
          <w:rFonts w:hint="eastAsia" w:ascii="方正小标宋_GBK" w:hAnsi="方正小标宋_GBK" w:eastAsia="方正小标宋_GBK" w:cs="方正小标宋_GBK"/>
          <w:sz w:val="72"/>
          <w:szCs w:val="72"/>
        </w:rPr>
      </w:pPr>
    </w:p>
    <w:p w14:paraId="0F8CEE21">
      <w:pPr>
        <w:pStyle w:val="13"/>
        <w:jc w:val="both"/>
        <w:rPr>
          <w:rFonts w:hint="eastAsia" w:ascii="方正小标宋_GBK" w:hAnsi="方正小标宋_GBK" w:eastAsia="方正小标宋_GBK" w:cs="方正小标宋_GBK"/>
          <w:sz w:val="72"/>
          <w:szCs w:val="72"/>
        </w:rPr>
      </w:pPr>
    </w:p>
    <w:p w14:paraId="60E3DDD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7D779E96">
      <w:pPr>
        <w:jc w:val="center"/>
        <w:rPr>
          <w:rFonts w:hint="eastAsia" w:ascii="方正小标宋_GBK" w:hAnsi="方正小标宋_GBK" w:eastAsia="方正小标宋_GBK" w:cs="方正小标宋_GBK"/>
          <w:color w:val="000000"/>
          <w:kern w:val="0"/>
          <w:sz w:val="70"/>
          <w:szCs w:val="70"/>
        </w:rPr>
      </w:pPr>
    </w:p>
    <w:p w14:paraId="2D2CA757">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A499183">
      <w:pPr>
        <w:pStyle w:val="7"/>
      </w:pPr>
    </w:p>
    <w:p w14:paraId="2AF8AA9C">
      <w:pPr>
        <w:pStyle w:val="3"/>
      </w:pPr>
    </w:p>
    <w:p w14:paraId="189DEC51"/>
    <w:p w14:paraId="3CD490AE">
      <w:pPr>
        <w:pStyle w:val="7"/>
      </w:pPr>
    </w:p>
    <w:p w14:paraId="7CBFB1AB">
      <w:pPr>
        <w:pStyle w:val="3"/>
      </w:pPr>
    </w:p>
    <w:p w14:paraId="14D2738C"/>
    <w:p w14:paraId="2E720AD7">
      <w:pPr>
        <w:pStyle w:val="7"/>
      </w:pPr>
    </w:p>
    <w:p w14:paraId="13464C39">
      <w:pPr>
        <w:pStyle w:val="3"/>
      </w:pPr>
    </w:p>
    <w:p w14:paraId="6EA6F94A"/>
    <w:p w14:paraId="68A28173">
      <w:pPr>
        <w:pStyle w:val="7"/>
      </w:pPr>
    </w:p>
    <w:p w14:paraId="2A582978">
      <w:pPr>
        <w:pStyle w:val="3"/>
      </w:pPr>
    </w:p>
    <w:p w14:paraId="679A0085"/>
    <w:p w14:paraId="1090A952">
      <w:pPr>
        <w:pStyle w:val="7"/>
      </w:pPr>
    </w:p>
    <w:p w14:paraId="192A2ED8">
      <w:pPr>
        <w:pStyle w:val="3"/>
      </w:pPr>
    </w:p>
    <w:p w14:paraId="1EF0D412"/>
    <w:p w14:paraId="79634F5C">
      <w:pPr>
        <w:pStyle w:val="7"/>
      </w:pPr>
    </w:p>
    <w:p w14:paraId="28516635">
      <w:pPr>
        <w:pStyle w:val="3"/>
      </w:pPr>
    </w:p>
    <w:p w14:paraId="2098719A"/>
    <w:p w14:paraId="59DF2F45">
      <w:pPr>
        <w:pStyle w:val="7"/>
      </w:pPr>
    </w:p>
    <w:p w14:paraId="0C3743E7">
      <w:pPr>
        <w:pStyle w:val="3"/>
      </w:pPr>
    </w:p>
    <w:p w14:paraId="7C3F1439"/>
    <w:p w14:paraId="7B08E29A">
      <w:pPr>
        <w:pStyle w:val="7"/>
      </w:pPr>
    </w:p>
    <w:p w14:paraId="19C91D70">
      <w:pPr>
        <w:pStyle w:val="3"/>
      </w:pPr>
    </w:p>
    <w:p w14:paraId="65F1FD6E"/>
    <w:p w14:paraId="39DED9CE">
      <w:pPr>
        <w:pStyle w:val="7"/>
      </w:pPr>
    </w:p>
    <w:p w14:paraId="75AF579A">
      <w:pPr>
        <w:pStyle w:val="3"/>
      </w:pPr>
    </w:p>
    <w:p w14:paraId="59C6249D"/>
    <w:p w14:paraId="73D836FE">
      <w:pPr>
        <w:pStyle w:val="7"/>
      </w:pPr>
    </w:p>
    <w:p w14:paraId="5F566258">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71A90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14:paraId="07D1B2C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三、财政拨款收入：指本级财政当年拨付的资金。</w:t>
      </w:r>
    </w:p>
    <w:p w14:paraId="1F48E86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四、政府性基金预算财政拨款收入：指本级财政当年拨付的政府性基金预算资金。</w:t>
      </w:r>
    </w:p>
    <w:p w14:paraId="52418B0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五、其他收入：指除上述“财政拨款收入”、“上级补助收入”、“事业收入”、“经营收入”、“附属单位上缴收入”等以外的收入。</w:t>
      </w:r>
    </w:p>
    <w:p w14:paraId="6A2B66F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六、上年结转和结余：指以前年度尚未完成、结转到本年按有关规定继续使用的资金。</w:t>
      </w:r>
    </w:p>
    <w:p w14:paraId="5403D09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七、年末结转和结余资金：指本年度或以前年度预算安排、因客观条件发生变化无法按原计划实施，需要延迟到以后年度按有关规定继续使用的资金。</w:t>
      </w:r>
    </w:p>
    <w:p w14:paraId="2C9A231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C2994E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九、卫生健康支出（类）：是指用于医疗卫生与计划生育方面的支出，包括保障机构正常运转、完成日常和特定的工作任务或事业发展目标的支出。</w:t>
      </w:r>
    </w:p>
    <w:p w14:paraId="456AD88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十、其他支出（类）：是指用于反映除上述项目以外其他不能划分到具体功能科目中的支出项目，包括保障机构正常运转、完成日常和特定的工作任务或事业发展目标的支出。</w:t>
      </w:r>
    </w:p>
    <w:p w14:paraId="6625F8B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十一、基本支出：指保障机构正常运转、完成支日常工作任务而发生的人员支出和公用支出。</w:t>
      </w:r>
    </w:p>
    <w:p w14:paraId="47E1B49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十二、项目支出：指在基本支出之外为完成特定行政任务和事业发展目标所发生的支出。</w:t>
      </w:r>
    </w:p>
    <w:p w14:paraId="29ED48B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十三、工资福利支出：反映单位开支的在职职工和编制外长期聘用人员的各类劳动报酬，以及为上述人员缴纳的各项社会保险费等。</w:t>
      </w:r>
    </w:p>
    <w:p w14:paraId="6AF0E50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6FF7714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十五、津贴补贴：反映经国家批准建立的机关事业单位艰苦边远地区津贴、机关工作人员地区附加津贴、机关工作人员岗位津贴、事业单位工作人员特殊岗位津贴补贴等。</w:t>
      </w:r>
    </w:p>
    <w:p w14:paraId="580C843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十六、奖金：反映机关工作人员年终一次性奖金。</w:t>
      </w:r>
    </w:p>
    <w:p w14:paraId="405ED35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十七、绩效工资：反映事业单位工作人员的绩效工资。</w:t>
      </w:r>
    </w:p>
    <w:p w14:paraId="3EC2B52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十八、机关事业单位基本养老保险缴费：反映机关事业单位缴纳的基本养老保险费。由单位代扣的工作人员基本养老保险缴费，不在此科目反映。</w:t>
      </w:r>
    </w:p>
    <w:p w14:paraId="7D9CB6D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十九、职业年金缴费：反映机关事业单位实际缴纳的职业年金支出。由单位代扣的工作人员职业年金缴费，不在此科目反映。</w:t>
      </w:r>
    </w:p>
    <w:p w14:paraId="0D44896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二十、职工基本医疗保险缴费：反映单位为职工缴纳的基本医疗保险费。</w:t>
      </w:r>
    </w:p>
    <w:p w14:paraId="117B379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二十一、其他社会保障缴费：反映单位为职工缴纳的基本医疗、失业、工伤、生育等社会保险费，残疾人就业保障金，军队（含武警）为军人缴纳的伤亡、退役医疗等社会保险费。</w:t>
      </w:r>
    </w:p>
    <w:p w14:paraId="095A62F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二十二、住房公积金：反映行政事业单位按人力资源和社会保障部、财政部规定的基本工资和津贴补贴以及规定比例为职工缴纳的住房公积金。</w:t>
      </w:r>
    </w:p>
    <w:p w14:paraId="025AF13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4EE58D7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二十四、商品和服务支出：反映单位购买商品和服务的支出（不包括用于购置固定资产的支出、战略性和应急储备支出）。</w:t>
      </w:r>
    </w:p>
    <w:p w14:paraId="7800244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二十五、办公费：反映单位购买按财务会计制度规定不符合固定资产确认标准的日常办公用品、书报杂志等支出。</w:t>
      </w:r>
    </w:p>
    <w:p w14:paraId="3EB4E04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二十六、印刷费：反映单位的印刷费支出。</w:t>
      </w:r>
    </w:p>
    <w:p w14:paraId="1453242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二十七、邮电费：反映单位开支的信函、包裹、货物等物品的邮寄费及电话费、电报费、传真费、网络通讯费等。</w:t>
      </w:r>
    </w:p>
    <w:p w14:paraId="100392C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二十八、差旅费：反映单位工作人员出差发生的城市间交通费、住宿费、伙食补贴费和市内交通费。</w:t>
      </w:r>
    </w:p>
    <w:p w14:paraId="16934D3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二十九、培训费：反映除因公出国（境）培训费以外的各类培训支出。</w:t>
      </w:r>
    </w:p>
    <w:p w14:paraId="7684871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三十、工会经费：反映单位按规定提取的工会经费。</w:t>
      </w:r>
    </w:p>
    <w:p w14:paraId="2E9916E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三十一、公务用车运行维护费：反映单位按规定保留的公务用车燃料费、维修费、过桥过路费、保险费、安全奖励费用等支出。</w:t>
      </w:r>
    </w:p>
    <w:p w14:paraId="728E19C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三十二、其他交通费用：反映单位除公务用车运行维护费以外的其他交通费用。如公务交通补贴，租车费用、出租车费用，飞机、船舶等的燃料费、维修费、保险费等。</w:t>
      </w:r>
    </w:p>
    <w:p w14:paraId="5163588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三十三、其他商品和服务支出：反映上述科目未包括的日常公用支出。如行政赔偿费和诉讼费、国内组织的会员费、来访费、广告宣传、其他劳务费及离休人员特需费、公用经费等。</w:t>
      </w:r>
    </w:p>
    <w:p w14:paraId="19E343B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三十四、对个人和家庭的补助：反映政府用于对个人和家庭的补助支出。</w:t>
      </w:r>
    </w:p>
    <w:p w14:paraId="55CC815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三十五、退休费：反映行政事业单位和军队移交政府安置的退休人员的退休费和其他补贴。</w:t>
      </w:r>
    </w:p>
    <w:p w14:paraId="4486E06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三十六、办公设备购置：反映用于购置并按财务会计制度规定纳入固定资产核算范围的办公家具和办公设备的支出，以及按规定提取的修购基金。</w:t>
      </w:r>
    </w:p>
    <w:p w14:paraId="2F03627F">
      <w:pPr>
        <w:pStyle w:val="3"/>
      </w:pPr>
    </w:p>
    <w:p w14:paraId="50F7C9B7"/>
    <w:p w14:paraId="6A569D78">
      <w:pPr>
        <w:pStyle w:val="7"/>
      </w:pPr>
    </w:p>
    <w:p w14:paraId="19A3093B">
      <w:pPr>
        <w:pStyle w:val="3"/>
      </w:pPr>
    </w:p>
    <w:p w14:paraId="66ECF784"/>
    <w:p w14:paraId="4B2FF0D5">
      <w:pPr>
        <w:pStyle w:val="7"/>
      </w:pPr>
    </w:p>
    <w:p w14:paraId="6C6B4965">
      <w:pPr>
        <w:pStyle w:val="3"/>
      </w:pPr>
    </w:p>
    <w:p w14:paraId="386804C4"/>
    <w:p w14:paraId="28942CB3">
      <w:pPr>
        <w:pStyle w:val="7"/>
      </w:pPr>
    </w:p>
    <w:p w14:paraId="09410785">
      <w:pPr>
        <w:pStyle w:val="3"/>
      </w:pPr>
    </w:p>
    <w:p w14:paraId="7BB7C2C4"/>
    <w:p w14:paraId="4B5D9237">
      <w:pPr>
        <w:pStyle w:val="7"/>
      </w:pPr>
    </w:p>
    <w:p w14:paraId="5BEF43CB">
      <w:pPr>
        <w:pStyle w:val="3"/>
      </w:pPr>
    </w:p>
    <w:p w14:paraId="78B667DA"/>
    <w:p w14:paraId="779D2428">
      <w:pPr>
        <w:pStyle w:val="7"/>
      </w:pPr>
    </w:p>
    <w:p w14:paraId="4AD5EF5D">
      <w:pPr>
        <w:pStyle w:val="3"/>
      </w:pPr>
    </w:p>
    <w:p w14:paraId="55938311">
      <w:pPr>
        <w:pStyle w:val="13"/>
        <w:jc w:val="center"/>
        <w:rPr>
          <w:rFonts w:hint="eastAsia" w:ascii="方正小标宋_GBK" w:hAnsi="方正小标宋_GBK" w:eastAsia="方正小标宋_GBK" w:cs="方正小标宋_GBK"/>
          <w:sz w:val="72"/>
          <w:szCs w:val="72"/>
        </w:rPr>
      </w:pPr>
    </w:p>
    <w:p w14:paraId="3CDC33A6">
      <w:pPr>
        <w:pStyle w:val="13"/>
        <w:jc w:val="center"/>
        <w:rPr>
          <w:rFonts w:hint="eastAsia" w:ascii="方正小标宋_GBK" w:hAnsi="方正小标宋_GBK" w:eastAsia="方正小标宋_GBK" w:cs="方正小标宋_GBK"/>
          <w:sz w:val="72"/>
          <w:szCs w:val="72"/>
        </w:rPr>
      </w:pPr>
    </w:p>
    <w:p w14:paraId="5EC97D47">
      <w:pPr>
        <w:pStyle w:val="13"/>
        <w:jc w:val="center"/>
        <w:rPr>
          <w:rFonts w:hint="eastAsia" w:ascii="方正小标宋_GBK" w:hAnsi="方正小标宋_GBK" w:eastAsia="方正小标宋_GBK" w:cs="方正小标宋_GBK"/>
          <w:sz w:val="72"/>
          <w:szCs w:val="72"/>
        </w:rPr>
      </w:pPr>
    </w:p>
    <w:p w14:paraId="08BFE85D">
      <w:pPr>
        <w:pStyle w:val="13"/>
        <w:jc w:val="center"/>
        <w:rPr>
          <w:rFonts w:hint="eastAsia" w:ascii="方正小标宋_GBK" w:hAnsi="方正小标宋_GBK" w:eastAsia="方正小标宋_GBK" w:cs="方正小标宋_GBK"/>
          <w:sz w:val="72"/>
          <w:szCs w:val="72"/>
        </w:rPr>
      </w:pPr>
    </w:p>
    <w:p w14:paraId="0986B16B">
      <w:pPr>
        <w:pStyle w:val="13"/>
        <w:jc w:val="center"/>
        <w:rPr>
          <w:rFonts w:hint="eastAsia" w:ascii="方正小标宋_GBK" w:hAnsi="方正小标宋_GBK" w:eastAsia="方正小标宋_GBK" w:cs="方正小标宋_GBK"/>
          <w:sz w:val="72"/>
          <w:szCs w:val="72"/>
        </w:rPr>
      </w:pPr>
    </w:p>
    <w:p w14:paraId="6EA58881">
      <w:pPr>
        <w:pStyle w:val="13"/>
        <w:jc w:val="center"/>
        <w:rPr>
          <w:rFonts w:hint="eastAsia" w:ascii="方正小标宋_GBK" w:hAnsi="方正小标宋_GBK" w:eastAsia="方正小标宋_GBK" w:cs="方正小标宋_GBK"/>
          <w:sz w:val="72"/>
          <w:szCs w:val="72"/>
        </w:rPr>
      </w:pPr>
    </w:p>
    <w:p w14:paraId="6915190A">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7332BB60">
      <w:pPr>
        <w:pStyle w:val="13"/>
        <w:jc w:val="both"/>
        <w:rPr>
          <w:rFonts w:hint="eastAsia" w:ascii="方正小标宋_GBK" w:hAnsi="方正小标宋_GBK" w:eastAsia="方正小标宋_GBK" w:cs="方正小标宋_GBK"/>
          <w:sz w:val="70"/>
          <w:szCs w:val="70"/>
          <w:lang w:eastAsia="zh-CN"/>
        </w:rPr>
      </w:pPr>
    </w:p>
    <w:p w14:paraId="0D63F57B">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F64A07D">
      <w:pPr>
        <w:ind w:firstLine="640" w:firstLineChars="200"/>
        <w:jc w:val="left"/>
        <w:rPr>
          <w:rFonts w:hint="eastAsia" w:ascii="宋体" w:hAnsi="宋体" w:eastAsia="宋体" w:cs="黑体"/>
          <w:b/>
          <w:color w:val="000000"/>
          <w:kern w:val="0"/>
          <w:sz w:val="32"/>
          <w:szCs w:val="32"/>
          <w:lang w:val="en-US" w:eastAsia="zh-CN"/>
        </w:rPr>
      </w:pPr>
    </w:p>
    <w:p w14:paraId="3629D483">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280515D4">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77DBE8B7"/>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374155"/>
    <w:multiLevelType w:val="singleLevel"/>
    <w:tmpl w:val="CE374155"/>
    <w:lvl w:ilvl="0" w:tentative="0">
      <w:start w:val="1"/>
      <w:numFmt w:val="decimal"/>
      <w:suff w:val="nothing"/>
      <w:lvlText w:val="%1、"/>
      <w:lvlJc w:val="left"/>
      <w:pPr>
        <w:ind w:left="-10"/>
      </w:pPr>
      <w:rPr>
        <w:rFonts w:hint="default"/>
        <w:color w:val="auto"/>
      </w:rPr>
    </w:lvl>
  </w:abstractNum>
  <w:abstractNum w:abstractNumId="1">
    <w:nsid w:val="FDBBF8E9"/>
    <w:multiLevelType w:val="singleLevel"/>
    <w:tmpl w:val="FDBBF8E9"/>
    <w:lvl w:ilvl="0" w:tentative="0">
      <w:start w:val="7"/>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75DCBEB"/>
    <w:multiLevelType w:val="singleLevel"/>
    <w:tmpl w:val="575DCBEB"/>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yY2JjODc0MDM4OTUzYTc4YjI0YTg4Nzg3M2RmMjk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10E51AC5"/>
    <w:rsid w:val="11054983"/>
    <w:rsid w:val="12583BA5"/>
    <w:rsid w:val="13BA5B9C"/>
    <w:rsid w:val="1D97DEFF"/>
    <w:rsid w:val="1DFF72E5"/>
    <w:rsid w:val="1EFC6F07"/>
    <w:rsid w:val="1F0527A6"/>
    <w:rsid w:val="22AC03C2"/>
    <w:rsid w:val="2C067437"/>
    <w:rsid w:val="2EF60C85"/>
    <w:rsid w:val="2FDF85B8"/>
    <w:rsid w:val="2FFFEE04"/>
    <w:rsid w:val="31C95635"/>
    <w:rsid w:val="34DF85B0"/>
    <w:rsid w:val="3B8F36BC"/>
    <w:rsid w:val="468924D2"/>
    <w:rsid w:val="491FF225"/>
    <w:rsid w:val="4CB34E17"/>
    <w:rsid w:val="4FFD214C"/>
    <w:rsid w:val="52BE405A"/>
    <w:rsid w:val="5352765A"/>
    <w:rsid w:val="5777D4F5"/>
    <w:rsid w:val="59DD8326"/>
    <w:rsid w:val="5CF22AF6"/>
    <w:rsid w:val="5DEF592A"/>
    <w:rsid w:val="5FC6BB1E"/>
    <w:rsid w:val="5FF720F1"/>
    <w:rsid w:val="60D011B9"/>
    <w:rsid w:val="67FF5C0B"/>
    <w:rsid w:val="6BAA4A2F"/>
    <w:rsid w:val="6EFC0924"/>
    <w:rsid w:val="6FB74722"/>
    <w:rsid w:val="6FEF8B7E"/>
    <w:rsid w:val="70AB6C2A"/>
    <w:rsid w:val="7191109A"/>
    <w:rsid w:val="71A6591B"/>
    <w:rsid w:val="737D59BA"/>
    <w:rsid w:val="737F32B1"/>
    <w:rsid w:val="77C37683"/>
    <w:rsid w:val="79FF515B"/>
    <w:rsid w:val="7BBAD427"/>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paragraph" w:styleId="8">
    <w:name w:val="Normal (Web)"/>
    <w:basedOn w:val="1"/>
    <w:qFormat/>
    <w:uiPriority w:val="99"/>
    <w:pPr>
      <w:jc w:val="left"/>
    </w:pPr>
    <w:rPr>
      <w:rFonts w:ascii="Calibri" w:hAnsi="Calibri" w:eastAsia="宋体" w:cs="Times New Roman"/>
      <w:kern w:val="0"/>
      <w:sz w:val="24"/>
      <w:szCs w:val="24"/>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19</Pages>
  <Words>3678</Words>
  <Characters>4091</Characters>
  <Lines>63</Lines>
  <Paragraphs>18</Paragraphs>
  <TotalTime>18</TotalTime>
  <ScaleCrop>false</ScaleCrop>
  <LinksUpToDate>false</LinksUpToDate>
  <CharactersWithSpaces>4114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赵朗朝</cp:lastModifiedBy>
  <cp:lastPrinted>2024-08-08T18:20:00Z</cp:lastPrinted>
  <dcterms:modified xsi:type="dcterms:W3CDTF">2025-10-13T09:07:33Z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7A77B13959C37790FE94EB66AB1ACDE0_43</vt:lpwstr>
  </property>
  <property fmtid="{D5CDD505-2E9C-101B-9397-08002B2CF9AE}" pid="4" name="KSOTemplateDocerSaveRecord">
    <vt:lpwstr>eyJoZGlkIjoiNzYyY2JjODc0MDM4OTUzYTc4YjI0YTg4Nzg3M2RmMjkiLCJ1c2VySWQiOiIxNDgxMDAxNTgyIn0=</vt:lpwstr>
  </property>
</Properties>
</file>