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3"/>
        <w:jc w:val="center"/>
        <w:rPr>
          <w:sz w:val="56"/>
          <w:szCs w:val="56"/>
        </w:rPr>
      </w:pPr>
    </w:p>
    <w:p w14:paraId="3BDF5AB8">
      <w:pPr>
        <w:pStyle w:val="13"/>
        <w:jc w:val="center"/>
        <w:rPr>
          <w:sz w:val="56"/>
          <w:szCs w:val="56"/>
        </w:rPr>
      </w:pPr>
    </w:p>
    <w:p w14:paraId="60CA4575">
      <w:pPr>
        <w:pStyle w:val="13"/>
        <w:jc w:val="center"/>
        <w:rPr>
          <w:sz w:val="84"/>
          <w:szCs w:val="84"/>
        </w:rPr>
      </w:pPr>
    </w:p>
    <w:p w14:paraId="215EB31D">
      <w:pPr>
        <w:pStyle w:val="13"/>
        <w:jc w:val="center"/>
        <w:rPr>
          <w:sz w:val="84"/>
          <w:szCs w:val="84"/>
        </w:rPr>
      </w:pPr>
    </w:p>
    <w:p w14:paraId="376C8602">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49FE8357">
      <w:pPr>
        <w:pStyle w:val="13"/>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eastAsia="zh-CN"/>
        </w:rPr>
        <w:t>岳</w:t>
      </w:r>
      <w:r>
        <w:rPr>
          <w:rFonts w:hint="eastAsia" w:ascii="方正小标宋_GBK" w:hAnsi="方正小标宋_GBK" w:eastAsia="方正小标宋_GBK" w:cs="方正小标宋_GBK"/>
          <w:sz w:val="84"/>
          <w:szCs w:val="84"/>
          <w:lang w:val="en-US" w:eastAsia="zh-CN"/>
        </w:rPr>
        <w:t>阳市卫生健康委员会</w:t>
      </w:r>
    </w:p>
    <w:p w14:paraId="257F9B9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187C6BA4">
      <w:pPr>
        <w:pStyle w:val="13"/>
        <w:jc w:val="center"/>
        <w:rPr>
          <w:rFonts w:hint="eastAsia" w:ascii="方正小标宋_GBK" w:hAnsi="方正小标宋_GBK" w:eastAsia="方正小标宋_GBK" w:cs="方正小标宋_GBK"/>
          <w:sz w:val="56"/>
          <w:szCs w:val="56"/>
        </w:rPr>
      </w:pPr>
    </w:p>
    <w:p w14:paraId="72C8FB58">
      <w:pPr>
        <w:pStyle w:val="13"/>
        <w:jc w:val="center"/>
        <w:rPr>
          <w:sz w:val="56"/>
          <w:szCs w:val="56"/>
        </w:rPr>
      </w:pPr>
    </w:p>
    <w:p w14:paraId="25018D25">
      <w:pPr>
        <w:pStyle w:val="13"/>
        <w:jc w:val="center"/>
        <w:rPr>
          <w:sz w:val="56"/>
          <w:szCs w:val="56"/>
        </w:rPr>
      </w:pPr>
    </w:p>
    <w:p w14:paraId="5EE73A38">
      <w:pPr>
        <w:pStyle w:val="13"/>
        <w:jc w:val="center"/>
        <w:rPr>
          <w:sz w:val="56"/>
          <w:szCs w:val="56"/>
        </w:rPr>
      </w:pPr>
    </w:p>
    <w:p w14:paraId="297571C5">
      <w:pPr>
        <w:pStyle w:val="13"/>
        <w:jc w:val="center"/>
        <w:rPr>
          <w:sz w:val="32"/>
          <w:szCs w:val="32"/>
        </w:rPr>
      </w:pPr>
    </w:p>
    <w:p w14:paraId="08493D1E">
      <w:pPr>
        <w:pStyle w:val="13"/>
        <w:jc w:val="center"/>
        <w:rPr>
          <w:sz w:val="32"/>
          <w:szCs w:val="32"/>
        </w:rPr>
      </w:pPr>
    </w:p>
    <w:p w14:paraId="5BD6E8BD">
      <w:pPr>
        <w:pStyle w:val="13"/>
        <w:jc w:val="center"/>
        <w:rPr>
          <w:sz w:val="32"/>
          <w:szCs w:val="32"/>
        </w:rPr>
      </w:pPr>
    </w:p>
    <w:p w14:paraId="1062A3B4">
      <w:pPr>
        <w:pStyle w:val="13"/>
        <w:jc w:val="center"/>
        <w:rPr>
          <w:sz w:val="32"/>
          <w:szCs w:val="32"/>
        </w:rPr>
      </w:pPr>
    </w:p>
    <w:p w14:paraId="6311DFC7">
      <w:pPr>
        <w:pStyle w:val="13"/>
        <w:jc w:val="center"/>
        <w:rPr>
          <w:sz w:val="32"/>
          <w:szCs w:val="32"/>
        </w:rPr>
      </w:pPr>
    </w:p>
    <w:p w14:paraId="50228290">
      <w:pPr>
        <w:pStyle w:val="13"/>
        <w:spacing w:line="540" w:lineRule="exact"/>
        <w:jc w:val="center"/>
        <w:rPr>
          <w:sz w:val="56"/>
          <w:szCs w:val="56"/>
        </w:rPr>
      </w:pPr>
    </w:p>
    <w:p w14:paraId="459C483D">
      <w:pPr>
        <w:pStyle w:val="13"/>
        <w:spacing w:line="500" w:lineRule="exact"/>
        <w:jc w:val="both"/>
        <w:rPr>
          <w:b/>
          <w:sz w:val="36"/>
          <w:szCs w:val="28"/>
        </w:rPr>
      </w:pPr>
    </w:p>
    <w:p w14:paraId="24F3309B">
      <w:pPr>
        <w:pStyle w:val="13"/>
        <w:spacing w:line="500" w:lineRule="exact"/>
        <w:jc w:val="center"/>
        <w:rPr>
          <w:b/>
          <w:sz w:val="36"/>
          <w:szCs w:val="28"/>
        </w:rPr>
      </w:pPr>
      <w:r>
        <w:rPr>
          <w:rFonts w:hint="eastAsia"/>
          <w:b/>
          <w:sz w:val="36"/>
          <w:szCs w:val="28"/>
        </w:rPr>
        <w:t>目录</w:t>
      </w:r>
    </w:p>
    <w:p w14:paraId="6CBD0C2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岳阳市卫生健康委员会</w:t>
      </w:r>
      <w:r>
        <w:rPr>
          <w:rFonts w:hint="eastAsia" w:ascii="黑体" w:hAnsi="黑体" w:eastAsia="黑体" w:cs="黑体"/>
          <w:b w:val="0"/>
          <w:bCs/>
          <w:sz w:val="28"/>
          <w:szCs w:val="28"/>
        </w:rPr>
        <w:t>概况</w:t>
      </w:r>
    </w:p>
    <w:p w14:paraId="060CB1D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3"/>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3"/>
        <w:jc w:val="center"/>
        <w:rPr>
          <w:rFonts w:hint="eastAsia" w:ascii="方正小标宋_GBK" w:hAnsi="方正小标宋_GBK" w:eastAsia="方正小标宋_GBK" w:cs="方正小标宋_GBK"/>
          <w:sz w:val="84"/>
          <w:szCs w:val="84"/>
        </w:rPr>
      </w:pPr>
    </w:p>
    <w:p w14:paraId="1095DEAB">
      <w:pPr>
        <w:pStyle w:val="13"/>
        <w:jc w:val="center"/>
        <w:rPr>
          <w:rFonts w:hint="eastAsia" w:ascii="方正小标宋_GBK" w:hAnsi="方正小标宋_GBK" w:eastAsia="方正小标宋_GBK" w:cs="方正小标宋_GBK"/>
          <w:sz w:val="84"/>
          <w:szCs w:val="84"/>
        </w:rPr>
      </w:pPr>
    </w:p>
    <w:p w14:paraId="0DEEC24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3"/>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岳阳市卫生健康委员会</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54810EFA">
      <w:pPr>
        <w:pStyle w:val="14"/>
        <w:numPr>
          <w:ilvl w:val="0"/>
          <w:numId w:val="0"/>
        </w:numPr>
        <w:ind w:leftChars="0"/>
        <w:jc w:val="left"/>
        <w:rPr>
          <w:rFonts w:hint="eastAsia" w:ascii="黑体" w:hAnsi="黑体" w:eastAsia="黑体" w:cs="黑体"/>
          <w:b w:val="0"/>
          <w:bCs w:val="0"/>
          <w:sz w:val="32"/>
          <w:szCs w:val="32"/>
          <w:lang w:eastAsia="zh-CN"/>
        </w:rPr>
      </w:pPr>
    </w:p>
    <w:p w14:paraId="55E857AF">
      <w:pPr>
        <w:pStyle w:val="14"/>
        <w:numPr>
          <w:ilvl w:val="0"/>
          <w:numId w:val="0"/>
        </w:numPr>
        <w:ind w:left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部门职责</w:t>
      </w:r>
    </w:p>
    <w:p w14:paraId="79DBBC6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贯彻执行国民健康政策及国家和省关于卫生健康工作的方针政策和法律法规，拟订并组织实施全市卫生健康政策、规划，组织实施国家、省卫生健康地方标准和技术规范。统筹规划全市卫生健康服务资源配置，指导区域卫生健康规划的编制和实施。制定并组织实施推进卫生健康基本公共服务均等化、普惠化、便捷化和公共资源向基层延伸等政策措施。</w:t>
      </w:r>
    </w:p>
    <w:p w14:paraId="579E46B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协调推进全市深化医药卫生体制改革，研究提出全市深化医药卫生体制改革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7F0DAD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三）制定并组织落实全市疾病预防控制规划、免疫规划以及严重危害人民健康公共卫生问题的干预措施。负责卫生应急工作，组织指导全市突发公共卫生事件预防控制和各类突发公共事件的医疗卫生救援。承担传染病疫情信息上报工作，发布突发公共卫生事件应急处置信息。</w:t>
      </w:r>
    </w:p>
    <w:p w14:paraId="3D93D0B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（四）组织拟订并协调落实应对人口老龄化政策措施，推进老年健康服务体系建设和医养结合工作。</w:t>
      </w:r>
    </w:p>
    <w:p w14:paraId="34BC21C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（五）贯彻执行国家药物政策和国家基本药物制度，开展药品使用监测、临床综合评价和短缺药品预警。组织开展食品安全风险监测，负责食源性疾病及与食品安全事故有关的流行病学调查。</w:t>
      </w:r>
    </w:p>
    <w:p w14:paraId="3E91A55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（六）负责职责范围内的职业卫生、放射卫生、环境卫生、学校卫生、公共场所卫生、饮用水卫生等公共卫生的监督管理。负责传染病防治监督，健全卫生健康综合监督体系。</w:t>
      </w:r>
    </w:p>
    <w:p w14:paraId="1B1F165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七）制定全市医疗机构、医疗服务行业管理办法并监督实施，建立医疗服务评价和监督管理体系。会同有关部门实施卫生健康专业技术人员资格标准。制定并组织实施医疗服务规范、标准和卫生健康专业技术人员执业规则、服务规范。</w:t>
      </w:r>
    </w:p>
    <w:p w14:paraId="4BA34A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（八）负责计划生育管理和服务工作，开展人口监测预警，研究提出人口与家庭发展相关政策建议，提出完善计划生育政策建议。</w:t>
      </w:r>
    </w:p>
    <w:p w14:paraId="665EB7D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（九）指导全市卫生健康工作，指导基层医疗卫生、妇幼健康服务体系建设，加强全科医生队伍建设。推进卫生健康科技创新发展。</w:t>
      </w:r>
    </w:p>
    <w:p w14:paraId="6542C95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（十）负责全市健康教育、健康促进和卫生健康信息化建设等工作。组织实施国际、港澳台的交流合作与援外工作。</w:t>
      </w:r>
    </w:p>
    <w:p w14:paraId="720A418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（十一）负责市保健对象的医疗保健工作，负责重要来宾、重要会议与重大活动的医疗卫生保障工作,指导全市保健工作。</w:t>
      </w:r>
    </w:p>
    <w:p w14:paraId="44E21B6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w:t>
      </w:r>
      <w:r>
        <w:rPr>
          <w:rFonts w:hint="eastAsia" w:ascii="Times New Roman" w:hAnsi="Times New Roman" w:eastAsia="仿宋_GB2312" w:cs="仿宋_GB2312"/>
          <w:bCs/>
          <w:kern w:val="0"/>
          <w:sz w:val="32"/>
          <w:szCs w:val="32"/>
          <w:lang w:eastAsia="zh-CN"/>
        </w:rPr>
        <w:t>二</w:t>
      </w:r>
      <w:r>
        <w:rPr>
          <w:rFonts w:hint="eastAsia" w:ascii="Times New Roman" w:hAnsi="Times New Roman" w:eastAsia="仿宋_GB2312" w:cs="仿宋_GB2312"/>
          <w:bCs/>
          <w:kern w:val="0"/>
          <w:sz w:val="32"/>
          <w:szCs w:val="32"/>
        </w:rPr>
        <w:t>）完成市委、市政府交办的其他事项。</w:t>
      </w:r>
    </w:p>
    <w:p w14:paraId="4E06CFF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w:t>
      </w:r>
      <w:r>
        <w:rPr>
          <w:rFonts w:hint="eastAsia" w:ascii="Times New Roman" w:hAnsi="Times New Roman" w:eastAsia="仿宋_GB2312" w:cs="仿宋_GB2312"/>
          <w:bCs/>
          <w:kern w:val="0"/>
          <w:sz w:val="32"/>
          <w:szCs w:val="32"/>
          <w:lang w:eastAsia="zh-CN"/>
        </w:rPr>
        <w:t>三</w:t>
      </w:r>
      <w:r>
        <w:rPr>
          <w:rFonts w:hint="eastAsia" w:ascii="Times New Roman" w:hAnsi="Times New Roman" w:eastAsia="仿宋_GB2312" w:cs="仿宋_GB2312"/>
          <w:bCs/>
          <w:kern w:val="0"/>
          <w:sz w:val="32"/>
          <w:szCs w:val="32"/>
        </w:rPr>
        <w:t>）职能转变。市卫健委应当牢固树立大卫生、大健康理念，推动实施健康岳阳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322935D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w:t>
      </w:r>
      <w:r>
        <w:rPr>
          <w:rFonts w:hint="eastAsia" w:ascii="Times New Roman" w:hAnsi="Times New Roman" w:eastAsia="仿宋_GB2312" w:cs="仿宋_GB2312"/>
          <w:bCs/>
          <w:kern w:val="0"/>
          <w:sz w:val="32"/>
          <w:szCs w:val="32"/>
          <w:lang w:eastAsia="zh-CN"/>
        </w:rPr>
        <w:t>四</w:t>
      </w:r>
      <w:r>
        <w:rPr>
          <w:rFonts w:hint="eastAsia" w:ascii="Times New Roman" w:hAnsi="Times New Roman" w:eastAsia="仿宋_GB2312" w:cs="仿宋_GB2312"/>
          <w:bCs/>
          <w:kern w:val="0"/>
          <w:sz w:val="32"/>
          <w:szCs w:val="32"/>
        </w:rPr>
        <w:t>）有关职责分工</w:t>
      </w:r>
    </w:p>
    <w:p w14:paraId="05B257E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1．与市发改委的有关职责分工。市卫健委负责开展人口监测预警工作，研究提出与生育相关的人口数量、素质、结构、分布方面的政策建议，促进生育政策和相关经济社会政策配套衔接，参与制定全市人口发展规划和政策，落实国家、省和全市人口发展规划中的有关任务。市发改委负责组织监测和评估人口变动情况及趋势影响，建立人口预测预报制度，开展重大决策人口影响评估，完善重大人口政策咨询机制，研究提出全市人口发展战略，拟订人口发展规划和人口政策，研究提出人口与经济、社会、资源、环境协调可持续发展，以及统筹促进人口长期均衡发展的政策建议。</w:t>
      </w:r>
    </w:p>
    <w:p w14:paraId="7830123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与市民政局的有关职责分工。市卫健委负责拟订应对人口老龄化、医养结合政策措施，综合协调、督促指导、组织推进老龄事业发展，承担老年疾病防治、老年人医疗照护、老年人心理健康与关怀服务等老年健康工作。市民政局负责统筹推进、督促指导、监督管理养老服务工作，起草养老服务地方性法规草案、拟订养老服务体系建设规划、政策、标准并组织实施，承担老年人福利和特殊困难老年人救助工作。</w:t>
      </w:r>
    </w:p>
    <w:p w14:paraId="6C37776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3．与岳阳海关的有关职责分工。市卫健委负责传染病总体防治和突发公共卫生事件应急工作。市卫健委与岳阳海关建立健全应对口岸传染病疫情和公共卫生事件合作机制、传染病疫情和公共卫生事件通报交流机制、口岸输入性疫情通报和协作处理机制。</w:t>
      </w:r>
    </w:p>
    <w:p w14:paraId="141D8D2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4．与市市场监管局的有关职责分工。市卫健委负责食品安全风险监测工作，会同市市场监管局等部门制定、实施食品安全风险监测计划。市卫健委对通过食品安全风险监测或者接到举报发现食品可能存在安全隐患的，应当及时将相关信息通报市市场监管局等部门，市市场监管局等部门应当立即采取措施。市市场监管局等部门在监督管理工作中发现需要进行食品安全风险评估的，应当及时向市卫健委提出建议。市市场监管局会同市卫健委建立重大药品不良反应和医疗器械不良事件相互通报机制和联合处置机制。</w:t>
      </w:r>
    </w:p>
    <w:p w14:paraId="07D945C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5．与市医保局的有关职责分工。市卫健委、市医保局等部门在医疗、医保、医药等方面加强制度、政策衔接，建立沟通协商机制，协同推进改革，提高医疗资源使用效率和医疗保障水平。</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4FEE7FC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14:paraId="298CA95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岳阳市卫生健康委员会</w:t>
      </w:r>
      <w:r>
        <w:rPr>
          <w:rFonts w:hint="eastAsia" w:ascii="Times New Roman" w:hAnsi="Times New Roman" w:eastAsia="仿宋_GB2312" w:cs="仿宋_GB2312"/>
          <w:bCs/>
          <w:kern w:val="0"/>
          <w:sz w:val="32"/>
          <w:szCs w:val="32"/>
        </w:rPr>
        <w:t>内设机构包括：</w:t>
      </w:r>
    </w:p>
    <w:p w14:paraId="181124F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1、办公室。2、规划发展与信息化科</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3、疾病预防控制</w:t>
      </w:r>
      <w:r>
        <w:rPr>
          <w:rFonts w:hint="eastAsia" w:ascii="Times New Roman" w:hAnsi="Times New Roman" w:eastAsia="仿宋_GB2312" w:cs="仿宋_GB2312"/>
          <w:bCs/>
          <w:kern w:val="0"/>
          <w:sz w:val="32"/>
          <w:szCs w:val="32"/>
          <w:lang w:eastAsia="zh-CN"/>
        </w:rPr>
        <w:t>科。</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职业健康科（市血吸虫病防治办公室）。</w:t>
      </w:r>
      <w:r>
        <w:rPr>
          <w:rFonts w:hint="eastAsia" w:ascii="Times New Roman" w:hAnsi="Times New Roman" w:eastAsia="仿宋_GB2312" w:cs="仿宋_GB2312"/>
          <w:bCs/>
          <w:kern w:val="0"/>
          <w:sz w:val="32"/>
          <w:szCs w:val="32"/>
          <w:lang w:val="en-US" w:eastAsia="zh-CN"/>
        </w:rPr>
        <w:t>5</w:t>
      </w:r>
      <w:r>
        <w:rPr>
          <w:rFonts w:hint="eastAsia" w:ascii="Times New Roman" w:hAnsi="Times New Roman" w:eastAsia="仿宋_GB2312" w:cs="仿宋_GB2312"/>
          <w:bCs/>
          <w:kern w:val="0"/>
          <w:sz w:val="32"/>
          <w:szCs w:val="32"/>
        </w:rPr>
        <w:t>、医政科。</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、基层卫生健康科。</w:t>
      </w:r>
      <w:r>
        <w:rPr>
          <w:rFonts w:hint="eastAsia" w:ascii="Times New Roman" w:hAnsi="Times New Roman" w:eastAsia="仿宋_GB2312" w:cs="仿宋_GB2312"/>
          <w:bCs/>
          <w:kern w:val="0"/>
          <w:sz w:val="32"/>
          <w:szCs w:val="32"/>
          <w:lang w:val="en-US" w:eastAsia="zh-CN"/>
        </w:rPr>
        <w:t>7</w:t>
      </w: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eastAsia="zh-CN"/>
        </w:rPr>
        <w:t>医疗应急科</w:t>
      </w: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、科技教育科。</w:t>
      </w:r>
      <w:r>
        <w:rPr>
          <w:rFonts w:hint="eastAsia" w:ascii="Times New Roman" w:hAnsi="Times New Roman" w:eastAsia="仿宋_GB2312" w:cs="仿宋_GB2312"/>
          <w:bCs/>
          <w:kern w:val="0"/>
          <w:sz w:val="32"/>
          <w:szCs w:val="32"/>
          <w:lang w:val="en-US" w:eastAsia="zh-CN"/>
        </w:rPr>
        <w:t>9</w:t>
      </w:r>
      <w:r>
        <w:rPr>
          <w:rFonts w:hint="eastAsia" w:ascii="Times New Roman" w:hAnsi="Times New Roman" w:eastAsia="仿宋_GB2312" w:cs="仿宋_GB2312"/>
          <w:bCs/>
          <w:kern w:val="0"/>
          <w:sz w:val="32"/>
          <w:szCs w:val="32"/>
        </w:rPr>
        <w:t>、法规与综合监督科（行政审批科、食品安全标准与监测科）。</w:t>
      </w:r>
      <w:r>
        <w:rPr>
          <w:rFonts w:hint="eastAsia" w:ascii="Times New Roman" w:hAnsi="Times New Roman" w:eastAsia="仿宋_GB2312" w:cs="仿宋_GB2312"/>
          <w:bCs/>
          <w:kern w:val="0"/>
          <w:sz w:val="32"/>
          <w:szCs w:val="32"/>
          <w:lang w:val="en-US" w:eastAsia="zh-CN"/>
        </w:rPr>
        <w:t>10</w:t>
      </w:r>
      <w:r>
        <w:rPr>
          <w:rFonts w:hint="eastAsia" w:ascii="Times New Roman" w:hAnsi="Times New Roman" w:eastAsia="仿宋_GB2312" w:cs="仿宋_GB2312"/>
          <w:bCs/>
          <w:kern w:val="0"/>
          <w:sz w:val="32"/>
          <w:szCs w:val="32"/>
        </w:rPr>
        <w:t>、药物政策与基本药物制度科。1</w:t>
      </w:r>
      <w:r>
        <w:rPr>
          <w:rFonts w:hint="eastAsia" w:ascii="Times New Roman" w:hAnsi="Times New Roman" w:eastAsia="仿宋_GB2312" w:cs="仿宋_GB2312"/>
          <w:bCs/>
          <w:kern w:val="0"/>
          <w:sz w:val="32"/>
          <w:szCs w:val="32"/>
          <w:lang w:val="en-US" w:eastAsia="zh-CN"/>
        </w:rPr>
        <w:t>1</w:t>
      </w:r>
      <w:r>
        <w:rPr>
          <w:rFonts w:hint="eastAsia" w:ascii="Times New Roman" w:hAnsi="Times New Roman" w:eastAsia="仿宋_GB2312" w:cs="仿宋_GB2312"/>
          <w:bCs/>
          <w:kern w:val="0"/>
          <w:sz w:val="32"/>
          <w:szCs w:val="32"/>
        </w:rPr>
        <w:t>、中医药管理科（中医药管理局）。1</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、妇幼健康科。1</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、人口监测与家庭发展科。</w:t>
      </w:r>
      <w:r>
        <w:rPr>
          <w:rFonts w:hint="eastAsia" w:ascii="Times New Roman" w:hAnsi="Times New Roman" w:eastAsia="仿宋_GB2312" w:cs="仿宋_GB2312"/>
          <w:bCs/>
          <w:kern w:val="0"/>
          <w:sz w:val="32"/>
          <w:szCs w:val="32"/>
          <w:lang w:val="en-US" w:eastAsia="zh-CN"/>
        </w:rPr>
        <w:t>14、体制改革科。</w:t>
      </w:r>
      <w:r>
        <w:rPr>
          <w:rFonts w:hint="eastAsia" w:ascii="Times New Roman" w:hAnsi="Times New Roman" w:eastAsia="仿宋_GB2312" w:cs="仿宋_GB2312"/>
          <w:bCs/>
          <w:kern w:val="0"/>
          <w:sz w:val="32"/>
          <w:szCs w:val="32"/>
        </w:rPr>
        <w:t>1</w:t>
      </w:r>
      <w:r>
        <w:rPr>
          <w:rFonts w:hint="eastAsia" w:ascii="Times New Roman" w:hAnsi="Times New Roman" w:eastAsia="仿宋_GB2312" w:cs="仿宋_GB2312"/>
          <w:bCs/>
          <w:kern w:val="0"/>
          <w:sz w:val="32"/>
          <w:szCs w:val="32"/>
          <w:lang w:val="en-US" w:eastAsia="zh-CN"/>
        </w:rPr>
        <w:t>5</w:t>
      </w:r>
      <w:r>
        <w:rPr>
          <w:rFonts w:hint="eastAsia" w:ascii="Times New Roman" w:hAnsi="Times New Roman" w:eastAsia="仿宋_GB2312" w:cs="仿宋_GB2312"/>
          <w:bCs/>
          <w:kern w:val="0"/>
          <w:sz w:val="32"/>
          <w:szCs w:val="32"/>
        </w:rPr>
        <w:t>、 爱国卫生工作科。1</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、宣传科。1</w:t>
      </w:r>
      <w:r>
        <w:rPr>
          <w:rFonts w:hint="eastAsia" w:ascii="Times New Roman" w:hAnsi="Times New Roman" w:eastAsia="仿宋_GB2312" w:cs="仿宋_GB2312"/>
          <w:bCs/>
          <w:kern w:val="0"/>
          <w:sz w:val="32"/>
          <w:szCs w:val="32"/>
          <w:lang w:val="en-US" w:eastAsia="zh-CN"/>
        </w:rPr>
        <w:t>7</w:t>
      </w:r>
      <w:r>
        <w:rPr>
          <w:rFonts w:hint="eastAsia" w:ascii="Times New Roman" w:hAnsi="Times New Roman" w:eastAsia="仿宋_GB2312" w:cs="仿宋_GB2312"/>
          <w:bCs/>
          <w:kern w:val="0"/>
          <w:sz w:val="32"/>
          <w:szCs w:val="32"/>
        </w:rPr>
        <w:t>、财务科（审计科）。1</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、人事科</w:t>
      </w:r>
      <w:r>
        <w:rPr>
          <w:rFonts w:hint="eastAsia" w:ascii="Times New Roman" w:hAnsi="Times New Roman" w:eastAsia="仿宋_GB2312" w:cs="仿宋_GB2312"/>
          <w:bCs/>
          <w:kern w:val="0"/>
          <w:sz w:val="32"/>
          <w:szCs w:val="32"/>
          <w:lang w:eastAsia="zh-CN"/>
        </w:rPr>
        <w:t>（人才工作办公室）</w:t>
      </w: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eastAsia="zh-CN"/>
        </w:rPr>
        <w:t>另设</w:t>
      </w:r>
      <w:r>
        <w:rPr>
          <w:rFonts w:hint="eastAsia" w:ascii="Times New Roman" w:hAnsi="Times New Roman" w:eastAsia="仿宋_GB2312" w:cs="仿宋_GB2312"/>
          <w:bCs/>
          <w:kern w:val="0"/>
          <w:sz w:val="32"/>
          <w:szCs w:val="32"/>
        </w:rPr>
        <w:t>机关党委（纪委）、离退休人员管理服务科（干部保健科）。</w:t>
      </w:r>
    </w:p>
    <w:p w14:paraId="63B77AC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p>
    <w:p w14:paraId="0DBAB1D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岳阳市卫生健康委员会</w:t>
      </w:r>
      <w:r>
        <w:rPr>
          <w:rFonts w:hint="eastAsia" w:ascii="Times New Roman" w:hAnsi="Times New Roman" w:eastAsia="仿宋_GB2312" w:cs="仿宋_GB2312"/>
          <w:bCs/>
          <w:kern w:val="0"/>
          <w:sz w:val="32"/>
          <w:szCs w:val="32"/>
        </w:rPr>
        <w:t>20</w:t>
      </w:r>
      <w:r>
        <w:rPr>
          <w:rFonts w:hint="eastAsia" w:ascii="Times New Roman" w:hAnsi="Times New Roman" w:eastAsia="仿宋_GB2312" w:cs="仿宋_GB2312"/>
          <w:bCs/>
          <w:kern w:val="0"/>
          <w:sz w:val="32"/>
          <w:szCs w:val="32"/>
          <w:lang w:val="en-US" w:eastAsia="zh-CN"/>
        </w:rPr>
        <w:t>24</w:t>
      </w:r>
      <w:r>
        <w:rPr>
          <w:rFonts w:hint="eastAsia" w:ascii="Times New Roman" w:hAnsi="Times New Roman" w:eastAsia="仿宋_GB2312" w:cs="仿宋_GB2312"/>
          <w:bCs/>
          <w:kern w:val="0"/>
          <w:sz w:val="32"/>
          <w:szCs w:val="32"/>
        </w:rPr>
        <w:t>年部门决算汇总公开单位构成包括：1、岳阳市卫生健康委</w:t>
      </w:r>
      <w:r>
        <w:rPr>
          <w:rFonts w:hint="eastAsia" w:ascii="Times New Roman" w:hAnsi="Times New Roman" w:eastAsia="仿宋_GB2312" w:cs="仿宋_GB2312"/>
          <w:bCs/>
          <w:kern w:val="0"/>
          <w:sz w:val="32"/>
          <w:szCs w:val="32"/>
          <w:lang w:eastAsia="zh-CN"/>
        </w:rPr>
        <w:t>员会</w:t>
      </w:r>
      <w:r>
        <w:rPr>
          <w:rFonts w:hint="eastAsia" w:ascii="Times New Roman" w:hAnsi="Times New Roman" w:eastAsia="仿宋_GB2312" w:cs="仿宋_GB2312"/>
          <w:bCs/>
          <w:kern w:val="0"/>
          <w:sz w:val="32"/>
          <w:szCs w:val="32"/>
        </w:rPr>
        <w:t>本级；2、岳阳市</w:t>
      </w:r>
      <w:r>
        <w:rPr>
          <w:rFonts w:hint="eastAsia" w:ascii="Times New Roman" w:hAnsi="Times New Roman" w:eastAsia="仿宋_GB2312" w:cs="仿宋_GB2312"/>
          <w:bCs/>
          <w:kern w:val="0"/>
          <w:sz w:val="32"/>
          <w:szCs w:val="32"/>
          <w:lang w:eastAsia="zh-CN"/>
        </w:rPr>
        <w:t>中心</w:t>
      </w:r>
      <w:r>
        <w:rPr>
          <w:rFonts w:hint="eastAsia" w:ascii="Times New Roman" w:hAnsi="Times New Roman" w:eastAsia="仿宋_GB2312" w:cs="仿宋_GB2312"/>
          <w:bCs/>
          <w:kern w:val="0"/>
          <w:sz w:val="32"/>
          <w:szCs w:val="32"/>
        </w:rPr>
        <w:t>医院；3、岳阳市人民医院；4、岳阳市中</w:t>
      </w:r>
      <w:r>
        <w:rPr>
          <w:rFonts w:hint="eastAsia" w:ascii="Times New Roman" w:hAnsi="Times New Roman" w:eastAsia="仿宋_GB2312" w:cs="仿宋_GB2312"/>
          <w:bCs/>
          <w:kern w:val="0"/>
          <w:sz w:val="32"/>
          <w:szCs w:val="32"/>
          <w:lang w:eastAsia="zh-CN"/>
        </w:rPr>
        <w:t>医</w:t>
      </w:r>
      <w:r>
        <w:rPr>
          <w:rFonts w:hint="eastAsia" w:ascii="Times New Roman" w:hAnsi="Times New Roman" w:eastAsia="仿宋_GB2312" w:cs="仿宋_GB2312"/>
          <w:bCs/>
          <w:kern w:val="0"/>
          <w:sz w:val="32"/>
          <w:szCs w:val="32"/>
        </w:rPr>
        <w:t>医院；5、岳阳市妇幼保健院；6、岳阳市</w:t>
      </w:r>
      <w:r>
        <w:rPr>
          <w:rFonts w:hint="eastAsia" w:ascii="Times New Roman" w:hAnsi="Times New Roman" w:eastAsia="仿宋_GB2312" w:cs="仿宋_GB2312"/>
          <w:bCs/>
          <w:kern w:val="0"/>
          <w:sz w:val="32"/>
          <w:szCs w:val="32"/>
          <w:lang w:val="en-US" w:eastAsia="zh-CN"/>
        </w:rPr>
        <w:t>疾病预防控制</w:t>
      </w:r>
      <w:r>
        <w:rPr>
          <w:rFonts w:hint="eastAsia" w:ascii="Times New Roman" w:hAnsi="Times New Roman" w:eastAsia="仿宋_GB2312" w:cs="仿宋_GB2312"/>
          <w:bCs/>
          <w:kern w:val="0"/>
          <w:sz w:val="32"/>
          <w:szCs w:val="32"/>
        </w:rPr>
        <w:t>中心；7、岳阳市中心血站；</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val="en-US" w:eastAsia="zh-CN"/>
        </w:rPr>
        <w:t>岳阳市卫生计生综合监督执法局。</w:t>
      </w:r>
    </w:p>
    <w:p w14:paraId="7AC1FBA9"/>
    <w:p w14:paraId="3CE56614">
      <w:pPr>
        <w:pStyle w:val="2"/>
      </w:pPr>
    </w:p>
    <w:p w14:paraId="70B4D569">
      <w:pPr>
        <w:pStyle w:val="3"/>
      </w:pPr>
    </w:p>
    <w:p w14:paraId="5B1D6CBC"/>
    <w:p w14:paraId="7D6C31E4">
      <w:pPr>
        <w:pStyle w:val="2"/>
      </w:pPr>
    </w:p>
    <w:p w14:paraId="056E4ECA">
      <w:pPr>
        <w:pStyle w:val="3"/>
      </w:pPr>
    </w:p>
    <w:p w14:paraId="3288C9C5"/>
    <w:p w14:paraId="14507043">
      <w:pPr>
        <w:pStyle w:val="2"/>
      </w:pPr>
    </w:p>
    <w:p w14:paraId="465EA8BD">
      <w:pPr>
        <w:pStyle w:val="3"/>
      </w:pPr>
    </w:p>
    <w:p w14:paraId="49E51758"/>
    <w:p w14:paraId="3DC8C6CD">
      <w:pPr>
        <w:pStyle w:val="2"/>
      </w:pPr>
    </w:p>
    <w:p w14:paraId="36E702E5">
      <w:pPr>
        <w:pStyle w:val="3"/>
      </w:pPr>
    </w:p>
    <w:p w14:paraId="0416550A"/>
    <w:p w14:paraId="28B49BCE">
      <w:pPr>
        <w:pStyle w:val="2"/>
      </w:pPr>
    </w:p>
    <w:p w14:paraId="43291855">
      <w:pPr>
        <w:pStyle w:val="3"/>
      </w:pPr>
    </w:p>
    <w:p w14:paraId="7CD92489"/>
    <w:p w14:paraId="5267F12B">
      <w:pPr>
        <w:pStyle w:val="2"/>
      </w:pPr>
    </w:p>
    <w:p w14:paraId="28828498">
      <w:pPr>
        <w:pStyle w:val="3"/>
      </w:pPr>
    </w:p>
    <w:p w14:paraId="04E62672"/>
    <w:p w14:paraId="1D6D7A8B">
      <w:pPr>
        <w:pStyle w:val="2"/>
      </w:pPr>
    </w:p>
    <w:p w14:paraId="2E47952B">
      <w:pPr>
        <w:pStyle w:val="3"/>
      </w:pPr>
    </w:p>
    <w:p w14:paraId="18A19BE5"/>
    <w:p w14:paraId="2B49F2B7">
      <w:pPr>
        <w:pStyle w:val="13"/>
        <w:jc w:val="center"/>
        <w:rPr>
          <w:rFonts w:hint="eastAsia" w:ascii="方正小标宋_GBK" w:hAnsi="方正小标宋_GBK" w:eastAsia="方正小标宋_GBK" w:cs="方正小标宋_GBK"/>
          <w:sz w:val="84"/>
          <w:szCs w:val="84"/>
          <w:lang w:eastAsia="zh-CN"/>
        </w:rPr>
      </w:pPr>
      <w:r>
        <w:rPr>
          <w:rFonts w:hint="eastAsia" w:eastAsia="方正小标宋_GBK"/>
          <w:lang w:eastAsia="zh-CN"/>
        </w:rPr>
        <w:t>、</w:t>
      </w:r>
    </w:p>
    <w:p w14:paraId="661BBFC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3"/>
        <w:jc w:val="center"/>
        <w:rPr>
          <w:rFonts w:hint="eastAsia" w:ascii="方正小标宋_GBK" w:hAnsi="方正小标宋_GBK" w:eastAsia="方正小标宋_GBK" w:cs="方正小标宋_GBK"/>
          <w:sz w:val="84"/>
          <w:szCs w:val="84"/>
        </w:rPr>
      </w:pPr>
    </w:p>
    <w:p w14:paraId="3860F185">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3"/>
        <w:jc w:val="center"/>
        <w:rPr>
          <w:rFonts w:hint="eastAsia" w:ascii="仿宋_GB2312" w:hAnsi="仿宋_GB2312" w:eastAsia="仿宋_GB2312" w:cs="仿宋_GB2312"/>
          <w:b w:val="0"/>
          <w:bCs w:val="0"/>
          <w:sz w:val="72"/>
          <w:szCs w:val="72"/>
          <w:lang w:eastAsia="zh-CN"/>
        </w:rPr>
      </w:pPr>
    </w:p>
    <w:p w14:paraId="0568D1B8">
      <w:pPr>
        <w:pStyle w:val="13"/>
        <w:jc w:val="center"/>
        <w:rPr>
          <w:rFonts w:hint="eastAsia" w:ascii="仿宋_GB2312" w:hAnsi="仿宋_GB2312" w:eastAsia="仿宋_GB2312" w:cs="仿宋_GB2312"/>
          <w:b w:val="0"/>
          <w:bCs w:val="0"/>
          <w:sz w:val="72"/>
          <w:szCs w:val="72"/>
          <w:lang w:eastAsia="zh-CN"/>
        </w:rPr>
      </w:pPr>
    </w:p>
    <w:p w14:paraId="06211665">
      <w:pPr>
        <w:pStyle w:val="13"/>
        <w:jc w:val="both"/>
        <w:rPr>
          <w:rFonts w:hint="eastAsia" w:ascii="方正小标宋_GBK" w:hAnsi="方正小标宋_GBK" w:eastAsia="方正小标宋_GBK" w:cs="方正小标宋_GBK"/>
          <w:sz w:val="72"/>
          <w:szCs w:val="72"/>
        </w:rPr>
      </w:pPr>
    </w:p>
    <w:p w14:paraId="696036F9">
      <w:pPr>
        <w:pStyle w:val="13"/>
        <w:jc w:val="both"/>
        <w:rPr>
          <w:rFonts w:hint="eastAsia" w:ascii="方正小标宋_GBK" w:hAnsi="方正小标宋_GBK" w:eastAsia="方正小标宋_GBK" w:cs="方正小标宋_GBK"/>
          <w:sz w:val="72"/>
          <w:szCs w:val="72"/>
        </w:rPr>
      </w:pPr>
    </w:p>
    <w:p w14:paraId="59437272">
      <w:pPr>
        <w:pStyle w:val="13"/>
        <w:jc w:val="both"/>
        <w:rPr>
          <w:rFonts w:hint="eastAsia" w:ascii="方正小标宋_GBK" w:hAnsi="方正小标宋_GBK" w:eastAsia="方正小标宋_GBK" w:cs="方正小标宋_GBK"/>
          <w:sz w:val="72"/>
          <w:szCs w:val="72"/>
        </w:rPr>
      </w:pPr>
    </w:p>
    <w:p w14:paraId="7804FBAA">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3"/>
        <w:jc w:val="center"/>
        <w:rPr>
          <w:rFonts w:hint="eastAsia" w:ascii="方正小标宋_GBK" w:hAnsi="方正小标宋_GBK" w:eastAsia="方正小标宋_GBK" w:cs="方正小标宋_GBK"/>
          <w:sz w:val="70"/>
          <w:szCs w:val="70"/>
        </w:rPr>
      </w:pPr>
    </w:p>
    <w:p w14:paraId="4F77A5A6">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514C0722">
      <w:pPr>
        <w:pStyle w:val="13"/>
        <w:jc w:val="center"/>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55DC7B09">
      <w:pPr>
        <w:pStyle w:val="2"/>
        <w:rPr>
          <w:rFonts w:hint="eastAsia"/>
        </w:rPr>
      </w:pPr>
    </w:p>
    <w:p w14:paraId="2411C08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253AD05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年度收、支总计430563.1万元。与上年相比，减少5502.58万元，减少</w:t>
      </w:r>
      <w:r>
        <w:rPr>
          <w:rFonts w:hint="eastAsia" w:ascii="仿宋_GB2312" w:hAnsi="仿宋_GB2312" w:eastAsia="仿宋_GB2312" w:cs="仿宋_GB2312"/>
          <w:sz w:val="32"/>
          <w:szCs w:val="32"/>
          <w:lang w:val="en-US" w:eastAsia="zh-CN"/>
        </w:rPr>
        <w:t>1.26</w:t>
      </w:r>
      <w:r>
        <w:rPr>
          <w:rFonts w:hint="eastAsia" w:ascii="仿宋_GB2312" w:hAnsi="仿宋_GB2312" w:eastAsia="仿宋_GB2312" w:cs="仿宋_GB2312"/>
          <w:sz w:val="32"/>
          <w:szCs w:val="32"/>
        </w:rPr>
        <w:t>%，主要是因为一般公共预算财政拨款收入</w:t>
      </w:r>
      <w:r>
        <w:rPr>
          <w:rFonts w:hint="eastAsia" w:ascii="仿宋_GB2312" w:hAnsi="仿宋_GB2312" w:eastAsia="仿宋_GB2312" w:cs="仿宋_GB2312"/>
          <w:sz w:val="32"/>
          <w:szCs w:val="32"/>
          <w:lang w:eastAsia="zh-CN"/>
        </w:rPr>
        <w:t>、政府性基金预算财政拨款收入相比去年减少。</w:t>
      </w:r>
    </w:p>
    <w:p w14:paraId="07DA9E3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年度收入合计390461.78万元，其中：财政拨款收入21636.44万元，占</w:t>
      </w:r>
      <w:r>
        <w:rPr>
          <w:rFonts w:hint="eastAsia" w:ascii="仿宋_GB2312" w:hAnsi="仿宋_GB2312" w:eastAsia="仿宋_GB2312" w:cs="仿宋_GB2312"/>
          <w:sz w:val="32"/>
          <w:szCs w:val="32"/>
          <w:lang w:val="en-US" w:eastAsia="zh-CN"/>
        </w:rPr>
        <w:t>5.54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%；事业收入366601.22万元，占</w:t>
      </w:r>
      <w:r>
        <w:rPr>
          <w:rFonts w:hint="eastAsia" w:ascii="仿宋_GB2312" w:hAnsi="仿宋_GB2312" w:eastAsia="仿宋_GB2312" w:cs="仿宋_GB2312"/>
          <w:sz w:val="32"/>
          <w:szCs w:val="32"/>
          <w:lang w:val="en-US" w:eastAsia="zh-CN"/>
        </w:rPr>
        <w:t>93.89</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%；其他收入2224.12万元，占</w:t>
      </w:r>
      <w:r>
        <w:rPr>
          <w:rFonts w:hint="eastAsia" w:ascii="仿宋_GB2312" w:hAnsi="仿宋_GB2312" w:eastAsia="仿宋_GB2312" w:cs="仿宋_GB2312"/>
          <w:sz w:val="32"/>
          <w:szCs w:val="32"/>
          <w:lang w:val="en-US" w:eastAsia="zh-CN"/>
        </w:rPr>
        <w:t>0.57</w:t>
      </w:r>
      <w:r>
        <w:rPr>
          <w:rFonts w:hint="eastAsia" w:ascii="仿宋_GB2312" w:hAnsi="仿宋_GB2312" w:eastAsia="仿宋_GB2312" w:cs="仿宋_GB2312"/>
          <w:sz w:val="32"/>
          <w:szCs w:val="32"/>
        </w:rPr>
        <w:t>%。</w:t>
      </w:r>
    </w:p>
    <w:p w14:paraId="2D1A2B4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年度支出合计399225.73万元，其中：基本支出373262.5万元，占</w:t>
      </w:r>
      <w:r>
        <w:rPr>
          <w:rFonts w:hint="eastAsia" w:ascii="仿宋_GB2312" w:hAnsi="仿宋_GB2312" w:eastAsia="仿宋_GB2312" w:cs="仿宋_GB2312"/>
          <w:sz w:val="32"/>
          <w:szCs w:val="32"/>
          <w:lang w:val="en-US" w:eastAsia="zh-CN"/>
        </w:rPr>
        <w:t>93.5</w:t>
      </w:r>
      <w:r>
        <w:rPr>
          <w:rFonts w:hint="eastAsia" w:ascii="仿宋_GB2312" w:hAnsi="仿宋_GB2312" w:eastAsia="仿宋_GB2312" w:cs="仿宋_GB2312"/>
          <w:sz w:val="32"/>
          <w:szCs w:val="32"/>
        </w:rPr>
        <w:t>%；项目支出25963.23万元，占</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3839B803">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年度财政拨款收、支总计61725.52万元，与上年相比，减少17321.51万元,减少</w:t>
      </w:r>
      <w:r>
        <w:rPr>
          <w:rFonts w:hint="eastAsia" w:ascii="仿宋_GB2312" w:hAnsi="仿宋_GB2312" w:eastAsia="仿宋_GB2312" w:cs="仿宋_GB2312"/>
          <w:sz w:val="32"/>
          <w:szCs w:val="32"/>
          <w:lang w:val="en-US" w:eastAsia="zh-CN"/>
        </w:rPr>
        <w:t>21.91</w:t>
      </w:r>
      <w:r>
        <w:rPr>
          <w:rFonts w:hint="eastAsia" w:ascii="仿宋_GB2312" w:hAnsi="仿宋_GB2312" w:eastAsia="仿宋_GB2312" w:cs="仿宋_GB2312"/>
          <w:sz w:val="32"/>
          <w:szCs w:val="32"/>
        </w:rPr>
        <w:t>%，主要是因为一般公共预算财政拨款收入</w:t>
      </w:r>
      <w:r>
        <w:rPr>
          <w:rFonts w:hint="eastAsia" w:ascii="仿宋_GB2312" w:hAnsi="仿宋_GB2312" w:eastAsia="仿宋_GB2312" w:cs="仿宋_GB2312"/>
          <w:sz w:val="32"/>
          <w:szCs w:val="32"/>
          <w:lang w:eastAsia="zh-CN"/>
        </w:rPr>
        <w:t>、政府性基金预算财政拨款收入相比去年减少。</w:t>
      </w:r>
    </w:p>
    <w:p w14:paraId="4BB30A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6F15B1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年度财政拨款支出33999.93万元，占本年支出合计的</w:t>
      </w:r>
      <w:r>
        <w:rPr>
          <w:rFonts w:hint="eastAsia" w:ascii="仿宋_GB2312" w:hAnsi="仿宋_GB2312" w:eastAsia="仿宋_GB2312" w:cs="仿宋_GB2312"/>
          <w:sz w:val="32"/>
          <w:szCs w:val="32"/>
          <w:lang w:val="en-US" w:eastAsia="zh-CN"/>
        </w:rPr>
        <w:t>8.52</w:t>
      </w:r>
      <w:r>
        <w:rPr>
          <w:rFonts w:hint="eastAsia" w:ascii="仿宋_GB2312" w:hAnsi="仿宋_GB2312" w:eastAsia="仿宋_GB2312" w:cs="仿宋_GB2312"/>
          <w:sz w:val="32"/>
          <w:szCs w:val="32"/>
        </w:rPr>
        <w:t>%，与上年相比，财政拨款支出减少4759.73万元，减少</w:t>
      </w:r>
      <w:r>
        <w:rPr>
          <w:rFonts w:hint="eastAsia" w:ascii="仿宋_GB2312" w:hAnsi="仿宋_GB2312" w:eastAsia="仿宋_GB2312" w:cs="仿宋_GB2312"/>
          <w:sz w:val="32"/>
          <w:szCs w:val="32"/>
          <w:lang w:val="en-US" w:eastAsia="zh-CN"/>
        </w:rPr>
        <w:t>12.28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一般公共预算财政拨款基本支出、项目支出相比去年减少</w:t>
      </w:r>
    </w:p>
    <w:p w14:paraId="66C54C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FC79B2D">
      <w:pPr>
        <w:pStyle w:val="1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年度财政拨款支出33999.93万元，主要用于以下方面：</w:t>
      </w:r>
      <w:r>
        <w:rPr>
          <w:rFonts w:hint="eastAsia" w:ascii="仿宋_GB2312" w:hAnsi="仿宋_GB2312" w:eastAsia="仿宋_GB2312" w:cs="仿宋_GB2312"/>
          <w:sz w:val="32"/>
          <w:szCs w:val="32"/>
          <w:lang w:eastAsia="zh-CN"/>
        </w:rPr>
        <w:t>科学技术支出</w:t>
      </w:r>
      <w:r>
        <w:rPr>
          <w:rFonts w:hint="eastAsia" w:ascii="仿宋_GB2312" w:hAnsi="仿宋_GB2312" w:eastAsia="仿宋_GB2312" w:cs="仿宋_GB2312"/>
          <w:sz w:val="32"/>
          <w:szCs w:val="32"/>
          <w:lang w:val="en-US" w:eastAsia="zh-CN"/>
        </w:rPr>
        <w:t>111.14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0.33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;社会保障和就业支出802.91万元,占2.36%;卫生健康支出32157.04万元,占94.58%；节能环保支出199.92万元,占0.59%，城乡社区支出74.08万元，占0.22%；住房保障支出495.67万元，占1.46%；其他支出159.18万元，占0.47%。</w:t>
      </w:r>
    </w:p>
    <w:p w14:paraId="5CDBADF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年度财政拨款支出年初预算数为17221.7</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，支出决算数为33999.93万元，完成年初预算的</w:t>
      </w:r>
      <w:r>
        <w:rPr>
          <w:rFonts w:hint="eastAsia" w:ascii="仿宋_GB2312" w:hAnsi="仿宋_GB2312" w:eastAsia="仿宋_GB2312" w:cs="仿宋_GB2312"/>
          <w:sz w:val="32"/>
          <w:szCs w:val="32"/>
          <w:lang w:val="en-US" w:eastAsia="zh-CN"/>
        </w:rPr>
        <w:t>197.42</w:t>
      </w:r>
      <w:r>
        <w:rPr>
          <w:rFonts w:hint="eastAsia" w:ascii="仿宋_GB2312" w:hAnsi="仿宋_GB2312" w:eastAsia="仿宋_GB2312" w:cs="仿宋_GB2312"/>
          <w:sz w:val="32"/>
          <w:szCs w:val="32"/>
        </w:rPr>
        <w:t>%，其中：</w:t>
      </w:r>
    </w:p>
    <w:p w14:paraId="237A4D6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1、科学技术支出（类）基础研究（款）自然科学基金（项）。</w:t>
      </w:r>
    </w:p>
    <w:p w14:paraId="3ADDDD5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万元，支出决算为47.08万元，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3443D2A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2、科学技术支出（类）基础研究（款）其他基础研究支出（项）。</w:t>
      </w:r>
    </w:p>
    <w:p w14:paraId="141AAD42">
      <w:pPr>
        <w:pStyle w:val="13"/>
        <w:keepNext w:val="0"/>
        <w:keepLines w:val="0"/>
        <w:pageBreakBefore w:val="0"/>
        <w:widowControl w:val="0"/>
        <w:kinsoku/>
        <w:wordWrap/>
        <w:overflowPunct/>
        <w:topLinePunct w:val="0"/>
        <w:autoSpaceDE w:val="0"/>
        <w:autoSpaceDN w:val="0"/>
        <w:bidi w:val="0"/>
        <w:adjustRightInd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万元，支出决算为3.29万元，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78591C15">
      <w:pPr>
        <w:keepNext w:val="0"/>
        <w:keepLines w:val="0"/>
        <w:pageBreakBefore w:val="0"/>
        <w:widowControl w:val="0"/>
        <w:numPr>
          <w:ilvl w:val="0"/>
          <w:numId w:val="1"/>
        </w:numPr>
        <w:kinsoku/>
        <w:wordWrap/>
        <w:overflowPunct/>
        <w:topLinePunct w:val="0"/>
        <w:autoSpaceDE w:val="0"/>
        <w:autoSpaceDN w:val="0"/>
        <w:bidi w:val="0"/>
        <w:adjustRightInd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科学技术支出（类）其他科学技术支出（款）其他科学技术支出（项）。</w:t>
      </w:r>
    </w:p>
    <w:p w14:paraId="2B27A599">
      <w:pPr>
        <w:pStyle w:val="13"/>
        <w:keepNext w:val="0"/>
        <w:keepLines w:val="0"/>
        <w:pageBreakBefore w:val="0"/>
        <w:widowControl w:val="0"/>
        <w:kinsoku/>
        <w:wordWrap/>
        <w:overflowPunct/>
        <w:topLinePunct w:val="0"/>
        <w:autoSpaceDE w:val="0"/>
        <w:autoSpaceDN w:val="0"/>
        <w:bidi w:val="0"/>
        <w:adjustRightInd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万元，支出决算为60.77万元，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498270F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、社会保障和就业支出（类）行政事业单位养老支出（款）行政单位离退休（项）。</w:t>
      </w:r>
    </w:p>
    <w:p w14:paraId="2716759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24.66</w:t>
      </w:r>
      <w:r>
        <w:rPr>
          <w:rFonts w:hint="eastAsia" w:ascii="仿宋_GB2312" w:hAnsi="仿宋_GB2312" w:eastAsia="仿宋_GB2312" w:cs="仿宋_GB2312"/>
          <w:sz w:val="32"/>
          <w:szCs w:val="32"/>
        </w:rPr>
        <w:t>万元，支出决算为22.44万元，完成年初预算的</w:t>
      </w:r>
      <w:r>
        <w:rPr>
          <w:rFonts w:hint="eastAsia" w:ascii="仿宋_GB2312" w:hAnsi="仿宋_GB2312" w:eastAsia="仿宋_GB2312" w:cs="仿宋_GB2312"/>
          <w:sz w:val="32"/>
          <w:szCs w:val="32"/>
          <w:lang w:val="en-US" w:eastAsia="zh-CN"/>
        </w:rPr>
        <w:t>91</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年初预算数的主要原因是：年中离退休人员变化。</w:t>
      </w:r>
    </w:p>
    <w:p w14:paraId="46C287C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、社会保障和就业支出（类）行政事业单位养老支出（款）事业单位离退休（项）。</w:t>
      </w:r>
    </w:p>
    <w:p w14:paraId="2430D1A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10.55</w:t>
      </w:r>
      <w:r>
        <w:rPr>
          <w:rFonts w:hint="eastAsia" w:ascii="仿宋_GB2312" w:hAnsi="仿宋_GB2312" w:eastAsia="仿宋_GB2312" w:cs="仿宋_GB2312"/>
          <w:sz w:val="32"/>
          <w:szCs w:val="32"/>
        </w:rPr>
        <w:t>万元，支出决算为14.45万元，完成年初预算的</w:t>
      </w:r>
      <w:r>
        <w:rPr>
          <w:rFonts w:hint="eastAsia" w:ascii="仿宋_GB2312" w:hAnsi="仿宋_GB2312" w:eastAsia="仿宋_GB2312" w:cs="仿宋_GB2312"/>
          <w:sz w:val="32"/>
          <w:szCs w:val="32"/>
          <w:lang w:val="en-US" w:eastAsia="zh-CN"/>
        </w:rPr>
        <w:t>136.97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年初预算数的主要原因是：年中离退休人员变化。</w:t>
      </w:r>
    </w:p>
    <w:p w14:paraId="7711F92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、社会保障和就业支出（类）行政事业单位养老支出（款）机关事业单位基本养老保险缴费支出（项）。</w:t>
      </w:r>
    </w:p>
    <w:p w14:paraId="17D3760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694.85</w:t>
      </w:r>
      <w:r>
        <w:rPr>
          <w:rFonts w:hint="eastAsia" w:ascii="仿宋_GB2312" w:hAnsi="仿宋_GB2312" w:eastAsia="仿宋_GB2312" w:cs="仿宋_GB2312"/>
          <w:sz w:val="32"/>
          <w:szCs w:val="32"/>
        </w:rPr>
        <w:t>万元，支出决算为681.7万元，完成年初预算的</w:t>
      </w:r>
      <w:r>
        <w:rPr>
          <w:rFonts w:hint="eastAsia" w:ascii="仿宋_GB2312" w:hAnsi="仿宋_GB2312" w:eastAsia="仿宋_GB2312" w:cs="仿宋_GB2312"/>
          <w:sz w:val="32"/>
          <w:szCs w:val="32"/>
          <w:lang w:val="en-US" w:eastAsia="zh-CN"/>
        </w:rPr>
        <w:t>98.11</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年初预算数的主要原因是：年中离退休人员变化。</w:t>
      </w:r>
    </w:p>
    <w:p w14:paraId="21467BB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、社会保障和就业支出（类）行政事业单位养老支出（款）其他行政事业单位养老支出（项）。</w:t>
      </w:r>
    </w:p>
    <w:p w14:paraId="77EF191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万元，支出决算为3.07万元，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补足</w:t>
      </w:r>
      <w:r>
        <w:rPr>
          <w:rFonts w:hint="eastAsia" w:ascii="仿宋_GB2312" w:hAnsi="仿宋_GB2312" w:eastAsia="仿宋_GB2312" w:cs="仿宋_GB2312"/>
          <w:sz w:val="32"/>
          <w:szCs w:val="32"/>
        </w:rPr>
        <w:t>其他行政事业单位养老支出</w:t>
      </w:r>
      <w:r>
        <w:rPr>
          <w:rFonts w:hint="eastAsia" w:ascii="仿宋_GB2312" w:hAnsi="仿宋_GB2312" w:eastAsia="仿宋_GB2312" w:cs="仿宋_GB2312"/>
          <w:sz w:val="32"/>
          <w:szCs w:val="32"/>
          <w:lang w:eastAsia="zh-CN"/>
        </w:rPr>
        <w:t>需求。</w:t>
      </w:r>
    </w:p>
    <w:p w14:paraId="0168EE3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、社会保障和就业支出（类）抚恤（款）其他优抚支出（项）。</w:t>
      </w:r>
    </w:p>
    <w:p w14:paraId="115D46F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万元，支出决算为35.31万元，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补足</w:t>
      </w:r>
      <w:r>
        <w:rPr>
          <w:rFonts w:hint="eastAsia" w:ascii="仿宋_GB2312" w:hAnsi="仿宋_GB2312" w:eastAsia="仿宋_GB2312" w:cs="仿宋_GB2312"/>
          <w:sz w:val="32"/>
          <w:szCs w:val="32"/>
        </w:rPr>
        <w:t>其他优抚支出</w:t>
      </w:r>
      <w:r>
        <w:rPr>
          <w:rFonts w:hint="eastAsia" w:ascii="仿宋_GB2312" w:hAnsi="仿宋_GB2312" w:eastAsia="仿宋_GB2312" w:cs="仿宋_GB2312"/>
          <w:sz w:val="32"/>
          <w:szCs w:val="32"/>
          <w:lang w:eastAsia="zh-CN"/>
        </w:rPr>
        <w:t>需求。</w:t>
      </w:r>
    </w:p>
    <w:p w14:paraId="571D2C2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、社会保障和就业支出（类）残疾人事业（款）其他残疾人事业支出（项）。</w:t>
      </w:r>
    </w:p>
    <w:p w14:paraId="060F253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30.58</w:t>
      </w:r>
      <w:r>
        <w:rPr>
          <w:rFonts w:hint="eastAsia" w:ascii="仿宋_GB2312" w:hAnsi="仿宋_GB2312" w:eastAsia="仿宋_GB2312" w:cs="仿宋_GB2312"/>
          <w:sz w:val="32"/>
          <w:szCs w:val="32"/>
        </w:rPr>
        <w:t>万元，支出决算为30.58万元，完成年初预算的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2FAF070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、社会保障和就业支出（类）临时救助（款）流浪乞讨人员救助支出（项）。</w:t>
      </w:r>
    </w:p>
    <w:p w14:paraId="5734809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万元，支出决算为10.06万元，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补足</w:t>
      </w:r>
      <w:r>
        <w:rPr>
          <w:rFonts w:hint="eastAsia" w:ascii="仿宋_GB2312" w:hAnsi="仿宋_GB2312" w:eastAsia="仿宋_GB2312" w:cs="仿宋_GB2312"/>
          <w:sz w:val="32"/>
          <w:szCs w:val="32"/>
        </w:rPr>
        <w:t>流浪乞讨人员救助支出</w:t>
      </w:r>
      <w:r>
        <w:rPr>
          <w:rFonts w:hint="eastAsia" w:ascii="仿宋_GB2312" w:hAnsi="仿宋_GB2312" w:eastAsia="仿宋_GB2312" w:cs="仿宋_GB2312"/>
          <w:sz w:val="32"/>
          <w:szCs w:val="32"/>
          <w:lang w:eastAsia="zh-CN"/>
        </w:rPr>
        <w:t>需求。</w:t>
      </w:r>
    </w:p>
    <w:p w14:paraId="0D70A22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、社会保障和就业支出（类）其他社会保障和就业支出（款）其他社会保障和就业支出（项）。</w:t>
      </w:r>
    </w:p>
    <w:p w14:paraId="6B11FE3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万元，支出决算为5.3万元，完成年初预算的</w:t>
      </w:r>
      <w:r>
        <w:rPr>
          <w:rFonts w:hint="eastAsia" w:ascii="仿宋_GB2312" w:hAnsi="仿宋_GB2312" w:eastAsia="仿宋_GB2312" w:cs="仿宋_GB2312"/>
          <w:sz w:val="32"/>
          <w:szCs w:val="32"/>
          <w:lang w:val="en-US" w:eastAsia="zh-CN"/>
        </w:rPr>
        <w:t>129.27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年初预算数的主要原因是：其他社会保障和就业支出</w:t>
      </w:r>
      <w:r>
        <w:rPr>
          <w:rFonts w:hint="eastAsia" w:ascii="仿宋_GB2312" w:hAnsi="仿宋_GB2312" w:eastAsia="仿宋_GB2312" w:cs="仿宋_GB2312"/>
          <w:sz w:val="32"/>
          <w:szCs w:val="32"/>
          <w:lang w:eastAsia="zh-CN"/>
        </w:rPr>
        <w:t>需求增加。</w:t>
      </w:r>
    </w:p>
    <w:p w14:paraId="52FE096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、卫生健康支出（类）卫生健康管理事务（款）行政运行（项）。</w:t>
      </w:r>
    </w:p>
    <w:p w14:paraId="29D2256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1295.88</w:t>
      </w:r>
      <w:r>
        <w:rPr>
          <w:rFonts w:hint="eastAsia" w:ascii="仿宋_GB2312" w:hAnsi="仿宋_GB2312" w:eastAsia="仿宋_GB2312" w:cs="仿宋_GB2312"/>
          <w:sz w:val="32"/>
          <w:szCs w:val="32"/>
        </w:rPr>
        <w:t>万元，支出决算为1497.35万元，完成年初预算的</w:t>
      </w:r>
      <w:r>
        <w:rPr>
          <w:rFonts w:hint="eastAsia" w:ascii="仿宋_GB2312" w:hAnsi="仿宋_GB2312" w:eastAsia="仿宋_GB2312" w:cs="仿宋_GB2312"/>
          <w:sz w:val="32"/>
          <w:szCs w:val="32"/>
          <w:lang w:val="en-US" w:eastAsia="zh-CN"/>
        </w:rPr>
        <w:t>115.55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年初预算数的主要原因是：行政运行支出</w:t>
      </w:r>
      <w:r>
        <w:rPr>
          <w:rFonts w:hint="eastAsia" w:ascii="仿宋_GB2312" w:hAnsi="仿宋_GB2312" w:eastAsia="仿宋_GB2312" w:cs="仿宋_GB2312"/>
          <w:sz w:val="32"/>
          <w:szCs w:val="32"/>
          <w:lang w:eastAsia="zh-CN"/>
        </w:rPr>
        <w:t>成本增加。</w:t>
      </w:r>
    </w:p>
    <w:p w14:paraId="51C9184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、卫生健康支出（类）卫生健康管理事务（款）一般行政管理事务（项）。</w:t>
      </w:r>
    </w:p>
    <w:p w14:paraId="3E19A2E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507.3</w:t>
      </w:r>
      <w:r>
        <w:rPr>
          <w:rFonts w:hint="eastAsia" w:ascii="仿宋_GB2312" w:hAnsi="仿宋_GB2312" w:eastAsia="仿宋_GB2312" w:cs="仿宋_GB2312"/>
          <w:sz w:val="32"/>
          <w:szCs w:val="32"/>
        </w:rPr>
        <w:t>万元，支出决算为500.06万元，完成年初预算的</w:t>
      </w:r>
      <w:r>
        <w:rPr>
          <w:rFonts w:hint="eastAsia" w:ascii="仿宋_GB2312" w:hAnsi="仿宋_GB2312" w:eastAsia="仿宋_GB2312" w:cs="仿宋_GB2312"/>
          <w:sz w:val="32"/>
          <w:szCs w:val="32"/>
          <w:lang w:val="en-US" w:eastAsia="zh-CN"/>
        </w:rPr>
        <w:t>98.57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年初预算数的主要原因是：一般行政管理事务</w:t>
      </w:r>
      <w:r>
        <w:rPr>
          <w:rFonts w:hint="eastAsia" w:ascii="仿宋_GB2312" w:hAnsi="仿宋_GB2312" w:eastAsia="仿宋_GB2312" w:cs="仿宋_GB2312"/>
          <w:sz w:val="32"/>
          <w:szCs w:val="32"/>
          <w:lang w:val="en-US" w:eastAsia="zh-CN"/>
        </w:rPr>
        <w:t>节约支出</w:t>
      </w:r>
      <w:r>
        <w:rPr>
          <w:rFonts w:hint="eastAsia" w:ascii="仿宋_GB2312" w:hAnsi="仿宋_GB2312" w:eastAsia="仿宋_GB2312" w:cs="仿宋_GB2312"/>
          <w:sz w:val="32"/>
          <w:szCs w:val="32"/>
          <w:lang w:eastAsia="zh-CN"/>
        </w:rPr>
        <w:t>。</w:t>
      </w:r>
    </w:p>
    <w:p w14:paraId="6D493C6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、卫生健康支出（类）卫生健康管理事务（款）其他卫生健康管理事务支出（项）。</w:t>
      </w:r>
    </w:p>
    <w:p w14:paraId="0A078CF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万元，支出决算为1016万元，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考试考务费等支出。</w:t>
      </w:r>
    </w:p>
    <w:p w14:paraId="45052DD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、卫生健康支出（类）公立医院（款）综合医院（项）。</w:t>
      </w:r>
    </w:p>
    <w:p w14:paraId="450F56D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1373</w:t>
      </w:r>
      <w:r>
        <w:rPr>
          <w:rFonts w:hint="eastAsia" w:ascii="仿宋_GB2312" w:hAnsi="仿宋_GB2312" w:eastAsia="仿宋_GB2312" w:cs="仿宋_GB2312"/>
          <w:sz w:val="32"/>
          <w:szCs w:val="32"/>
        </w:rPr>
        <w:t>万元，支出决算为1648.84万元，完成年初预算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120.09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综合医院业务增加，支出增加。</w:t>
      </w:r>
    </w:p>
    <w:p w14:paraId="12E04F0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、卫生健康支出（类）公立医院（款）中医（民族）医院（项）。</w:t>
      </w:r>
    </w:p>
    <w:p w14:paraId="059AC07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242.9</w:t>
      </w:r>
      <w:r>
        <w:rPr>
          <w:rFonts w:hint="eastAsia" w:ascii="仿宋_GB2312" w:hAnsi="仿宋_GB2312" w:eastAsia="仿宋_GB2312" w:cs="仿宋_GB2312"/>
          <w:sz w:val="32"/>
          <w:szCs w:val="32"/>
        </w:rPr>
        <w:t>万元，支出决算为214.31万元，完成年初预算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88.23</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中医院节约支出。</w:t>
      </w:r>
    </w:p>
    <w:p w14:paraId="3C79E5B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、卫生健康支出（类）公立医院（款）妇幼保健医院（项）。</w:t>
      </w:r>
    </w:p>
    <w:p w14:paraId="2D9EF27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1305.7</w:t>
      </w:r>
      <w:r>
        <w:rPr>
          <w:rFonts w:hint="eastAsia" w:ascii="仿宋_GB2312" w:hAnsi="仿宋_GB2312" w:eastAsia="仿宋_GB2312" w:cs="仿宋_GB2312"/>
          <w:sz w:val="32"/>
          <w:szCs w:val="32"/>
        </w:rPr>
        <w:t>万元，支出决算为1225.54万元，完成年初预算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93.86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新生儿减少，</w:t>
      </w:r>
      <w:r>
        <w:rPr>
          <w:rFonts w:hint="eastAsia" w:ascii="仿宋_GB2312" w:hAnsi="仿宋_GB2312" w:eastAsia="仿宋_GB2312" w:cs="仿宋_GB2312"/>
          <w:sz w:val="32"/>
          <w:szCs w:val="32"/>
        </w:rPr>
        <w:t>妇幼保健医院</w:t>
      </w:r>
      <w:r>
        <w:rPr>
          <w:rFonts w:hint="eastAsia" w:ascii="仿宋_GB2312" w:hAnsi="仿宋_GB2312" w:eastAsia="仿宋_GB2312" w:cs="仿宋_GB2312"/>
          <w:sz w:val="32"/>
          <w:szCs w:val="32"/>
          <w:lang w:eastAsia="zh-CN"/>
        </w:rPr>
        <w:t>业务萎缩。</w:t>
      </w:r>
    </w:p>
    <w:p w14:paraId="1FB7691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、卫生健康支出（类）公立医院（款）其他公立医院支出（项）。</w:t>
      </w:r>
    </w:p>
    <w:p w14:paraId="34B0E89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万元，支出决算为4216.84万元，，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，决算数大于年初预算数的主要原因是：年初没有预算，是追加的公立医院专项资金。</w:t>
      </w:r>
    </w:p>
    <w:p w14:paraId="3F33222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、卫生健康支出（类）基层医疗卫生机构（款）其他基层医疗卫生机构支出（项）。</w:t>
      </w:r>
    </w:p>
    <w:p w14:paraId="659C14C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万元，支出决算为74.15万元，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，决算数大于年初预算数的主要原因是：年初没有预算，是追加的基层医疗卫生机构专项资金。</w:t>
      </w:r>
    </w:p>
    <w:p w14:paraId="5D1DF00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、卫生健康支出（类）公共卫生（款）疾病预防控制机构（项）。</w:t>
      </w:r>
    </w:p>
    <w:p w14:paraId="3713D81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1931.59</w:t>
      </w:r>
      <w:r>
        <w:rPr>
          <w:rFonts w:hint="eastAsia" w:ascii="仿宋_GB2312" w:hAnsi="仿宋_GB2312" w:eastAsia="仿宋_GB2312" w:cs="仿宋_GB2312"/>
          <w:sz w:val="32"/>
          <w:szCs w:val="32"/>
        </w:rPr>
        <w:t>万元，支出决算为2096.12万元，完成年初预算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108.52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中央、省当年下拨项目资金及上年项目资金结转结余的支出。</w:t>
      </w:r>
    </w:p>
    <w:p w14:paraId="4C6BEC2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、卫生健康支出（类）公共卫生（款）卫生监督机构（项）。</w:t>
      </w:r>
    </w:p>
    <w:p w14:paraId="567E38B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597.48</w:t>
      </w:r>
      <w:r>
        <w:rPr>
          <w:rFonts w:hint="eastAsia" w:ascii="仿宋_GB2312" w:hAnsi="仿宋_GB2312" w:eastAsia="仿宋_GB2312" w:cs="仿宋_GB2312"/>
          <w:sz w:val="32"/>
          <w:szCs w:val="32"/>
        </w:rPr>
        <w:t>万元，支出决算为655.57万元，完成年初预算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109.72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中央、省当年下拨项目资金及上年项目资金结转结余的支出。</w:t>
      </w:r>
    </w:p>
    <w:p w14:paraId="19C2032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、卫生健康支出（类）公共卫生（款）采供血机构（项）。</w:t>
      </w:r>
    </w:p>
    <w:p w14:paraId="2E35D11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8446.35</w:t>
      </w:r>
      <w:r>
        <w:rPr>
          <w:rFonts w:hint="eastAsia" w:ascii="仿宋_GB2312" w:hAnsi="仿宋_GB2312" w:eastAsia="仿宋_GB2312" w:cs="仿宋_GB2312"/>
          <w:sz w:val="32"/>
          <w:szCs w:val="32"/>
        </w:rPr>
        <w:t>万元，支出决算为7901.74万元，完成年初预算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93.55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市中心血站例行节约，严格控制采供血成本费用。</w:t>
      </w:r>
    </w:p>
    <w:p w14:paraId="6EAB850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、卫生健康支出（类）公共卫生（款）重大公共卫生服务（项）。</w:t>
      </w:r>
    </w:p>
    <w:p w14:paraId="04D935C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万元，支出决算为2658.62万元，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上年度有项目结转资金，主要为中央和省安排资金。</w:t>
      </w:r>
    </w:p>
    <w:p w14:paraId="5F7C73B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、卫生健康支出（类）公共卫生（款）突发公共卫生事件应急处理（项）。</w:t>
      </w:r>
    </w:p>
    <w:p w14:paraId="294D4F5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万元，支出决算为1736.53万元，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上年度有项目结转资金，主要为中央和省安排资金。</w:t>
      </w:r>
    </w:p>
    <w:p w14:paraId="78346F6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、卫生健康支出（类）公共卫生（款）其他公共卫生支出（项）。</w:t>
      </w:r>
    </w:p>
    <w:p w14:paraId="256BF0E6">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万元，支出决算为658.43万元，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上年度有项目结转资金，主要为中央和省安排资金。</w:t>
      </w:r>
    </w:p>
    <w:p w14:paraId="4EF2783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、卫生健康支出（类）行政事业单位医疗（款）行政单位医疗（项）。</w:t>
      </w:r>
    </w:p>
    <w:p w14:paraId="094F7D7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68.15</w:t>
      </w:r>
      <w:r>
        <w:rPr>
          <w:rFonts w:hint="eastAsia" w:ascii="仿宋_GB2312" w:hAnsi="仿宋_GB2312" w:eastAsia="仿宋_GB2312" w:cs="仿宋_GB2312"/>
          <w:sz w:val="32"/>
          <w:szCs w:val="32"/>
        </w:rPr>
        <w:t>万元，支出决算为68.15万元，完成年初预算的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16A1D30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p>
    <w:p w14:paraId="570AFBA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、卫生健康支出（类）行政事业单位医疗（款）事业单位医疗（项）。</w:t>
      </w:r>
    </w:p>
    <w:p w14:paraId="2DFF9A1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82.2</w:t>
      </w:r>
      <w:r>
        <w:rPr>
          <w:rFonts w:hint="eastAsia" w:ascii="仿宋_GB2312" w:hAnsi="仿宋_GB2312" w:eastAsia="仿宋_GB2312" w:cs="仿宋_GB2312"/>
          <w:sz w:val="32"/>
          <w:szCs w:val="32"/>
        </w:rPr>
        <w:t>万元，支出决算为82.2万元，完成年初预算的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14CD006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、卫生健康支出（类）行政事业单位医疗（款）公务员医疗补助（项）。</w:t>
      </w:r>
    </w:p>
    <w:p w14:paraId="21BAA3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85.07</w:t>
      </w:r>
      <w:r>
        <w:rPr>
          <w:rFonts w:hint="eastAsia" w:ascii="仿宋_GB2312" w:hAnsi="仿宋_GB2312" w:eastAsia="仿宋_GB2312" w:cs="仿宋_GB2312"/>
          <w:sz w:val="32"/>
          <w:szCs w:val="32"/>
        </w:rPr>
        <w:t>万元，支出决算为77.48万元，完成年初预算的</w:t>
      </w:r>
      <w:r>
        <w:rPr>
          <w:rFonts w:hint="eastAsia" w:ascii="仿宋_GB2312" w:hAnsi="仿宋_GB2312" w:eastAsia="仿宋_GB2312" w:cs="仿宋_GB2312"/>
          <w:sz w:val="32"/>
          <w:szCs w:val="32"/>
          <w:lang w:val="en-US" w:eastAsia="zh-CN"/>
        </w:rPr>
        <w:t>91.08</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2023年12月一体化系统升级管理，12月提前关账，导致市卫监局在职和退休人员2023年度的医保铺底金未能在12月及时转账支付，申请将该项经费结转到了2024年支付使用。</w:t>
      </w:r>
    </w:p>
    <w:p w14:paraId="2B244D1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、卫生健康支出（类）行政事业单位医疗（款）其他行政事业单位医疗支出（项）。</w:t>
      </w:r>
    </w:p>
    <w:p w14:paraId="103212D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万元，支出决算为148.6万元，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市级干部保健经费年中下达</w:t>
      </w:r>
      <w:r>
        <w:rPr>
          <w:rFonts w:hint="eastAsia" w:ascii="仿宋_GB2312" w:hAnsi="仿宋_GB2312" w:eastAsia="仿宋_GB2312" w:cs="仿宋_GB2312"/>
          <w:sz w:val="32"/>
          <w:szCs w:val="32"/>
          <w:lang w:val="en-US" w:eastAsia="zh-CN"/>
        </w:rPr>
        <w:t>。</w:t>
      </w:r>
    </w:p>
    <w:p w14:paraId="6A96971C">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lang w:val="en-US" w:eastAsia="zh-CN"/>
        </w:rPr>
        <w:t>30、</w:t>
      </w:r>
      <w:r>
        <w:rPr>
          <w:rFonts w:hint="eastAsia" w:ascii="Times New Roman" w:hAnsi="Times New Roman" w:eastAsia="仿宋_GB2312"/>
          <w:sz w:val="32"/>
          <w:szCs w:val="32"/>
          <w:lang w:val="en-US" w:eastAsia="zh-CN"/>
        </w:rPr>
        <w:t>卫生健康支出（类）财政对医疗风险基金的补助（款）中医（民族医）药专项（项）</w:t>
      </w:r>
    </w:p>
    <w:p w14:paraId="41795A9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年中拨付的中医药事业传承与发展资金</w:t>
      </w:r>
      <w:r>
        <w:rPr>
          <w:rFonts w:hint="eastAsia" w:ascii="Times New Roman" w:hAnsi="Times New Roman" w:eastAsia="仿宋_GB2312"/>
          <w:sz w:val="32"/>
          <w:szCs w:val="32"/>
          <w:lang w:eastAsia="zh-CN"/>
        </w:rPr>
        <w:t>。</w:t>
      </w:r>
    </w:p>
    <w:p w14:paraId="11AD9C86">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lang w:val="en-US" w:eastAsia="zh-CN"/>
        </w:rPr>
        <w:t>31、</w:t>
      </w:r>
      <w:r>
        <w:rPr>
          <w:rFonts w:hint="eastAsia" w:ascii="Times New Roman" w:hAnsi="Times New Roman" w:eastAsia="仿宋_GB2312"/>
          <w:sz w:val="32"/>
          <w:szCs w:val="32"/>
          <w:lang w:val="en-US" w:eastAsia="zh-CN"/>
        </w:rPr>
        <w:t>卫生健康支出（类）其他卫生健康支出（款）其他卫生健康支出（项）</w:t>
      </w:r>
    </w:p>
    <w:p w14:paraId="5548944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5660.51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年中</w:t>
      </w:r>
      <w:r>
        <w:rPr>
          <w:rFonts w:hint="eastAsia" w:ascii="仿宋_GB2312" w:hAnsi="仿宋_GB2312" w:eastAsia="仿宋_GB2312" w:cs="仿宋_GB2312"/>
          <w:sz w:val="32"/>
          <w:szCs w:val="32"/>
          <w:lang w:eastAsia="zh-CN"/>
        </w:rPr>
        <w:t>增加医疗公用费用支出等</w:t>
      </w:r>
      <w:r>
        <w:rPr>
          <w:rFonts w:hint="eastAsia" w:ascii="仿宋_GB2312" w:hAnsi="仿宋_GB2312" w:eastAsia="仿宋_GB2312" w:cs="仿宋_GB2312"/>
          <w:sz w:val="32"/>
          <w:szCs w:val="32"/>
          <w:lang w:val="en-US" w:eastAsia="zh-CN"/>
        </w:rPr>
        <w:t>。</w:t>
      </w:r>
    </w:p>
    <w:p w14:paraId="58BBF0BE">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lang w:val="en-US" w:eastAsia="zh-CN"/>
        </w:rPr>
        <w:t>32、</w:t>
      </w:r>
      <w:r>
        <w:rPr>
          <w:rFonts w:hint="eastAsia" w:ascii="Times New Roman" w:hAnsi="Times New Roman" w:eastAsia="仿宋_GB2312"/>
          <w:sz w:val="32"/>
          <w:szCs w:val="32"/>
          <w:lang w:val="en-US" w:eastAsia="zh-CN"/>
        </w:rPr>
        <w:t>节能环保支出（类）污染防治（款）水体（项）</w:t>
      </w:r>
    </w:p>
    <w:p w14:paraId="1A20508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199.92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年中拨付给市妇幼的城市管网及污水处理补助资金</w:t>
      </w:r>
      <w:r>
        <w:rPr>
          <w:rFonts w:hint="eastAsia" w:ascii="Times New Roman" w:hAnsi="Times New Roman" w:eastAsia="仿宋_GB2312"/>
          <w:sz w:val="32"/>
          <w:szCs w:val="32"/>
          <w:lang w:eastAsia="zh-CN"/>
        </w:rPr>
        <w:t>。</w:t>
      </w:r>
    </w:p>
    <w:p w14:paraId="4B75331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lang w:val="en-US" w:eastAsia="zh-CN"/>
        </w:rPr>
        <w:t>33、</w:t>
      </w:r>
      <w:r>
        <w:rPr>
          <w:rFonts w:hint="eastAsia" w:ascii="Times New Roman" w:hAnsi="Times New Roman" w:eastAsia="仿宋_GB2312"/>
          <w:sz w:val="32"/>
          <w:szCs w:val="32"/>
          <w:lang w:val="en-US" w:eastAsia="zh-CN"/>
        </w:rPr>
        <w:t>城乡社区支出（类）城乡社区规划与管理（款）城乡社区规划与管理（项）</w:t>
      </w:r>
    </w:p>
    <w:p w14:paraId="29CCB37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74.08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年中拨付的城乡社区项目经费</w:t>
      </w:r>
      <w:r>
        <w:rPr>
          <w:rFonts w:hint="eastAsia" w:ascii="Times New Roman" w:hAnsi="Times New Roman" w:eastAsia="仿宋_GB2312"/>
          <w:sz w:val="32"/>
          <w:szCs w:val="32"/>
          <w:lang w:eastAsia="zh-CN"/>
        </w:rPr>
        <w:t>。</w:t>
      </w:r>
    </w:p>
    <w:p w14:paraId="6153767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、住房保障支出（类）住房改革支出（款）住房公积金（项）。</w:t>
      </w:r>
    </w:p>
    <w:p w14:paraId="2915E3D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521.34</w:t>
      </w:r>
      <w:r>
        <w:rPr>
          <w:rFonts w:hint="eastAsia" w:ascii="仿宋_GB2312" w:hAnsi="仿宋_GB2312" w:eastAsia="仿宋_GB2312" w:cs="仿宋_GB2312"/>
          <w:sz w:val="32"/>
          <w:szCs w:val="32"/>
        </w:rPr>
        <w:t>万元，支出决算为495.67万元，完成年初预算的</w:t>
      </w:r>
      <w:r>
        <w:rPr>
          <w:rFonts w:hint="eastAsia" w:ascii="仿宋_GB2312" w:hAnsi="仿宋_GB2312" w:eastAsia="仿宋_GB2312" w:cs="仿宋_GB2312"/>
          <w:sz w:val="32"/>
          <w:szCs w:val="32"/>
          <w:lang w:val="en-US" w:eastAsia="zh-CN"/>
        </w:rPr>
        <w:t>95.08</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年中人员异动。</w:t>
      </w:r>
    </w:p>
    <w:p w14:paraId="5904D38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lang w:val="en-US" w:eastAsia="zh-CN"/>
        </w:rPr>
        <w:t>35、</w:t>
      </w:r>
      <w:r>
        <w:rPr>
          <w:rFonts w:hint="eastAsia" w:ascii="Times New Roman" w:hAnsi="Times New Roman" w:eastAsia="仿宋_GB2312"/>
          <w:sz w:val="32"/>
          <w:szCs w:val="32"/>
          <w:lang w:val="en-US" w:eastAsia="zh-CN"/>
        </w:rPr>
        <w:t>其他支出（类）其他支出（款）其他支出（项）</w:t>
      </w:r>
    </w:p>
    <w:p w14:paraId="422E3C1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159.18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市妇幼</w:t>
      </w:r>
      <w:r>
        <w:rPr>
          <w:rFonts w:hint="eastAsia" w:ascii="仿宋_GB2312" w:hAnsi="仿宋_GB2312" w:eastAsia="仿宋_GB2312" w:cs="仿宋_GB2312"/>
          <w:sz w:val="32"/>
          <w:szCs w:val="32"/>
          <w:lang w:val="en-US" w:eastAsia="zh-CN"/>
        </w:rPr>
        <w:t>非税收入返还资金有结余且较年初预算未完全下拨</w:t>
      </w:r>
      <w:r>
        <w:rPr>
          <w:rFonts w:hint="eastAsia" w:ascii="Times New Roman" w:hAnsi="Times New Roman" w:eastAsia="仿宋_GB2312"/>
          <w:sz w:val="32"/>
          <w:szCs w:val="32"/>
          <w:lang w:eastAsia="zh-CN"/>
        </w:rPr>
        <w:t>。</w:t>
      </w:r>
    </w:p>
    <w:p w14:paraId="373E8BA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财政拨款基本支出16185.85万元，其中：</w:t>
      </w:r>
    </w:p>
    <w:p w14:paraId="10C0608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9215.5万元，占基本支出的</w:t>
      </w:r>
      <w:r>
        <w:rPr>
          <w:rFonts w:hint="eastAsia" w:ascii="仿宋_GB2312" w:hAnsi="仿宋_GB2312" w:eastAsia="仿宋_GB2312" w:cs="仿宋_GB2312"/>
          <w:sz w:val="32"/>
          <w:szCs w:val="32"/>
          <w:lang w:val="en-US" w:eastAsia="zh-CN"/>
        </w:rPr>
        <w:t>56.94</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机关事业单位基本养老保险缴费、职业年金缴费、职工基本医疗保险缴费、其他社会保障缴费、公积金、医疗费、其他工资福利支出、离休费、退休费、抚恤金、生活补助、医疗费补助、奖励金、其他对个人和家庭的补助等。</w:t>
      </w:r>
    </w:p>
    <w:p w14:paraId="5B780C6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6970.35万元，占基本支出的</w:t>
      </w:r>
      <w:r>
        <w:rPr>
          <w:rFonts w:hint="eastAsia" w:ascii="仿宋_GB2312" w:hAnsi="仿宋_GB2312" w:eastAsia="仿宋_GB2312" w:cs="仿宋_GB2312"/>
          <w:sz w:val="32"/>
          <w:szCs w:val="32"/>
          <w:lang w:val="en-US" w:eastAsia="zh-CN"/>
        </w:rPr>
        <w:t>43.06</w:t>
      </w:r>
      <w:r>
        <w:rPr>
          <w:rFonts w:hint="eastAsia" w:ascii="仿宋_GB2312" w:hAnsi="仿宋_GB2312" w:eastAsia="仿宋_GB2312" w:cs="仿宋_GB2312"/>
          <w:sz w:val="32"/>
          <w:szCs w:val="32"/>
        </w:rPr>
        <w:t>%，主要包括办公费、印刷费、咨询费、手续费</w:t>
      </w:r>
      <w:r>
        <w:rPr>
          <w:rFonts w:hint="eastAsia" w:ascii="仿宋_GB2312" w:hAnsi="仿宋_GB2312" w:eastAsia="仿宋_GB2312" w:cs="仿宋_GB2312"/>
          <w:sz w:val="32"/>
          <w:szCs w:val="32"/>
          <w:lang w:eastAsia="zh-CN"/>
        </w:rPr>
        <w:t>、水费、电费、邮电费、物业管理费、差旅费、维修（护）费、租赁费、会议费、培训费、公务接待费、专用材料费、专用燃料费、劳务费、委托业务、工会经费、福利费、公车运行维护费、其他交通费用、税金及附加费用、其他商品服务支出、办公设备购置、专用设备购置、公务用车购置、其他资本性支出等</w:t>
      </w:r>
      <w:r>
        <w:rPr>
          <w:rFonts w:hint="eastAsia" w:ascii="仿宋_GB2312" w:hAnsi="仿宋_GB2312" w:eastAsia="仿宋_GB2312" w:cs="仿宋_GB2312"/>
          <w:sz w:val="32"/>
          <w:szCs w:val="32"/>
        </w:rPr>
        <w:t>。</w:t>
      </w:r>
    </w:p>
    <w:p w14:paraId="238B27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2592558">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万元；年初结转和结余9793万元；支出2406.89万元，其中基本支出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万元，项目支出2406.89万元；年末结转和结余7386.11万元。具体情况如下：</w:t>
      </w:r>
    </w:p>
    <w:p w14:paraId="5325FC7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1、其他支出（类）其他政府性基金及对应专项债务收入安排的支出（款）其他地方自行试点项目收益专项债券收入安排的支出（项）。</w:t>
      </w:r>
    </w:p>
    <w:p w14:paraId="4775E7B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9793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2406.89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24.58</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小于</w:t>
      </w:r>
      <w:r>
        <w:rPr>
          <w:rFonts w:hint="eastAsia" w:ascii="Times New Roman" w:hAnsi="Times New Roman" w:eastAsia="仿宋_GB2312"/>
          <w:sz w:val="32"/>
          <w:szCs w:val="32"/>
        </w:rPr>
        <w:t>年初预算数的主要原因是：</w:t>
      </w:r>
      <w:r>
        <w:rPr>
          <w:rFonts w:hint="eastAsia" w:ascii="Times New Roman" w:hAnsi="Times New Roman" w:eastAsia="仿宋_GB2312"/>
          <w:sz w:val="32"/>
          <w:szCs w:val="32"/>
          <w:lang w:eastAsia="zh-CN"/>
        </w:rPr>
        <w:t>市中医医院</w:t>
      </w:r>
      <w:r>
        <w:rPr>
          <w:rFonts w:hint="eastAsia" w:ascii="Times New Roman" w:hAnsi="Times New Roman" w:eastAsia="仿宋_GB2312"/>
          <w:sz w:val="32"/>
          <w:szCs w:val="32"/>
          <w:highlight w:val="none"/>
        </w:rPr>
        <w:t>项目付款</w:t>
      </w:r>
      <w:r>
        <w:rPr>
          <w:rFonts w:ascii="Times New Roman" w:hAnsi="Times New Roman" w:eastAsia="仿宋_GB2312"/>
          <w:sz w:val="32"/>
          <w:szCs w:val="32"/>
          <w:highlight w:val="none"/>
        </w:rPr>
        <w:t>落后于</w:t>
      </w:r>
      <w:r>
        <w:rPr>
          <w:rFonts w:hint="eastAsia" w:ascii="Times New Roman" w:hAnsi="Times New Roman" w:eastAsia="仿宋_GB2312"/>
          <w:sz w:val="32"/>
          <w:szCs w:val="32"/>
          <w:highlight w:val="none"/>
        </w:rPr>
        <w:t>进度</w:t>
      </w:r>
      <w:r>
        <w:rPr>
          <w:rFonts w:hint="eastAsia" w:ascii="Times New Roman" w:hAnsi="Times New Roman" w:eastAsia="仿宋_GB2312"/>
          <w:sz w:val="32"/>
          <w:szCs w:val="32"/>
        </w:rPr>
        <w:t>。</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14:paraId="5876C2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rPr>
        <w:t>148.48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131.96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88.87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rPr>
        <w:t>60.25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84.02</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sz w:val="32"/>
          <w:szCs w:val="32"/>
          <w:lang w:val="en-US" w:eastAsia="zh-CN"/>
        </w:rPr>
        <w:t>严格控制三公经费使用进度</w:t>
      </w:r>
      <w:r>
        <w:rPr>
          <w:rFonts w:ascii="Times New Roman" w:hAnsi="Times New Roman" w:eastAsia="仿宋_GB2312" w:cs="Times New Roman"/>
          <w:sz w:val="32"/>
          <w:szCs w:val="32"/>
        </w:rPr>
        <w:t>。决算数大于上年数的主要原因是</w:t>
      </w:r>
      <w:r>
        <w:rPr>
          <w:rFonts w:hint="eastAsia" w:ascii="仿宋_GB2312" w:hAnsi="仿宋_GB2312" w:eastAsia="仿宋_GB2312" w:cs="仿宋_GB2312"/>
          <w:sz w:val="32"/>
          <w:szCs w:val="32"/>
          <w:lang w:val="en-US" w:eastAsia="zh-CN"/>
        </w:rPr>
        <w:t>依据机关事务局审批，</w:t>
      </w:r>
      <w:r>
        <w:rPr>
          <w:rFonts w:hint="eastAsia" w:ascii="Times New Roman" w:hAnsi="Times New Roman" w:eastAsia="仿宋_GB2312" w:cs="Times New Roman"/>
          <w:sz w:val="32"/>
          <w:szCs w:val="32"/>
          <w:lang w:val="en-US" w:eastAsia="zh-CN"/>
        </w:rPr>
        <w:t>岳阳市中心血站</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采血车</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color w:val="000000" w:themeColor="text1"/>
          <w:sz w:val="32"/>
          <w:szCs w:val="32"/>
          <w14:textFill>
            <w14:solidFill>
              <w14:schemeClr w14:val="tx1"/>
            </w14:solidFill>
          </w14:textFill>
        </w:rPr>
        <w:t>。</w:t>
      </w:r>
    </w:p>
    <w:p w14:paraId="352D03A7">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386A377D">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rPr>
        <w:t>141.44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127.45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90.11</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rPr>
        <w:t>60.4</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90.08%</w:t>
      </w:r>
      <w:r>
        <w:rPr>
          <w:rFonts w:ascii="Times New Roman" w:hAnsi="Times New Roman" w:eastAsia="仿宋_GB2312" w:cs="Times New Roman"/>
          <w:sz w:val="32"/>
          <w:szCs w:val="32"/>
        </w:rPr>
        <w:t>。其中：</w:t>
      </w:r>
    </w:p>
    <w:p w14:paraId="3EE42E14">
      <w:pPr>
        <w:pStyle w:val="13"/>
        <w:overflowPunct w:val="0"/>
        <w:autoSpaceDE/>
        <w:autoSpaceDN/>
        <w:spacing w:line="600" w:lineRule="exact"/>
        <w:ind w:firstLine="640" w:firstLineChars="200"/>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rPr>
        <w:t>79.9</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79.9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rPr>
        <w:t>61.92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344.38</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eastAsia="zh-CN"/>
        </w:rPr>
        <w:t>严格执行预算</w:t>
      </w:r>
      <w:r>
        <w:rPr>
          <w:rFonts w:ascii="Times New Roman" w:hAnsi="Times New Roman" w:eastAsia="仿宋_GB2312" w:cs="Times New Roman"/>
          <w:sz w:val="32"/>
          <w:szCs w:val="32"/>
        </w:rPr>
        <w:t>，决算数大于上年数的主要原因是</w:t>
      </w:r>
      <w:r>
        <w:rPr>
          <w:rFonts w:hint="eastAsia" w:ascii="仿宋_GB2312" w:hAnsi="仿宋_GB2312" w:eastAsia="仿宋_GB2312" w:cs="仿宋_GB2312"/>
          <w:sz w:val="32"/>
          <w:szCs w:val="32"/>
          <w:lang w:val="en-US" w:eastAsia="zh-CN"/>
        </w:rPr>
        <w:t>依据机关事务局审批，</w:t>
      </w:r>
      <w:r>
        <w:rPr>
          <w:rFonts w:hint="eastAsia" w:ascii="Times New Roman" w:hAnsi="Times New Roman" w:eastAsia="仿宋_GB2312" w:cs="Times New Roman"/>
          <w:sz w:val="32"/>
          <w:szCs w:val="32"/>
          <w:lang w:val="en-US" w:eastAsia="zh-CN"/>
        </w:rPr>
        <w:t>岳阳市中心血站</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采血车</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color w:val="000000" w:themeColor="text1"/>
          <w:sz w:val="32"/>
          <w:szCs w:val="32"/>
          <w14:textFill>
            <w14:solidFill>
              <w14:schemeClr w14:val="tx1"/>
            </w14:solidFill>
          </w14:textFill>
        </w:rPr>
        <w:t>。</w:t>
      </w:r>
    </w:p>
    <w:p w14:paraId="41382B6F">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rPr>
        <w:t>61.54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47.55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eastAsia="zh-CN"/>
        </w:rPr>
        <w:t>保障</w:t>
      </w:r>
      <w:r>
        <w:rPr>
          <w:rFonts w:ascii="Times New Roman" w:hAnsi="Times New Roman" w:eastAsia="仿宋_GB2312" w:cs="Times New Roman"/>
          <w:sz w:val="32"/>
          <w:szCs w:val="32"/>
        </w:rPr>
        <w:t>公务用车运行维护</w:t>
      </w:r>
      <w:r>
        <w:rPr>
          <w:rFonts w:hint="eastAsia" w:ascii="Times New Roman" w:hAnsi="Times New Roman" w:eastAsia="仿宋_GB2312" w:cs="Times New Roman"/>
          <w:sz w:val="32"/>
          <w:szCs w:val="32"/>
          <w:lang w:eastAsia="zh-CN"/>
        </w:rPr>
        <w:t>的</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77.27</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1.52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3.1</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单位厉行节约，控制三公经费使用进度</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eastAsia="zh-CN"/>
        </w:rPr>
        <w:t>单位厉行节约</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24</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val="en-US" w:eastAsia="zh-CN"/>
        </w:rPr>
        <w:t xml:space="preserve">       </w:t>
      </w:r>
    </w:p>
    <w:p w14:paraId="039328FA">
      <w:pPr>
        <w:pStyle w:val="13"/>
        <w:overflowPunct w:val="0"/>
        <w:autoSpaceDE/>
        <w:autoSpaceDN/>
        <w:spacing w:line="600" w:lineRule="exact"/>
        <w:ind w:firstLine="640" w:firstLineChars="200"/>
        <w:jc w:val="both"/>
        <w:rPr>
          <w:rFonts w:hint="eastAsia" w:ascii="Times New Roman" w:hAnsi="Times New Roman" w:eastAsia="仿宋_GB2312"/>
          <w:b/>
          <w:color w:val="auto"/>
          <w:sz w:val="32"/>
          <w:szCs w:val="32"/>
          <w:lang w:eastAsia="zh-CN"/>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rPr>
        <w:t>7.04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4.51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64.06</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3.22</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单位厉行节约，控制三公经费使用进度</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eastAsia="zh-CN"/>
        </w:rPr>
        <w:t>单位厉行节约</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52</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348</w:t>
      </w:r>
      <w:r>
        <w:rPr>
          <w:rFonts w:ascii="Times New Roman" w:hAnsi="Times New Roman" w:eastAsia="仿宋_GB2312" w:cs="Times New Roman"/>
          <w:sz w:val="32"/>
          <w:szCs w:val="32"/>
        </w:rPr>
        <w:t>人次，主要是</w:t>
      </w:r>
      <w:r>
        <w:rPr>
          <w:rFonts w:hint="eastAsia" w:ascii="仿宋_GB2312" w:hAnsi="仿宋_GB2312" w:eastAsia="仿宋_GB2312" w:cs="仿宋_GB2312"/>
          <w:sz w:val="32"/>
          <w:szCs w:val="32"/>
          <w:lang w:val="en-US" w:eastAsia="zh-CN"/>
        </w:rPr>
        <w:t>省内卫健系统业务工作</w:t>
      </w:r>
      <w:r>
        <w:rPr>
          <w:rFonts w:hint="eastAsia" w:ascii="仿宋_GB2312" w:hAnsi="仿宋_GB2312" w:eastAsia="仿宋_GB2312" w:cs="仿宋_GB2312"/>
          <w:sz w:val="32"/>
          <w:szCs w:val="32"/>
        </w:rPr>
        <w:t>发生的接待支出</w:t>
      </w:r>
      <w:r>
        <w:rPr>
          <w:rFonts w:ascii="Times New Roman" w:hAnsi="Times New Roman" w:eastAsia="仿宋_GB2312" w:cs="Times New Roman"/>
          <w:sz w:val="32"/>
          <w:szCs w:val="32"/>
        </w:rPr>
        <w:t>。</w:t>
      </w:r>
    </w:p>
    <w:p w14:paraId="3D06A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年度机关运行经费支出6970.35万元，</w:t>
      </w:r>
      <w:r>
        <w:rPr>
          <w:rFonts w:hint="eastAsia" w:ascii="仿宋_GB2312" w:hAnsi="仿宋_GB2312" w:eastAsia="仿宋_GB2312" w:cs="仿宋_GB2312"/>
          <w:sz w:val="32"/>
          <w:szCs w:val="32"/>
          <w:highlight w:val="none"/>
        </w:rPr>
        <w:t>比上年决算数增加293.76万元，增长</w:t>
      </w:r>
      <w:r>
        <w:rPr>
          <w:rFonts w:hint="eastAsia" w:ascii="仿宋_GB2312" w:hAnsi="仿宋_GB2312" w:eastAsia="仿宋_GB2312" w:cs="仿宋_GB2312"/>
          <w:sz w:val="32"/>
          <w:szCs w:val="32"/>
          <w:highlight w:val="none"/>
          <w:lang w:val="en-US" w:eastAsia="zh-CN"/>
        </w:rPr>
        <w:t>4.4</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：委托业务费较上一年增加</w:t>
      </w:r>
      <w:r>
        <w:rPr>
          <w:rFonts w:hint="eastAsia" w:ascii="楷体" w:hAnsi="楷体" w:eastAsia="楷体" w:cs="楷体"/>
          <w:sz w:val="32"/>
          <w:szCs w:val="32"/>
        </w:rPr>
        <w:t>。</w:t>
      </w:r>
    </w:p>
    <w:p w14:paraId="39684EF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年度，会议费年初预算1.2万元，支出决算为3.5万元，完成年初预算的</w:t>
      </w:r>
      <w:r>
        <w:rPr>
          <w:rFonts w:hint="eastAsia" w:ascii="仿宋_GB2312" w:hAnsi="仿宋_GB2312" w:eastAsia="仿宋_GB2312" w:cs="仿宋_GB2312"/>
          <w:color w:val="000000"/>
          <w:kern w:val="0"/>
          <w:sz w:val="32"/>
          <w:szCs w:val="32"/>
          <w:lang w:val="en-US" w:eastAsia="zh-CN" w:bidi="ar-SA"/>
        </w:rPr>
        <w:t>291.67</w:t>
      </w:r>
      <w:r>
        <w:rPr>
          <w:rFonts w:hint="eastAsia" w:ascii="仿宋_GB2312" w:hAnsi="仿宋_GB2312" w:eastAsia="仿宋_GB2312" w:cs="仿宋_GB2312"/>
          <w:sz w:val="32"/>
          <w:szCs w:val="32"/>
          <w:lang w:val="en-US" w:eastAsia="zh-CN"/>
        </w:rPr>
        <w:t>%。用于召开</w:t>
      </w:r>
      <w:r>
        <w:rPr>
          <w:rFonts w:hint="eastAsia" w:ascii="仿宋_GB2312" w:hAnsi="仿宋_GB2312" w:eastAsia="仿宋_GB2312" w:cs="仿宋_GB2312"/>
          <w:color w:val="auto"/>
          <w:kern w:val="2"/>
          <w:sz w:val="32"/>
          <w:szCs w:val="32"/>
          <w:lang w:val="en-US" w:eastAsia="zh-CN" w:bidi="ar-SA"/>
        </w:rPr>
        <w:t>市卫生健康相关工作</w:t>
      </w:r>
      <w:r>
        <w:rPr>
          <w:rFonts w:hint="eastAsia" w:ascii="仿宋_GB2312" w:hAnsi="仿宋_GB2312" w:eastAsia="仿宋_GB2312" w:cs="仿宋_GB2312"/>
          <w:sz w:val="32"/>
          <w:szCs w:val="32"/>
          <w:lang w:val="en-US" w:eastAsia="zh-CN"/>
        </w:rPr>
        <w:t>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283</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全市卫生健康工作会议、各业务科室工作会议、应急演练会议、免疫规划工作会议、全市疾控工作会、</w:t>
      </w:r>
      <w:r>
        <w:rPr>
          <w:rFonts w:hint="eastAsia" w:ascii="仿宋_GB2312" w:hAnsi="仿宋_GB2312" w:eastAsia="仿宋_GB2312" w:cs="仿宋_GB2312"/>
          <w:color w:val="000000"/>
          <w:kern w:val="0"/>
          <w:sz w:val="32"/>
          <w:szCs w:val="32"/>
          <w:lang w:val="en-US" w:eastAsia="zh-CN" w:bidi="ar-SA"/>
        </w:rPr>
        <w:t>备血协调会、</w:t>
      </w:r>
      <w:r>
        <w:rPr>
          <w:rFonts w:hint="eastAsia" w:ascii="仿宋_GB2312" w:hAnsi="仿宋_GB2312" w:eastAsia="仿宋_GB2312" w:cs="仿宋_GB2312"/>
          <w:sz w:val="32"/>
          <w:szCs w:val="32"/>
          <w:lang w:val="en-US" w:eastAsia="zh-CN"/>
        </w:rPr>
        <w:t>全市医疗美容综合监管工作会等。</w:t>
      </w:r>
    </w:p>
    <w:p w14:paraId="7E50C230">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培训费年初预算1.3万元，支出决算为18.51万元，完成年初预算的1423.85%。用于开展市卫生健康相关技能培训，人数1915人，内容为开展系统党务培训、各科室业务技能培训、</w:t>
      </w:r>
      <w:r>
        <w:rPr>
          <w:rFonts w:hint="eastAsia" w:ascii="仿宋_GB2312" w:hAnsi="仿宋_GB2312" w:eastAsia="仿宋_GB2312" w:cs="仿宋_GB2312"/>
          <w:color w:val="000000"/>
          <w:kern w:val="0"/>
          <w:sz w:val="32"/>
          <w:szCs w:val="32"/>
        </w:rPr>
        <w:t>血吸虫病防治、</w:t>
      </w:r>
      <w:r>
        <w:rPr>
          <w:rFonts w:hint="eastAsia" w:ascii="仿宋_GB2312" w:hAnsi="仿宋_GB2312" w:eastAsia="仿宋_GB2312" w:cs="仿宋_GB2312"/>
          <w:color w:val="000000"/>
          <w:kern w:val="0"/>
          <w:sz w:val="32"/>
          <w:szCs w:val="32"/>
          <w:lang w:val="en-US" w:eastAsia="zh-CN"/>
        </w:rPr>
        <w:t>预防接种</w:t>
      </w:r>
      <w:r>
        <w:rPr>
          <w:rFonts w:hint="eastAsia" w:ascii="仿宋_GB2312" w:hAnsi="仿宋_GB2312" w:eastAsia="仿宋_GB2312" w:cs="仿宋_GB2312"/>
          <w:color w:val="000000"/>
          <w:kern w:val="0"/>
          <w:sz w:val="32"/>
          <w:szCs w:val="32"/>
        </w:rPr>
        <w:t>能力提升、</w:t>
      </w:r>
      <w:r>
        <w:rPr>
          <w:rFonts w:hint="eastAsia" w:ascii="仿宋_GB2312" w:hAnsi="仿宋_GB2312" w:eastAsia="仿宋_GB2312" w:cs="仿宋_GB2312"/>
          <w:color w:val="000000"/>
          <w:kern w:val="0"/>
          <w:sz w:val="32"/>
          <w:szCs w:val="32"/>
          <w:lang w:val="en-US" w:eastAsia="zh-CN"/>
        </w:rPr>
        <w:t>学生常见病和健康影响监测与干预</w:t>
      </w:r>
      <w:r>
        <w:rPr>
          <w:rFonts w:hint="eastAsia" w:ascii="仿宋_GB2312" w:hAnsi="仿宋_GB2312" w:eastAsia="仿宋_GB2312" w:cs="仿宋_GB2312"/>
          <w:color w:val="000000"/>
          <w:kern w:val="0"/>
          <w:sz w:val="32"/>
          <w:szCs w:val="32"/>
        </w:rPr>
        <w:t>、结核病防控、地方病寄生虫病防治、</w:t>
      </w:r>
      <w:r>
        <w:rPr>
          <w:rFonts w:hint="eastAsia" w:ascii="仿宋_GB2312" w:hAnsi="仿宋_GB2312" w:eastAsia="仿宋_GB2312" w:cs="仿宋_GB2312"/>
          <w:color w:val="000000"/>
          <w:kern w:val="0"/>
          <w:sz w:val="32"/>
          <w:szCs w:val="32"/>
          <w:lang w:val="en-US" w:eastAsia="zh-CN"/>
        </w:rPr>
        <w:t>职业病防治、重大传染病监测与防控</w:t>
      </w:r>
      <w:r>
        <w:rPr>
          <w:rFonts w:hint="eastAsia" w:ascii="仿宋_GB2312" w:hAnsi="仿宋_GB2312" w:eastAsia="仿宋_GB2312" w:cs="仿宋_GB2312"/>
          <w:color w:val="000000"/>
          <w:kern w:val="0"/>
          <w:sz w:val="32"/>
          <w:szCs w:val="32"/>
        </w:rPr>
        <w:t>、艾滋病性病丙肝综合防治</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bidi="ar-SA"/>
        </w:rPr>
        <w:t>临床合理用血和输血安全、特种设备操作、继续教育</w:t>
      </w:r>
      <w:r>
        <w:rPr>
          <w:rFonts w:hint="eastAsia" w:ascii="仿宋_GB2312" w:hAnsi="仿宋_GB2312" w:eastAsia="仿宋_GB2312" w:cs="仿宋_GB2312"/>
          <w:color w:val="000000"/>
          <w:kern w:val="0"/>
          <w:sz w:val="32"/>
          <w:szCs w:val="32"/>
        </w:rPr>
        <w:t>培训</w:t>
      </w:r>
      <w:r>
        <w:rPr>
          <w:rFonts w:hint="eastAsia" w:ascii="仿宋_GB2312" w:hAnsi="仿宋_GB2312" w:eastAsia="仿宋_GB2312" w:cs="仿宋_GB2312"/>
          <w:color w:val="000000"/>
          <w:kern w:val="0"/>
          <w:sz w:val="32"/>
          <w:szCs w:val="32"/>
          <w:lang w:eastAsia="zh-CN"/>
        </w:rPr>
        <w:t>等</w:t>
      </w:r>
      <w:r>
        <w:rPr>
          <w:rFonts w:hint="eastAsia" w:ascii="仿宋_GB2312" w:hAnsi="仿宋_GB2312" w:eastAsia="仿宋_GB2312" w:cs="仿宋_GB2312"/>
          <w:color w:val="000000"/>
          <w:kern w:val="0"/>
          <w:sz w:val="32"/>
          <w:szCs w:val="32"/>
          <w:lang w:val="en-US" w:eastAsia="zh-CN" w:bidi="ar-SA"/>
        </w:rPr>
        <w:t>。</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举办节庆、晚会、论坛、赛事活动年初预算0万元，支出决算为0万元，本单位无举办节庆、晚会、论坛、赛事等活动的预算和支出决算数</w:t>
      </w:r>
    </w:p>
    <w:p w14:paraId="252D0BE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年度政府采购支出总额39766.46万元，其中：政府采购货物支出10831.94万元、政府采购工程支出18984.88万元、政府采购服务支出9949.64万元。授予中小企业合同金额17786.81万元，占政府采购支出总额的</w:t>
      </w:r>
      <w:r>
        <w:rPr>
          <w:rFonts w:hint="eastAsia" w:ascii="仿宋_GB2312" w:hAnsi="仿宋_GB2312" w:eastAsia="仿宋_GB2312" w:cs="仿宋_GB2312"/>
          <w:sz w:val="32"/>
          <w:szCs w:val="32"/>
          <w:lang w:val="en-US" w:eastAsia="zh-CN"/>
        </w:rPr>
        <w:t>44.73</w:t>
      </w:r>
      <w:r>
        <w:rPr>
          <w:rFonts w:hint="eastAsia" w:ascii="仿宋_GB2312" w:hAnsi="仿宋_GB2312" w:eastAsia="仿宋_GB2312" w:cs="仿宋_GB2312"/>
          <w:sz w:val="32"/>
          <w:szCs w:val="32"/>
        </w:rPr>
        <w:t>%，其中：授予小微企业合同金额14891.31万元，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83.72</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68.79</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27.46</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51.48</w:t>
      </w:r>
      <w:r>
        <w:rPr>
          <w:rFonts w:hint="eastAsia" w:ascii="仿宋_GB2312" w:hAnsi="仿宋_GB2312" w:eastAsia="仿宋_GB2312" w:cs="仿宋_GB2312"/>
          <w:color w:val="auto"/>
          <w:sz w:val="32"/>
          <w:szCs w:val="32"/>
        </w:rPr>
        <w:t>%。</w:t>
      </w:r>
    </w:p>
    <w:p w14:paraId="246A0DF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共有车辆71辆，其中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用车1辆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辆、应急保障用车4辆、执法执勤用车3辆、特种专业技术用车41辆、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辆、其他用车22辆，其他用车主要是</w:t>
      </w:r>
      <w:r>
        <w:rPr>
          <w:rFonts w:hint="eastAsia" w:ascii="Times New Roman" w:hAnsi="Times New Roman" w:eastAsia="仿宋_GB2312"/>
          <w:sz w:val="32"/>
          <w:szCs w:val="32"/>
        </w:rPr>
        <w:t>救护车</w:t>
      </w:r>
      <w:r>
        <w:rPr>
          <w:rFonts w:hint="eastAsia" w:ascii="Times New Roman" w:hAnsi="Times New Roman" w:eastAsia="仿宋_GB2312"/>
          <w:sz w:val="32"/>
          <w:szCs w:val="32"/>
          <w:lang w:eastAsia="zh-CN"/>
        </w:rPr>
        <w:t>、</w:t>
      </w:r>
      <w:r>
        <w:rPr>
          <w:rFonts w:hint="eastAsia" w:ascii="仿宋_GB2312" w:hAnsi="仿宋_GB2312" w:eastAsia="仿宋_GB2312" w:cs="仿宋_GB2312"/>
          <w:color w:val="auto"/>
          <w:sz w:val="32"/>
          <w:szCs w:val="32"/>
          <w:lang w:val="en-US" w:eastAsia="zh-CN"/>
        </w:rPr>
        <w:t>采供血用车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rPr>
        <w:t>364台（套）。</w:t>
      </w:r>
    </w:p>
    <w:p w14:paraId="0A8224AC">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35</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rPr>
        <w:t>17814.08</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35</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rPr>
        <w:t>17814.08</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52.39</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r>
        <w:rPr>
          <w:rFonts w:hint="eastAsia" w:ascii="仿宋_GB2312" w:hAnsi="仿宋_GB2312" w:eastAsia="仿宋_GB2312" w:cs="仿宋_GB2312"/>
          <w:sz w:val="32"/>
          <w:szCs w:val="32"/>
          <w:lang w:eastAsia="zh-CN"/>
        </w:rPr>
        <w:t>由于</w:t>
      </w:r>
      <w:r>
        <w:rPr>
          <w:rFonts w:ascii="Times New Roman" w:hAnsi="Times New Roman" w:eastAsia="仿宋_GB2312" w:cs="Times New Roman"/>
          <w:kern w:val="0"/>
          <w:sz w:val="32"/>
          <w:szCs w:val="32"/>
        </w:rPr>
        <w:t>政府性基金预算</w:t>
      </w:r>
      <w:r>
        <w:rPr>
          <w:rFonts w:hint="eastAsia" w:ascii="仿宋_GB2312" w:hAnsi="仿宋_GB2312" w:eastAsia="仿宋_GB2312" w:cs="仿宋_GB2312"/>
          <w:b w:val="0"/>
          <w:bCs w:val="0"/>
          <w:color w:val="000000"/>
          <w:kern w:val="0"/>
          <w:sz w:val="32"/>
          <w:szCs w:val="32"/>
          <w:lang w:val="en-US" w:eastAsia="zh-CN" w:bidi="ar-SA"/>
        </w:rPr>
        <w:t>支出</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b w:val="0"/>
          <w:bCs w:val="0"/>
          <w:color w:val="000000"/>
          <w:kern w:val="0"/>
          <w:sz w:val="32"/>
          <w:szCs w:val="32"/>
          <w:lang w:val="en-US" w:eastAsia="zh-CN" w:bidi="ar-SA"/>
        </w:rPr>
        <w:t>万元</w:t>
      </w:r>
      <w:r>
        <w:rPr>
          <w:rFonts w:hint="eastAsia" w:ascii="仿宋_GB2312" w:hAnsi="仿宋_GB2312" w:eastAsia="仿宋_GB2312" w:cs="仿宋_GB2312"/>
          <w:sz w:val="32"/>
          <w:szCs w:val="32"/>
          <w:lang w:val="en-US" w:eastAsia="zh-CN"/>
        </w:rPr>
        <w:t>，无法计算百分比</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r>
        <w:rPr>
          <w:rFonts w:hint="eastAsia" w:ascii="Times New Roman" w:hAnsi="Times New Roman" w:eastAsia="仿宋_GB2312" w:cs="Times New Roman"/>
          <w:kern w:val="0"/>
          <w:sz w:val="32"/>
          <w:szCs w:val="32"/>
          <w:lang w:eastAsia="zh-CN"/>
        </w:rPr>
        <w:t>，</w:t>
      </w:r>
      <w:r>
        <w:rPr>
          <w:rFonts w:hint="eastAsia" w:ascii="仿宋_GB2312" w:hAnsi="仿宋_GB2312" w:eastAsia="仿宋_GB2312" w:cs="仿宋_GB2312"/>
          <w:sz w:val="32"/>
          <w:szCs w:val="32"/>
          <w:lang w:eastAsia="zh-CN"/>
        </w:rPr>
        <w:t>由于</w:t>
      </w:r>
      <w:r>
        <w:rPr>
          <w:rFonts w:hint="eastAsia" w:ascii="仿宋_GB2312" w:hAnsi="仿宋_GB2312" w:eastAsia="仿宋_GB2312" w:cs="仿宋_GB2312"/>
          <w:b w:val="0"/>
          <w:bCs w:val="0"/>
          <w:color w:val="000000"/>
          <w:kern w:val="0"/>
          <w:sz w:val="32"/>
          <w:szCs w:val="32"/>
          <w:lang w:val="en-US" w:eastAsia="zh-CN" w:bidi="ar-SA"/>
        </w:rPr>
        <w:t>国有资本经营预算支出</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b w:val="0"/>
          <w:bCs w:val="0"/>
          <w:color w:val="000000"/>
          <w:kern w:val="0"/>
          <w:sz w:val="32"/>
          <w:szCs w:val="32"/>
          <w:lang w:val="en-US" w:eastAsia="zh-CN" w:bidi="ar-SA"/>
        </w:rPr>
        <w:t>万元</w:t>
      </w:r>
      <w:r>
        <w:rPr>
          <w:rFonts w:hint="eastAsia" w:ascii="仿宋_GB2312" w:hAnsi="仿宋_GB2312" w:eastAsia="仿宋_GB2312" w:cs="仿宋_GB2312"/>
          <w:sz w:val="32"/>
          <w:szCs w:val="32"/>
          <w:lang w:val="en-US" w:eastAsia="zh-CN"/>
        </w:rPr>
        <w:t>，无法计算百分比</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w:t>
      </w:r>
      <w:r>
        <w:rPr>
          <w:rFonts w:hint="eastAsia" w:ascii="仿宋_GB2312" w:hAnsi="仿宋_GB2312" w:eastAsia="仿宋_GB2312" w:cs="仿宋_GB2312"/>
          <w:sz w:val="32"/>
          <w:szCs w:val="32"/>
          <w:lang w:eastAsia="zh-CN"/>
        </w:rPr>
        <w:t>由于</w:t>
      </w:r>
      <w:r>
        <w:rPr>
          <w:rFonts w:ascii="Times New Roman" w:hAnsi="Times New Roman" w:eastAsia="仿宋_GB2312" w:cs="Times New Roman"/>
          <w:kern w:val="0"/>
          <w:sz w:val="32"/>
          <w:szCs w:val="32"/>
          <w:highlight w:val="none"/>
        </w:rPr>
        <w:t>社会保险基金预算</w:t>
      </w:r>
      <w:r>
        <w:rPr>
          <w:rFonts w:hint="eastAsia" w:ascii="仿宋_GB2312" w:hAnsi="仿宋_GB2312" w:eastAsia="仿宋_GB2312" w:cs="仿宋_GB2312"/>
          <w:b w:val="0"/>
          <w:bCs w:val="0"/>
          <w:color w:val="000000"/>
          <w:kern w:val="0"/>
          <w:sz w:val="32"/>
          <w:szCs w:val="32"/>
          <w:lang w:val="en-US" w:eastAsia="zh-CN" w:bidi="ar-SA"/>
        </w:rPr>
        <w:t>支出</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b w:val="0"/>
          <w:bCs w:val="0"/>
          <w:color w:val="000000"/>
          <w:kern w:val="0"/>
          <w:sz w:val="32"/>
          <w:szCs w:val="32"/>
          <w:lang w:val="en-US" w:eastAsia="zh-CN" w:bidi="ar-SA"/>
        </w:rPr>
        <w:t>万元</w:t>
      </w:r>
      <w:r>
        <w:rPr>
          <w:rFonts w:hint="eastAsia" w:ascii="仿宋_GB2312" w:hAnsi="仿宋_GB2312" w:eastAsia="仿宋_GB2312" w:cs="仿宋_GB2312"/>
          <w:sz w:val="32"/>
          <w:szCs w:val="32"/>
          <w:lang w:val="en-US" w:eastAsia="zh-CN"/>
        </w:rPr>
        <w:t>，无法计算百分比</w:t>
      </w:r>
      <w:r>
        <w:rPr>
          <w:rFonts w:ascii="Times New Roman" w:hAnsi="Times New Roman" w:eastAsia="仿宋_GB2312" w:cs="Times New Roman"/>
          <w:kern w:val="0"/>
          <w:sz w:val="32"/>
          <w:szCs w:val="32"/>
          <w:highlight w:val="none"/>
        </w:rPr>
        <w:t>。</w:t>
      </w:r>
    </w:p>
    <w:p w14:paraId="4E007220">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sz w:val="32"/>
          <w:szCs w:val="32"/>
          <w:lang w:eastAsia="zh-CN"/>
        </w:rPr>
        <w:t>中医药事业传承与发展</w:t>
      </w:r>
      <w:r>
        <w:rPr>
          <w:rFonts w:ascii="Times New Roman" w:hAnsi="Times New Roman" w:eastAsia="仿宋_GB2312" w:cs="Times New Roman"/>
          <w:kern w:val="0"/>
          <w:sz w:val="32"/>
          <w:szCs w:val="32"/>
        </w:rPr>
        <w:t>”“</w:t>
      </w:r>
      <w:r>
        <w:rPr>
          <w:rFonts w:hint="eastAsia" w:ascii="Times New Roman" w:hAnsi="Times New Roman" w:eastAsia="仿宋_GB2312" w:cs="Times New Roman"/>
          <w:color w:val="000000"/>
          <w:sz w:val="32"/>
          <w:szCs w:val="32"/>
          <w:lang w:val="en-US" w:eastAsia="zh-CN"/>
        </w:rPr>
        <w:t>血吸虫病防治</w:t>
      </w:r>
      <w:r>
        <w:rPr>
          <w:rFonts w:ascii="Times New Roman" w:hAnsi="Times New Roman" w:eastAsia="仿宋_GB2312" w:cs="Times New Roman"/>
          <w:kern w:val="0"/>
          <w:sz w:val="32"/>
          <w:szCs w:val="32"/>
        </w:rPr>
        <w:t>”等</w:t>
      </w:r>
      <w:r>
        <w:rPr>
          <w:rFonts w:hint="eastAsia" w:ascii="Times New Roman" w:hAnsi="Times New Roman" w:eastAsia="仿宋_GB2312" w:cs="Times New Roman"/>
          <w:sz w:val="32"/>
          <w:szCs w:val="32"/>
          <w:lang w:val="en-US" w:eastAsia="zh-CN"/>
        </w:rPr>
        <w:t>35</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kern w:val="0"/>
          <w:sz w:val="32"/>
          <w:szCs w:val="32"/>
        </w:rPr>
        <w:t>17814.08</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kern w:val="0"/>
          <w:sz w:val="32"/>
          <w:szCs w:val="32"/>
          <w:lang w:val="en-US" w:eastAsia="zh-CN"/>
        </w:rPr>
        <w:t>本单位及所属单位本年度未新增重大政策和重大项目，所以无事前绩效评估开展情况。</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14170616">
      <w:pPr>
        <w:pStyle w:val="14"/>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rPr>
        <w:t>430563.1</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rPr>
        <w:t>430563.1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w:t>
      </w:r>
      <w:r>
        <w:rPr>
          <w:rFonts w:hint="eastAsia" w:ascii="仿宋_GB2312" w:hAnsi="仿宋_GB2312" w:eastAsia="仿宋_GB2312" w:cs="仿宋_GB2312"/>
          <w:b w:val="0"/>
          <w:bCs w:val="0"/>
          <w:color w:val="000000"/>
          <w:kern w:val="0"/>
          <w:sz w:val="32"/>
          <w:szCs w:val="32"/>
          <w:lang w:val="en-US" w:eastAsia="zh-CN" w:bidi="ar-SA"/>
        </w:rPr>
        <w:t>绩效目标完成情况：一是</w:t>
      </w:r>
      <w:r>
        <w:rPr>
          <w:rFonts w:hint="eastAsia" w:ascii="仿宋_GB2312" w:hAnsi="仿宋_GB2312" w:eastAsia="仿宋_GB2312" w:cs="仿宋_GB2312"/>
          <w:sz w:val="32"/>
          <w:szCs w:val="32"/>
          <w:lang w:eastAsia="zh-CN"/>
        </w:rPr>
        <w:t>单位年度内整体</w:t>
      </w:r>
      <w:r>
        <w:rPr>
          <w:rFonts w:hint="eastAsia" w:ascii="仿宋_GB2312" w:hAnsi="仿宋_GB2312" w:eastAsia="仿宋_GB2312" w:cs="仿宋_GB2312"/>
          <w:sz w:val="32"/>
          <w:szCs w:val="32"/>
          <w:lang w:val="en-US" w:eastAsia="zh-CN"/>
        </w:rPr>
        <w:t>运行良好</w:t>
      </w: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color w:val="000000"/>
          <w:kern w:val="0"/>
          <w:sz w:val="32"/>
          <w:szCs w:val="32"/>
          <w:lang w:val="en-US" w:eastAsia="zh-CN" w:bidi="ar-SA"/>
        </w:rPr>
        <w:t>是</w:t>
      </w:r>
      <w:r>
        <w:rPr>
          <w:rFonts w:hint="eastAsia" w:ascii="仿宋_GB2312" w:hAnsi="仿宋_GB2312" w:eastAsia="仿宋_GB2312" w:cs="仿宋_GB2312"/>
          <w:sz w:val="32"/>
          <w:szCs w:val="32"/>
        </w:rPr>
        <w:t>高质量高标准地完成了年初确定的各项工作任务</w:t>
      </w:r>
      <w:r>
        <w:rPr>
          <w:rFonts w:hint="eastAsia" w:ascii="仿宋_GB2312" w:hAnsi="仿宋_GB2312" w:eastAsia="仿宋_GB2312" w:cs="仿宋_GB2312"/>
          <w:b w:val="0"/>
          <w:bCs w:val="0"/>
          <w:color w:val="000000"/>
          <w:kern w:val="0"/>
          <w:sz w:val="32"/>
          <w:szCs w:val="32"/>
          <w:lang w:val="en-US" w:eastAsia="zh-CN" w:bidi="ar-SA"/>
        </w:rPr>
        <w:t>。发现的主要问题及原因：一是受财政资金下达周期较长影响，资金使用速度有待提升；二是受财务人员、业务人员专业水平影响，资金使用效果有待提升。下一步改进措施：一是持续加强业务能力建设，深化与各业务科室的协同沟通，加快推动业财融合；二是建立健全预算执行动态监测与分析机制，定期开展支出评估，提升财政资金使用的规范性和效益性。</w:t>
      </w:r>
    </w:p>
    <w:p w14:paraId="61C86BFC">
      <w:pPr>
        <w:pStyle w:val="14"/>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sz w:val="32"/>
          <w:szCs w:val="32"/>
          <w:lang w:eastAsia="zh-CN"/>
        </w:rPr>
        <w:t>中医药事业传承与发展</w:t>
      </w:r>
      <w:r>
        <w:rPr>
          <w:rFonts w:ascii="Times New Roman" w:hAnsi="Times New Roman" w:eastAsia="仿宋_GB2312" w:cs="Times New Roman"/>
          <w:kern w:val="0"/>
          <w:sz w:val="32"/>
          <w:szCs w:val="32"/>
        </w:rPr>
        <w:t>”“</w:t>
      </w:r>
      <w:r>
        <w:rPr>
          <w:rFonts w:hint="eastAsia" w:ascii="Times New Roman" w:hAnsi="Times New Roman" w:eastAsia="仿宋_GB2312" w:cs="Times New Roman"/>
          <w:color w:val="000000"/>
          <w:sz w:val="32"/>
          <w:szCs w:val="32"/>
          <w:lang w:val="en-US" w:eastAsia="zh-CN"/>
        </w:rPr>
        <w:t>血吸虫病防治</w:t>
      </w:r>
      <w:r>
        <w:rPr>
          <w:rFonts w:ascii="Times New Roman" w:hAnsi="Times New Roman" w:eastAsia="仿宋_GB2312" w:cs="Times New Roman"/>
          <w:kern w:val="0"/>
          <w:sz w:val="32"/>
          <w:szCs w:val="32"/>
        </w:rPr>
        <w:t>”等</w:t>
      </w:r>
      <w:r>
        <w:rPr>
          <w:rFonts w:hint="eastAsia" w:ascii="Times New Roman" w:hAnsi="Times New Roman" w:eastAsia="仿宋_GB2312" w:cs="Times New Roman"/>
          <w:sz w:val="32"/>
          <w:szCs w:val="32"/>
          <w:lang w:val="en-US" w:eastAsia="zh-CN"/>
        </w:rPr>
        <w:t>35</w:t>
      </w:r>
      <w:r>
        <w:rPr>
          <w:rFonts w:ascii="Times New Roman" w:hAnsi="Times New Roman" w:eastAsia="仿宋_GB2312" w:cs="Times New Roman"/>
          <w:kern w:val="0"/>
          <w:sz w:val="32"/>
          <w:szCs w:val="32"/>
        </w:rPr>
        <w:t>个项目</w:t>
      </w:r>
      <w:r>
        <w:rPr>
          <w:rFonts w:ascii="Times New Roman" w:hAnsi="Times New Roman" w:eastAsia="仿宋_GB2312" w:cs="Times New Roman"/>
          <w:sz w:val="32"/>
          <w:szCs w:val="32"/>
        </w:rPr>
        <w:t>全年预算数</w:t>
      </w:r>
      <w:r>
        <w:rPr>
          <w:rFonts w:hint="eastAsia" w:ascii="Times New Roman" w:hAnsi="Times New Roman" w:eastAsia="仿宋_GB2312" w:cs="Times New Roman"/>
          <w:kern w:val="0"/>
          <w:sz w:val="32"/>
          <w:szCs w:val="32"/>
        </w:rPr>
        <w:t>17814.08</w:t>
      </w:r>
      <w:r>
        <w:rPr>
          <w:rFonts w:ascii="Times New Roman" w:hAnsi="Times New Roman" w:eastAsia="仿宋_GB2312" w:cs="Times New Roman"/>
          <w:sz w:val="32"/>
          <w:szCs w:val="32"/>
        </w:rPr>
        <w:t>万元，执行数</w:t>
      </w:r>
      <w:r>
        <w:rPr>
          <w:rFonts w:hint="eastAsia" w:ascii="Times New Roman" w:hAnsi="Times New Roman" w:eastAsia="仿宋_GB2312" w:cs="Times New Roman"/>
          <w:kern w:val="0"/>
          <w:sz w:val="32"/>
          <w:szCs w:val="32"/>
        </w:rPr>
        <w:t>17814.08</w:t>
      </w:r>
      <w:r>
        <w:rPr>
          <w:rFonts w:ascii="Times New Roman" w:hAnsi="Times New Roman" w:eastAsia="仿宋_GB2312" w:cs="Times New Roman"/>
          <w:sz w:val="32"/>
          <w:szCs w:val="32"/>
        </w:rPr>
        <w:t>万元，完成预算的</w:t>
      </w:r>
      <w:r>
        <w:rPr>
          <w:rFonts w:hint="eastAsia" w:ascii="仿宋_GB2312" w:hAnsi="仿宋_GB2312" w:eastAsia="仿宋_GB2312" w:cs="仿宋_GB2312"/>
          <w:spacing w:val="-6"/>
          <w:kern w:val="2"/>
          <w:sz w:val="32"/>
          <w:szCs w:val="32"/>
          <w:highlight w:val="none"/>
          <w:lang w:val="en-US" w:eastAsia="zh-CN" w:bidi="ar-SA"/>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99</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”。发现的主要问题及原因：</w:t>
      </w:r>
      <w:r>
        <w:rPr>
          <w:rFonts w:hint="eastAsia" w:ascii="仿宋_GB2312" w:hAnsi="仿宋_GB2312" w:eastAsia="仿宋_GB2312" w:cs="仿宋_GB2312"/>
          <w:b w:val="0"/>
          <w:bCs w:val="0"/>
          <w:color w:val="000000"/>
          <w:kern w:val="0"/>
          <w:sz w:val="32"/>
          <w:szCs w:val="32"/>
          <w:lang w:val="en-US" w:eastAsia="zh-CN" w:bidi="ar-SA"/>
        </w:rPr>
        <w:t>一是受财政资金下达周期较长影响，资金使用速度有待提升；二是受财务人员、业务人员专业水平影响，资金使用效果有待提升。下一步改进措施：一是持续加强业务能力建设，深化与各业务科室的协同沟通，加快推动业财融合；二是建立健全预算执行动态监测与分析机制，定期开展支出评估，提升财政资金使用的规范性和效益性。</w:t>
      </w:r>
    </w:p>
    <w:p w14:paraId="5DC4775D">
      <w:pPr>
        <w:overflowPunct w:val="0"/>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b/>
          <w:bCs/>
          <w:kern w:val="0"/>
          <w:sz w:val="32"/>
          <w:szCs w:val="32"/>
          <w:highlight w:val="none"/>
          <w:lang w:val="en-US" w:eastAsia="zh-CN"/>
        </w:rPr>
        <w:t>。</w:t>
      </w:r>
      <w:r>
        <w:rPr>
          <w:rFonts w:hint="eastAsia" w:ascii="Times New Roman" w:hAnsi="Times New Roman" w:eastAsia="仿宋_GB2312" w:cs="Times New Roman"/>
          <w:sz w:val="32"/>
          <w:szCs w:val="32"/>
          <w:lang w:val="en-US" w:eastAsia="zh-CN"/>
        </w:rPr>
        <w:t>本单位及所属单位本年度未开展事前绩效评估，所以无事前绩效评估结果。</w:t>
      </w:r>
      <w:bookmarkStart w:id="0" w:name="_GoBack"/>
      <w:bookmarkEnd w:id="0"/>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6C7F8CD9">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lang w:eastAsia="zh-CN"/>
        </w:rPr>
      </w:pPr>
      <w:r>
        <w:rPr>
          <w:rFonts w:ascii="Times New Roman" w:hAnsi="Times New Roman" w:eastAsia="仿宋_GB2312" w:cs="Times New Roman"/>
          <w:color w:val="auto"/>
          <w:sz w:val="32"/>
          <w:szCs w:val="32"/>
          <w:highlight w:val="none"/>
        </w:rPr>
        <w:t>根据2024年度绩效自评结果</w:t>
      </w:r>
      <w:r>
        <w:rPr>
          <w:rFonts w:hint="eastAsia" w:ascii="Times New Roman" w:hAnsi="Times New Roman" w:eastAsia="仿宋_GB2312" w:cs="Times New Roman"/>
          <w:color w:val="auto"/>
          <w:sz w:val="32"/>
          <w:szCs w:val="32"/>
          <w:highlight w:val="none"/>
          <w:lang w:eastAsia="zh-CN"/>
        </w:rPr>
        <w:t>，对照绩效评价中发现的问题，进一步完善预算管理机制，增强支出责任，规范资金使用，强化财政资金管理水平，提高财政资金使用效益。</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147E06D0">
      <w:pPr>
        <w:pStyle w:val="13"/>
        <w:jc w:val="both"/>
        <w:rPr>
          <w:rFonts w:hint="eastAsia" w:ascii="方正小标宋_GBK" w:hAnsi="方正小标宋_GBK" w:eastAsia="方正小标宋_GBK" w:cs="方正小标宋_GBK"/>
          <w:sz w:val="24"/>
          <w:szCs w:val="24"/>
        </w:rPr>
      </w:pPr>
    </w:p>
    <w:p w14:paraId="3D83FDA1">
      <w:pPr>
        <w:pStyle w:val="13"/>
        <w:jc w:val="center"/>
        <w:rPr>
          <w:rFonts w:hint="eastAsia" w:ascii="方正小标宋_GBK" w:hAnsi="方正小标宋_GBK" w:eastAsia="方正小标宋_GBK" w:cs="方正小标宋_GBK"/>
          <w:sz w:val="72"/>
          <w:szCs w:val="72"/>
        </w:rPr>
      </w:pPr>
    </w:p>
    <w:p w14:paraId="6FB6F211">
      <w:pPr>
        <w:pStyle w:val="13"/>
        <w:jc w:val="center"/>
        <w:rPr>
          <w:rFonts w:hint="eastAsia" w:ascii="方正小标宋_GBK" w:hAnsi="方正小标宋_GBK" w:eastAsia="方正小标宋_GBK" w:cs="方正小标宋_GBK"/>
          <w:sz w:val="72"/>
          <w:szCs w:val="72"/>
        </w:rPr>
      </w:pPr>
    </w:p>
    <w:p w14:paraId="3A01B6B0">
      <w:pPr>
        <w:pStyle w:val="13"/>
        <w:jc w:val="center"/>
        <w:rPr>
          <w:rFonts w:hint="eastAsia" w:ascii="方正小标宋_GBK" w:hAnsi="方正小标宋_GBK" w:eastAsia="方正小标宋_GBK" w:cs="方正小标宋_GBK"/>
          <w:sz w:val="72"/>
          <w:szCs w:val="72"/>
        </w:rPr>
      </w:pPr>
    </w:p>
    <w:p w14:paraId="07746032">
      <w:pPr>
        <w:pStyle w:val="13"/>
        <w:jc w:val="center"/>
        <w:rPr>
          <w:rFonts w:hint="eastAsia" w:ascii="方正小标宋_GBK" w:hAnsi="方正小标宋_GBK" w:eastAsia="方正小标宋_GBK" w:cs="方正小标宋_GBK"/>
          <w:sz w:val="72"/>
          <w:szCs w:val="72"/>
        </w:rPr>
      </w:pPr>
    </w:p>
    <w:p w14:paraId="6A5A782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02E59030">
      <w:pPr>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2AE81CE8">
      <w:pPr>
        <w:pStyle w:val="13"/>
        <w:jc w:val="center"/>
        <w:rPr>
          <w:rFonts w:hint="eastAsia" w:ascii="仿宋_GB2312" w:hAnsi="仿宋_GB2312" w:eastAsia="仿宋_GB2312" w:cs="仿宋_GB2312"/>
          <w:sz w:val="32"/>
          <w:szCs w:val="32"/>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C3DE094">
      <w:pPr>
        <w:pStyle w:val="13"/>
        <w:jc w:val="both"/>
        <w:rPr>
          <w:rFonts w:hint="eastAsia" w:ascii="方正小标宋_GBK" w:hAnsi="方正小标宋_GBK" w:eastAsia="方正小标宋_GBK" w:cs="方正小标宋_GBK"/>
          <w:sz w:val="72"/>
          <w:szCs w:val="72"/>
        </w:rPr>
      </w:pPr>
    </w:p>
    <w:p w14:paraId="449E6B92">
      <w:pPr>
        <w:pStyle w:val="13"/>
        <w:jc w:val="center"/>
        <w:rPr>
          <w:rFonts w:hint="eastAsia" w:ascii="方正小标宋_GBK" w:hAnsi="方正小标宋_GBK" w:eastAsia="方正小标宋_GBK" w:cs="方正小标宋_GBK"/>
          <w:sz w:val="72"/>
          <w:szCs w:val="72"/>
        </w:rPr>
      </w:pPr>
    </w:p>
    <w:p w14:paraId="212805D3">
      <w:pPr>
        <w:pStyle w:val="13"/>
        <w:jc w:val="center"/>
        <w:rPr>
          <w:rFonts w:hint="eastAsia" w:ascii="方正小标宋_GBK" w:hAnsi="方正小标宋_GBK" w:eastAsia="方正小标宋_GBK" w:cs="方正小标宋_GBK"/>
          <w:sz w:val="72"/>
          <w:szCs w:val="72"/>
        </w:rPr>
      </w:pPr>
    </w:p>
    <w:p w14:paraId="76324DD6">
      <w:pPr>
        <w:pStyle w:val="13"/>
        <w:jc w:val="center"/>
        <w:rPr>
          <w:rFonts w:hint="eastAsia" w:ascii="方正小标宋_GBK" w:hAnsi="方正小标宋_GBK" w:eastAsia="方正小标宋_GBK" w:cs="方正小标宋_GBK"/>
          <w:sz w:val="72"/>
          <w:szCs w:val="72"/>
        </w:rPr>
      </w:pPr>
    </w:p>
    <w:p w14:paraId="48643509">
      <w:pPr>
        <w:pStyle w:val="13"/>
        <w:jc w:val="center"/>
        <w:rPr>
          <w:rFonts w:hint="eastAsia" w:ascii="方正小标宋_GBK" w:hAnsi="方正小标宋_GBK" w:eastAsia="方正小标宋_GBK" w:cs="方正小标宋_GBK"/>
          <w:sz w:val="72"/>
          <w:szCs w:val="72"/>
        </w:rPr>
      </w:pPr>
    </w:p>
    <w:p w14:paraId="0C1858E3">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3"/>
        <w:jc w:val="both"/>
        <w:rPr>
          <w:rFonts w:hint="eastAsia" w:ascii="方正小标宋_GBK" w:hAnsi="方正小标宋_GBK" w:eastAsia="方正小标宋_GBK" w:cs="方正小标宋_GBK"/>
          <w:sz w:val="70"/>
          <w:szCs w:val="70"/>
          <w:lang w:eastAsia="zh-CN"/>
        </w:rPr>
      </w:pPr>
    </w:p>
    <w:p w14:paraId="490142D3">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B3AB56A1"/>
    <w:multiLevelType w:val="singleLevel"/>
    <w:tmpl w:val="B3AB56A1"/>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5D12F9"/>
    <w:rsid w:val="059958AD"/>
    <w:rsid w:val="06C857E7"/>
    <w:rsid w:val="08C24A73"/>
    <w:rsid w:val="0AF70F1D"/>
    <w:rsid w:val="0C8625F9"/>
    <w:rsid w:val="101638C2"/>
    <w:rsid w:val="11944E2C"/>
    <w:rsid w:val="12583BA5"/>
    <w:rsid w:val="13BA5B9C"/>
    <w:rsid w:val="1D97DEFF"/>
    <w:rsid w:val="1DFF72E5"/>
    <w:rsid w:val="1EFC6F07"/>
    <w:rsid w:val="1F0527A6"/>
    <w:rsid w:val="2025660B"/>
    <w:rsid w:val="22AC03C2"/>
    <w:rsid w:val="24733244"/>
    <w:rsid w:val="283B15FE"/>
    <w:rsid w:val="2FDF85B8"/>
    <w:rsid w:val="2FFFEE04"/>
    <w:rsid w:val="31C95635"/>
    <w:rsid w:val="34DF85B0"/>
    <w:rsid w:val="3B8F36BC"/>
    <w:rsid w:val="43EB5BA5"/>
    <w:rsid w:val="487877F8"/>
    <w:rsid w:val="491FF225"/>
    <w:rsid w:val="4A1B668D"/>
    <w:rsid w:val="4EC310A1"/>
    <w:rsid w:val="4FFD214C"/>
    <w:rsid w:val="5352765A"/>
    <w:rsid w:val="5777D4F5"/>
    <w:rsid w:val="57F22B6F"/>
    <w:rsid w:val="59DD8326"/>
    <w:rsid w:val="5DEF592A"/>
    <w:rsid w:val="5FC6BB1E"/>
    <w:rsid w:val="5FF720F1"/>
    <w:rsid w:val="60455DBA"/>
    <w:rsid w:val="622964C1"/>
    <w:rsid w:val="67FF5C0B"/>
    <w:rsid w:val="6BAA4A2F"/>
    <w:rsid w:val="6DDEC5C0"/>
    <w:rsid w:val="6EFC0924"/>
    <w:rsid w:val="6FB74722"/>
    <w:rsid w:val="6FEF8B7E"/>
    <w:rsid w:val="717FE77F"/>
    <w:rsid w:val="71A6591B"/>
    <w:rsid w:val="737D59BA"/>
    <w:rsid w:val="737F32B1"/>
    <w:rsid w:val="73BD3FCA"/>
    <w:rsid w:val="753B5DAB"/>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4"/>
    <w:qFormat/>
    <w:uiPriority w:val="0"/>
    <w:pPr>
      <w:spacing w:line="0" w:lineRule="atLeast"/>
      <w:jc w:val="center"/>
    </w:pPr>
    <w:rPr>
      <w:rFonts w:ascii="Arial" w:hAnsi="Arial" w:eastAsia="黑体"/>
      <w:sz w:val="52"/>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11003</Words>
  <Characters>12059</Characters>
  <Lines>63</Lines>
  <Paragraphs>18</Paragraphs>
  <TotalTime>4</TotalTime>
  <ScaleCrop>false</ScaleCrop>
  <LinksUpToDate>false</LinksUpToDate>
  <CharactersWithSpaces>12087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张洵</cp:lastModifiedBy>
  <cp:lastPrinted>2024-08-11T02:20:00Z</cp:lastPrinted>
  <dcterms:modified xsi:type="dcterms:W3CDTF">2025-12-29T01:39:25Z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98623D6660B449428EB8E073C6C952EA</vt:lpwstr>
  </property>
  <property fmtid="{D5CDD505-2E9C-101B-9397-08002B2CF9AE}" pid="4" name="KSOTemplateDocerSaveRecord">
    <vt:lpwstr>eyJoZGlkIjoiZDJjMThkODIwMThiYjViYzljNmVjZDMzYjI5YzA5OTEiLCJ1c2VySWQiOiIzNDM3Njg5MjkifQ==</vt:lpwstr>
  </property>
</Properties>
</file>