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978E">
      <w:pPr>
        <w:jc w:val="center"/>
        <w:rPr>
          <w:rFonts w:hint="eastAsia" w:ascii="微软雅黑" w:hAnsi="微软雅黑" w:eastAsia="微软雅黑" w:cs="微软雅黑"/>
          <w:sz w:val="52"/>
          <w:szCs w:val="52"/>
        </w:rPr>
      </w:pPr>
    </w:p>
    <w:p w14:paraId="3FC299BE">
      <w:pPr>
        <w:jc w:val="center"/>
        <w:rPr>
          <w:rFonts w:hint="eastAsia" w:ascii="微软雅黑" w:hAnsi="微软雅黑" w:eastAsia="微软雅黑" w:cs="微软雅黑"/>
          <w:sz w:val="52"/>
          <w:szCs w:val="52"/>
        </w:rPr>
      </w:pPr>
    </w:p>
    <w:p w14:paraId="17333F1E">
      <w:pPr>
        <w:jc w:val="center"/>
        <w:rPr>
          <w:rFonts w:hint="eastAsia" w:ascii="微软雅黑" w:hAnsi="微软雅黑" w:eastAsia="微软雅黑" w:cs="微软雅黑"/>
          <w:sz w:val="52"/>
          <w:szCs w:val="52"/>
        </w:rPr>
      </w:pPr>
    </w:p>
    <w:p w14:paraId="59D059C4">
      <w:pPr>
        <w:jc w:val="center"/>
        <w:rPr>
          <w:rFonts w:hint="eastAsia" w:ascii="微软雅黑" w:hAnsi="微软雅黑" w:eastAsia="微软雅黑" w:cs="微软雅黑"/>
          <w:sz w:val="52"/>
          <w:szCs w:val="52"/>
        </w:rPr>
      </w:pPr>
    </w:p>
    <w:p w14:paraId="7DBCE656">
      <w:pPr>
        <w:jc w:val="center"/>
        <w:rPr>
          <w:rFonts w:hint="eastAsia" w:ascii="微软雅黑" w:hAnsi="微软雅黑" w:eastAsia="微软雅黑" w:cs="微软雅黑"/>
          <w:sz w:val="52"/>
          <w:szCs w:val="52"/>
        </w:rPr>
      </w:pPr>
      <w:r>
        <w:rPr>
          <w:rFonts w:hint="eastAsia" w:ascii="微软雅黑" w:hAnsi="微软雅黑" w:eastAsia="微软雅黑" w:cs="微软雅黑"/>
          <w:sz w:val="52"/>
          <w:szCs w:val="52"/>
        </w:rPr>
        <w:t>岳阳市统计局2025年度</w:t>
      </w:r>
    </w:p>
    <w:p w14:paraId="00C1FA62">
      <w:pPr>
        <w:jc w:val="center"/>
        <w:rPr>
          <w:rFonts w:hint="eastAsia" w:ascii="微软雅黑" w:hAnsi="微软雅黑" w:eastAsia="微软雅黑" w:cs="微软雅黑"/>
          <w:sz w:val="52"/>
          <w:szCs w:val="52"/>
        </w:rPr>
      </w:pPr>
      <w:r>
        <w:rPr>
          <w:rFonts w:hint="eastAsia" w:ascii="微软雅黑" w:hAnsi="微软雅黑" w:eastAsia="微软雅黑" w:cs="微软雅黑"/>
          <w:sz w:val="52"/>
          <w:szCs w:val="52"/>
        </w:rPr>
        <w:t>部门预算</w:t>
      </w:r>
    </w:p>
    <w:p w14:paraId="2C869BAF">
      <w:pPr>
        <w:jc w:val="center"/>
        <w:rPr>
          <w:rFonts w:hint="eastAsia" w:ascii="微软雅黑" w:hAnsi="微软雅黑" w:eastAsia="微软雅黑" w:cs="微软雅黑"/>
          <w:sz w:val="52"/>
          <w:szCs w:val="52"/>
        </w:rPr>
      </w:pPr>
    </w:p>
    <w:p w14:paraId="28AD38BF">
      <w:pPr>
        <w:jc w:val="center"/>
        <w:rPr>
          <w:rFonts w:hint="eastAsia" w:ascii="微软雅黑" w:hAnsi="微软雅黑" w:eastAsia="微软雅黑" w:cs="微软雅黑"/>
          <w:sz w:val="52"/>
          <w:szCs w:val="52"/>
        </w:rPr>
      </w:pPr>
    </w:p>
    <w:p w14:paraId="6C924922">
      <w:pPr>
        <w:jc w:val="center"/>
        <w:rPr>
          <w:rFonts w:hint="eastAsia" w:ascii="微软雅黑" w:hAnsi="微软雅黑" w:eastAsia="微软雅黑" w:cs="微软雅黑"/>
          <w:sz w:val="52"/>
          <w:szCs w:val="52"/>
        </w:rPr>
      </w:pPr>
    </w:p>
    <w:p w14:paraId="1D3876BD">
      <w:pPr>
        <w:jc w:val="center"/>
        <w:rPr>
          <w:rFonts w:hint="eastAsia" w:ascii="微软雅黑" w:hAnsi="微软雅黑" w:eastAsia="微软雅黑" w:cs="微软雅黑"/>
          <w:sz w:val="52"/>
          <w:szCs w:val="52"/>
        </w:rPr>
      </w:pPr>
    </w:p>
    <w:p w14:paraId="7DD171C1">
      <w:pPr>
        <w:jc w:val="center"/>
        <w:rPr>
          <w:rFonts w:hint="eastAsia" w:ascii="微软雅黑" w:hAnsi="微软雅黑" w:eastAsia="微软雅黑" w:cs="微软雅黑"/>
          <w:sz w:val="52"/>
          <w:szCs w:val="52"/>
        </w:rPr>
      </w:pPr>
    </w:p>
    <w:p w14:paraId="0AA5FB2C">
      <w:pPr>
        <w:jc w:val="center"/>
        <w:rPr>
          <w:rFonts w:hint="eastAsia" w:ascii="微软雅黑" w:hAnsi="微软雅黑" w:eastAsia="微软雅黑" w:cs="微软雅黑"/>
          <w:sz w:val="52"/>
          <w:szCs w:val="52"/>
        </w:rPr>
      </w:pPr>
    </w:p>
    <w:p w14:paraId="5A072961">
      <w:pPr>
        <w:jc w:val="center"/>
        <w:rPr>
          <w:rFonts w:hint="eastAsia" w:ascii="微软雅黑" w:hAnsi="微软雅黑" w:eastAsia="微软雅黑" w:cs="微软雅黑"/>
          <w:sz w:val="52"/>
          <w:szCs w:val="52"/>
        </w:rPr>
      </w:pPr>
    </w:p>
    <w:p w14:paraId="2CE49892">
      <w:pPr>
        <w:jc w:val="center"/>
        <w:rPr>
          <w:rFonts w:hint="eastAsia" w:ascii="微软雅黑" w:hAnsi="微软雅黑" w:eastAsia="微软雅黑" w:cs="微软雅黑"/>
          <w:sz w:val="52"/>
          <w:szCs w:val="52"/>
        </w:rPr>
      </w:pPr>
    </w:p>
    <w:p w14:paraId="010360E5">
      <w:pPr>
        <w:jc w:val="center"/>
        <w:rPr>
          <w:rFonts w:hint="eastAsia" w:ascii="仿宋" w:hAnsi="仿宋" w:eastAsia="仿宋" w:cs="仿宋"/>
          <w:sz w:val="32"/>
          <w:szCs w:val="32"/>
        </w:rPr>
      </w:pPr>
    </w:p>
    <w:p w14:paraId="473717E1">
      <w:pPr>
        <w:jc w:val="center"/>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2903BD80">
      <w:pPr>
        <w:jc w:val="left"/>
        <w:rPr>
          <w:rFonts w:hint="eastAsia" w:ascii="仿宋" w:hAnsi="仿宋" w:eastAsia="仿宋" w:cs="仿宋"/>
          <w:sz w:val="32"/>
          <w:szCs w:val="32"/>
        </w:rPr>
      </w:pPr>
    </w:p>
    <w:p w14:paraId="7E4E44B0">
      <w:pPr>
        <w:jc w:val="left"/>
        <w:rPr>
          <w:rFonts w:hint="eastAsia" w:ascii="仿宋" w:hAnsi="仿宋" w:eastAsia="仿宋" w:cs="仿宋"/>
          <w:sz w:val="32"/>
          <w:szCs w:val="32"/>
        </w:rPr>
      </w:pPr>
      <w:r>
        <w:rPr>
          <w:rFonts w:hint="eastAsia" w:ascii="仿宋" w:hAnsi="仿宋" w:eastAsia="仿宋" w:cs="仿宋"/>
          <w:sz w:val="32"/>
          <w:szCs w:val="32"/>
        </w:rPr>
        <w:t>第一部分  2025年部门预算说明</w:t>
      </w:r>
    </w:p>
    <w:p w14:paraId="7C1257F4">
      <w:pPr>
        <w:jc w:val="left"/>
        <w:rPr>
          <w:rFonts w:hint="eastAsia" w:ascii="仿宋" w:hAnsi="仿宋" w:eastAsia="仿宋" w:cs="仿宋"/>
          <w:sz w:val="32"/>
          <w:szCs w:val="32"/>
        </w:rPr>
      </w:pPr>
      <w:r>
        <w:rPr>
          <w:rFonts w:hint="eastAsia" w:ascii="仿宋" w:hAnsi="仿宋" w:eastAsia="仿宋" w:cs="仿宋"/>
          <w:sz w:val="32"/>
          <w:szCs w:val="32"/>
        </w:rPr>
        <w:t>第二部分  2025年部门预算公开表格</w:t>
      </w:r>
    </w:p>
    <w:p w14:paraId="0CB855D1">
      <w:pPr>
        <w:jc w:val="left"/>
        <w:rPr>
          <w:rFonts w:hint="eastAsia" w:ascii="仿宋" w:hAnsi="仿宋" w:eastAsia="仿宋" w:cs="仿宋"/>
          <w:sz w:val="32"/>
          <w:szCs w:val="32"/>
        </w:rPr>
      </w:pPr>
      <w:r>
        <w:rPr>
          <w:rFonts w:hint="eastAsia" w:ascii="仿宋" w:hAnsi="仿宋" w:eastAsia="仿宋" w:cs="仿宋"/>
          <w:sz w:val="32"/>
          <w:szCs w:val="32"/>
        </w:rPr>
        <w:t>1、收支总表</w:t>
      </w:r>
    </w:p>
    <w:p w14:paraId="44FF3CF8">
      <w:pPr>
        <w:jc w:val="left"/>
        <w:rPr>
          <w:rFonts w:hint="eastAsia" w:ascii="仿宋" w:hAnsi="仿宋" w:eastAsia="仿宋" w:cs="仿宋"/>
          <w:sz w:val="32"/>
          <w:szCs w:val="32"/>
        </w:rPr>
      </w:pPr>
      <w:r>
        <w:rPr>
          <w:rFonts w:hint="eastAsia" w:ascii="仿宋" w:hAnsi="仿宋" w:eastAsia="仿宋" w:cs="仿宋"/>
          <w:sz w:val="32"/>
          <w:szCs w:val="32"/>
        </w:rPr>
        <w:t>2、收入总表</w:t>
      </w:r>
    </w:p>
    <w:p w14:paraId="6A68E1CA">
      <w:pPr>
        <w:jc w:val="left"/>
        <w:rPr>
          <w:rFonts w:hint="eastAsia" w:ascii="仿宋" w:hAnsi="仿宋" w:eastAsia="仿宋" w:cs="仿宋"/>
          <w:sz w:val="32"/>
          <w:szCs w:val="32"/>
        </w:rPr>
      </w:pPr>
      <w:r>
        <w:rPr>
          <w:rFonts w:hint="eastAsia" w:ascii="仿宋" w:hAnsi="仿宋" w:eastAsia="仿宋" w:cs="仿宋"/>
          <w:sz w:val="32"/>
          <w:szCs w:val="32"/>
        </w:rPr>
        <w:t>3、支出总表</w:t>
      </w:r>
    </w:p>
    <w:p w14:paraId="6E06E46A">
      <w:pPr>
        <w:jc w:val="left"/>
        <w:rPr>
          <w:rFonts w:hint="eastAsia" w:ascii="仿宋" w:hAnsi="仿宋" w:eastAsia="仿宋" w:cs="仿宋"/>
          <w:sz w:val="32"/>
          <w:szCs w:val="32"/>
        </w:rPr>
      </w:pPr>
      <w:r>
        <w:rPr>
          <w:rFonts w:hint="eastAsia" w:ascii="仿宋" w:hAnsi="仿宋" w:eastAsia="仿宋" w:cs="仿宋"/>
          <w:sz w:val="32"/>
          <w:szCs w:val="32"/>
        </w:rPr>
        <w:t>4、支出预算分类汇总表（按政府预算经济分类）</w:t>
      </w:r>
    </w:p>
    <w:p w14:paraId="1FCC82BA">
      <w:pPr>
        <w:jc w:val="left"/>
        <w:rPr>
          <w:rFonts w:hint="eastAsia" w:ascii="仿宋" w:hAnsi="仿宋" w:eastAsia="仿宋" w:cs="仿宋"/>
          <w:sz w:val="32"/>
          <w:szCs w:val="32"/>
        </w:rPr>
      </w:pPr>
      <w:r>
        <w:rPr>
          <w:rFonts w:hint="eastAsia" w:ascii="仿宋" w:hAnsi="仿宋" w:eastAsia="仿宋" w:cs="仿宋"/>
          <w:sz w:val="32"/>
          <w:szCs w:val="32"/>
        </w:rPr>
        <w:t>5、支出预算分类汇总表（按部门预算经济分类）</w:t>
      </w:r>
    </w:p>
    <w:p w14:paraId="5AD076D0">
      <w:pPr>
        <w:jc w:val="left"/>
        <w:rPr>
          <w:rFonts w:hint="eastAsia" w:ascii="仿宋" w:hAnsi="仿宋" w:eastAsia="仿宋" w:cs="仿宋"/>
          <w:sz w:val="32"/>
          <w:szCs w:val="32"/>
        </w:rPr>
      </w:pPr>
      <w:r>
        <w:rPr>
          <w:rFonts w:hint="eastAsia" w:ascii="仿宋" w:hAnsi="仿宋" w:eastAsia="仿宋" w:cs="仿宋"/>
          <w:sz w:val="32"/>
          <w:szCs w:val="32"/>
        </w:rPr>
        <w:t>6、财政拨款收支总表</w:t>
      </w:r>
    </w:p>
    <w:p w14:paraId="26DA8439">
      <w:pPr>
        <w:jc w:val="left"/>
        <w:rPr>
          <w:rFonts w:hint="eastAsia" w:ascii="仿宋" w:hAnsi="仿宋" w:eastAsia="仿宋" w:cs="仿宋"/>
          <w:sz w:val="32"/>
          <w:szCs w:val="32"/>
        </w:rPr>
      </w:pPr>
      <w:r>
        <w:rPr>
          <w:rFonts w:hint="eastAsia" w:ascii="仿宋" w:hAnsi="仿宋" w:eastAsia="仿宋" w:cs="仿宋"/>
          <w:sz w:val="32"/>
          <w:szCs w:val="32"/>
        </w:rPr>
        <w:t>7、一般公共预算支出表</w:t>
      </w:r>
    </w:p>
    <w:p w14:paraId="0777E026">
      <w:pPr>
        <w:jc w:val="left"/>
        <w:rPr>
          <w:rFonts w:hint="eastAsia" w:ascii="仿宋" w:hAnsi="仿宋" w:eastAsia="仿宋" w:cs="仿宋"/>
          <w:sz w:val="32"/>
          <w:szCs w:val="32"/>
        </w:rPr>
      </w:pPr>
      <w:r>
        <w:rPr>
          <w:rFonts w:hint="eastAsia" w:ascii="仿宋" w:hAnsi="仿宋" w:eastAsia="仿宋" w:cs="仿宋"/>
          <w:sz w:val="32"/>
          <w:szCs w:val="32"/>
        </w:rPr>
        <w:t>8、一般公共预算基本支出表-人员经费（工资福利支出）（按政府预算经济分类）</w:t>
      </w:r>
    </w:p>
    <w:p w14:paraId="284D05F6">
      <w:pPr>
        <w:jc w:val="left"/>
        <w:rPr>
          <w:rFonts w:hint="eastAsia" w:ascii="仿宋" w:hAnsi="仿宋" w:eastAsia="仿宋" w:cs="仿宋"/>
          <w:sz w:val="32"/>
          <w:szCs w:val="32"/>
        </w:rPr>
      </w:pPr>
      <w:r>
        <w:rPr>
          <w:rFonts w:hint="eastAsia" w:ascii="仿宋" w:hAnsi="仿宋" w:eastAsia="仿宋" w:cs="仿宋"/>
          <w:sz w:val="32"/>
          <w:szCs w:val="32"/>
        </w:rPr>
        <w:t>9、一般公共预算基本支出表-人员经费（工资福利支出）（按部门预算经济分类）</w:t>
      </w:r>
    </w:p>
    <w:p w14:paraId="18BCCD6B">
      <w:pPr>
        <w:jc w:val="left"/>
        <w:rPr>
          <w:rFonts w:hint="eastAsia" w:ascii="仿宋" w:hAnsi="仿宋" w:eastAsia="仿宋" w:cs="仿宋"/>
          <w:sz w:val="32"/>
          <w:szCs w:val="32"/>
        </w:rPr>
      </w:pPr>
      <w:r>
        <w:rPr>
          <w:rFonts w:hint="eastAsia" w:ascii="仿宋" w:hAnsi="仿宋" w:eastAsia="仿宋" w:cs="仿宋"/>
          <w:sz w:val="32"/>
          <w:szCs w:val="32"/>
        </w:rPr>
        <w:t>10、一般公共预算基本支出表-人员经费（对个人和家庭的补助）（按政府预算经济分类）</w:t>
      </w:r>
    </w:p>
    <w:p w14:paraId="3A9D8E25">
      <w:pPr>
        <w:jc w:val="left"/>
        <w:rPr>
          <w:rFonts w:hint="eastAsia" w:ascii="仿宋" w:hAnsi="仿宋" w:eastAsia="仿宋" w:cs="仿宋"/>
          <w:sz w:val="32"/>
          <w:szCs w:val="32"/>
        </w:rPr>
      </w:pPr>
      <w:r>
        <w:rPr>
          <w:rFonts w:hint="eastAsia" w:ascii="仿宋" w:hAnsi="仿宋" w:eastAsia="仿宋" w:cs="仿宋"/>
          <w:sz w:val="32"/>
          <w:szCs w:val="32"/>
        </w:rPr>
        <w:t>11、一般公共预算基本支出表-人员经费（对个人和家庭的补助）（按部门预算经济分类）</w:t>
      </w:r>
    </w:p>
    <w:p w14:paraId="7B15BA8C">
      <w:pPr>
        <w:jc w:val="left"/>
        <w:rPr>
          <w:rFonts w:hint="eastAsia" w:ascii="仿宋" w:hAnsi="仿宋" w:eastAsia="仿宋" w:cs="仿宋"/>
          <w:sz w:val="32"/>
          <w:szCs w:val="32"/>
        </w:rPr>
      </w:pPr>
      <w:r>
        <w:rPr>
          <w:rFonts w:hint="eastAsia" w:ascii="仿宋" w:hAnsi="仿宋" w:eastAsia="仿宋" w:cs="仿宋"/>
          <w:sz w:val="32"/>
          <w:szCs w:val="32"/>
        </w:rPr>
        <w:t>12、一般公共预算基本支出表-公用经费（商品和服务支出）（按政府预算经济分类）</w:t>
      </w:r>
    </w:p>
    <w:p w14:paraId="17D0A78D">
      <w:pPr>
        <w:jc w:val="left"/>
        <w:rPr>
          <w:rFonts w:hint="eastAsia" w:ascii="仿宋" w:hAnsi="仿宋" w:eastAsia="仿宋" w:cs="仿宋"/>
          <w:sz w:val="32"/>
          <w:szCs w:val="32"/>
        </w:rPr>
      </w:pPr>
      <w:r>
        <w:rPr>
          <w:rFonts w:hint="eastAsia" w:ascii="仿宋" w:hAnsi="仿宋" w:eastAsia="仿宋" w:cs="仿宋"/>
          <w:sz w:val="32"/>
          <w:szCs w:val="32"/>
        </w:rPr>
        <w:t>13、一般公共预算基本支出表-公用经费（商品和服务支出）（按部门预算经济分类）</w:t>
      </w:r>
    </w:p>
    <w:p w14:paraId="69CF20C2">
      <w:pPr>
        <w:jc w:val="left"/>
        <w:rPr>
          <w:rFonts w:hint="eastAsia" w:ascii="仿宋" w:hAnsi="仿宋" w:eastAsia="仿宋" w:cs="仿宋"/>
          <w:sz w:val="32"/>
          <w:szCs w:val="32"/>
        </w:rPr>
      </w:pPr>
      <w:r>
        <w:rPr>
          <w:rFonts w:hint="eastAsia" w:ascii="仿宋" w:hAnsi="仿宋" w:eastAsia="仿宋" w:cs="仿宋"/>
          <w:sz w:val="32"/>
          <w:szCs w:val="32"/>
        </w:rPr>
        <w:t>14、一般公共预算“三公”经费支出表</w:t>
      </w:r>
    </w:p>
    <w:p w14:paraId="33D5F50C">
      <w:pPr>
        <w:jc w:val="left"/>
        <w:rPr>
          <w:rFonts w:hint="eastAsia" w:ascii="仿宋" w:hAnsi="仿宋" w:eastAsia="仿宋" w:cs="仿宋"/>
          <w:sz w:val="32"/>
          <w:szCs w:val="32"/>
        </w:rPr>
      </w:pPr>
      <w:r>
        <w:rPr>
          <w:rFonts w:hint="eastAsia" w:ascii="仿宋" w:hAnsi="仿宋" w:eastAsia="仿宋" w:cs="仿宋"/>
          <w:sz w:val="32"/>
          <w:szCs w:val="32"/>
        </w:rPr>
        <w:t>15、政府性基金预算支出表</w:t>
      </w:r>
    </w:p>
    <w:p w14:paraId="3F477136">
      <w:pPr>
        <w:jc w:val="left"/>
        <w:rPr>
          <w:rFonts w:hint="eastAsia" w:ascii="仿宋" w:hAnsi="仿宋" w:eastAsia="仿宋" w:cs="仿宋"/>
          <w:sz w:val="32"/>
          <w:szCs w:val="32"/>
        </w:rPr>
      </w:pPr>
      <w:r>
        <w:rPr>
          <w:rFonts w:hint="eastAsia" w:ascii="仿宋" w:hAnsi="仿宋" w:eastAsia="仿宋" w:cs="仿宋"/>
          <w:sz w:val="32"/>
          <w:szCs w:val="32"/>
        </w:rPr>
        <w:t>16、政府性基金预算支出分类汇总表（按政府预算经济分类）</w:t>
      </w:r>
    </w:p>
    <w:p w14:paraId="7FD2126C">
      <w:pPr>
        <w:jc w:val="left"/>
        <w:rPr>
          <w:rFonts w:hint="eastAsia" w:ascii="仿宋" w:hAnsi="仿宋" w:eastAsia="仿宋" w:cs="仿宋"/>
          <w:sz w:val="32"/>
          <w:szCs w:val="32"/>
        </w:rPr>
      </w:pPr>
      <w:r>
        <w:rPr>
          <w:rFonts w:hint="eastAsia" w:ascii="仿宋" w:hAnsi="仿宋" w:eastAsia="仿宋" w:cs="仿宋"/>
          <w:sz w:val="32"/>
          <w:szCs w:val="32"/>
        </w:rPr>
        <w:t>17、政府性基金预算支出分类汇总表（按部门预算经济分类）</w:t>
      </w:r>
    </w:p>
    <w:p w14:paraId="45190EB8">
      <w:pPr>
        <w:jc w:val="left"/>
        <w:rPr>
          <w:rFonts w:hint="eastAsia" w:ascii="仿宋" w:hAnsi="仿宋" w:eastAsia="仿宋" w:cs="仿宋"/>
          <w:sz w:val="32"/>
          <w:szCs w:val="32"/>
        </w:rPr>
      </w:pPr>
      <w:r>
        <w:rPr>
          <w:rFonts w:hint="eastAsia" w:ascii="仿宋" w:hAnsi="仿宋" w:eastAsia="仿宋" w:cs="仿宋"/>
          <w:sz w:val="32"/>
          <w:szCs w:val="32"/>
        </w:rPr>
        <w:t>18、国有资本经营预算支出表</w:t>
      </w:r>
    </w:p>
    <w:p w14:paraId="72FE7F54">
      <w:pPr>
        <w:jc w:val="left"/>
        <w:rPr>
          <w:rFonts w:hint="eastAsia" w:ascii="仿宋" w:hAnsi="仿宋" w:eastAsia="仿宋" w:cs="仿宋"/>
          <w:sz w:val="32"/>
          <w:szCs w:val="32"/>
        </w:rPr>
      </w:pPr>
      <w:r>
        <w:rPr>
          <w:rFonts w:hint="eastAsia" w:ascii="仿宋" w:hAnsi="仿宋" w:eastAsia="仿宋" w:cs="仿宋"/>
          <w:sz w:val="32"/>
          <w:szCs w:val="32"/>
        </w:rPr>
        <w:t>19、财政专户管理资金预算支出表</w:t>
      </w:r>
    </w:p>
    <w:p w14:paraId="6A60581B">
      <w:pPr>
        <w:jc w:val="left"/>
        <w:rPr>
          <w:rFonts w:hint="eastAsia" w:ascii="仿宋" w:hAnsi="仿宋" w:eastAsia="仿宋" w:cs="仿宋"/>
          <w:sz w:val="32"/>
          <w:szCs w:val="32"/>
        </w:rPr>
      </w:pPr>
      <w:r>
        <w:rPr>
          <w:rFonts w:hint="eastAsia" w:ascii="仿宋" w:hAnsi="仿宋" w:eastAsia="仿宋" w:cs="仿宋"/>
          <w:sz w:val="32"/>
          <w:szCs w:val="32"/>
        </w:rPr>
        <w:t>20、专项资金预算汇总表</w:t>
      </w:r>
    </w:p>
    <w:p w14:paraId="50C20A79">
      <w:pPr>
        <w:jc w:val="left"/>
        <w:rPr>
          <w:rFonts w:hint="eastAsia" w:ascii="仿宋" w:hAnsi="仿宋" w:eastAsia="仿宋" w:cs="仿宋"/>
          <w:sz w:val="32"/>
          <w:szCs w:val="32"/>
        </w:rPr>
      </w:pPr>
      <w:r>
        <w:rPr>
          <w:rFonts w:hint="eastAsia" w:ascii="仿宋" w:hAnsi="仿宋" w:eastAsia="仿宋" w:cs="仿宋"/>
          <w:sz w:val="32"/>
          <w:szCs w:val="32"/>
        </w:rPr>
        <w:t>21、项目支出绩效目标表</w:t>
      </w:r>
    </w:p>
    <w:p w14:paraId="3EE1AD49">
      <w:pPr>
        <w:jc w:val="left"/>
        <w:rPr>
          <w:rFonts w:hint="eastAsia" w:ascii="仿宋" w:hAnsi="仿宋" w:eastAsia="仿宋" w:cs="仿宋"/>
          <w:sz w:val="32"/>
          <w:szCs w:val="32"/>
        </w:rPr>
      </w:pPr>
      <w:r>
        <w:rPr>
          <w:rFonts w:hint="eastAsia" w:ascii="仿宋" w:hAnsi="仿宋" w:eastAsia="仿宋" w:cs="仿宋"/>
          <w:sz w:val="32"/>
          <w:szCs w:val="32"/>
        </w:rPr>
        <w:t>22、部门整体支出绩效目标表</w:t>
      </w:r>
    </w:p>
    <w:p w14:paraId="647DB049">
      <w:pPr>
        <w:jc w:val="left"/>
        <w:rPr>
          <w:rFonts w:hint="eastAsia" w:ascii="仿宋" w:hAnsi="仿宋" w:eastAsia="仿宋" w:cs="仿宋"/>
          <w:sz w:val="32"/>
          <w:szCs w:val="32"/>
        </w:rPr>
      </w:pPr>
      <w:r>
        <w:rPr>
          <w:rFonts w:hint="eastAsia" w:ascii="仿宋" w:hAnsi="仿宋" w:eastAsia="仿宋" w:cs="仿宋"/>
          <w:sz w:val="32"/>
          <w:szCs w:val="32"/>
        </w:rPr>
        <w:t>23、一般公共预算基本支出表</w:t>
      </w:r>
    </w:p>
    <w:p w14:paraId="44B903F6">
      <w:pPr>
        <w:jc w:val="left"/>
        <w:rPr>
          <w:rFonts w:hint="eastAsia" w:ascii="仿宋" w:hAnsi="仿宋" w:eastAsia="仿宋" w:cs="仿宋"/>
          <w:sz w:val="32"/>
          <w:szCs w:val="32"/>
        </w:rPr>
      </w:pPr>
      <w:r>
        <w:rPr>
          <w:rFonts w:hint="eastAsia" w:ascii="仿宋" w:hAnsi="仿宋" w:eastAsia="仿宋" w:cs="仿宋"/>
          <w:sz w:val="32"/>
          <w:szCs w:val="32"/>
        </w:rPr>
        <w:t>注：以上部门预算公开报表中，空表表示本部门无相关收支情况。</w:t>
      </w:r>
    </w:p>
    <w:p w14:paraId="5C5E8F83">
      <w:pPr>
        <w:jc w:val="left"/>
        <w:rPr>
          <w:rFonts w:hint="eastAsia" w:ascii="仿宋" w:hAnsi="仿宋" w:eastAsia="仿宋" w:cs="仿宋"/>
          <w:sz w:val="32"/>
          <w:szCs w:val="32"/>
        </w:rPr>
      </w:pPr>
    </w:p>
    <w:p w14:paraId="2D8E42F0">
      <w:pPr>
        <w:jc w:val="left"/>
        <w:rPr>
          <w:rFonts w:hint="eastAsia" w:ascii="仿宋" w:hAnsi="仿宋" w:eastAsia="仿宋" w:cs="仿宋"/>
          <w:sz w:val="32"/>
          <w:szCs w:val="32"/>
        </w:rPr>
      </w:pPr>
    </w:p>
    <w:p w14:paraId="757644AD">
      <w:pPr>
        <w:jc w:val="left"/>
        <w:rPr>
          <w:rFonts w:hint="eastAsia" w:ascii="仿宋" w:hAnsi="仿宋" w:eastAsia="仿宋" w:cs="仿宋"/>
          <w:sz w:val="32"/>
          <w:szCs w:val="32"/>
        </w:rPr>
      </w:pPr>
    </w:p>
    <w:p w14:paraId="2C78F97A">
      <w:pPr>
        <w:jc w:val="left"/>
        <w:rPr>
          <w:rFonts w:hint="eastAsia" w:ascii="仿宋" w:hAnsi="仿宋" w:eastAsia="仿宋" w:cs="仿宋"/>
          <w:sz w:val="32"/>
          <w:szCs w:val="32"/>
        </w:rPr>
      </w:pPr>
    </w:p>
    <w:p w14:paraId="28E86351">
      <w:pPr>
        <w:jc w:val="left"/>
        <w:rPr>
          <w:rFonts w:hint="eastAsia" w:ascii="仿宋" w:hAnsi="仿宋" w:eastAsia="仿宋" w:cs="仿宋"/>
          <w:sz w:val="32"/>
          <w:szCs w:val="32"/>
        </w:rPr>
      </w:pPr>
    </w:p>
    <w:p w14:paraId="51F4902E">
      <w:pPr>
        <w:jc w:val="left"/>
        <w:rPr>
          <w:rFonts w:hint="eastAsia" w:ascii="仿宋" w:hAnsi="仿宋" w:eastAsia="仿宋" w:cs="仿宋"/>
          <w:sz w:val="32"/>
          <w:szCs w:val="32"/>
        </w:rPr>
      </w:pPr>
    </w:p>
    <w:p w14:paraId="0D09C602">
      <w:pPr>
        <w:jc w:val="left"/>
        <w:rPr>
          <w:rFonts w:hint="eastAsia" w:ascii="仿宋" w:hAnsi="仿宋" w:eastAsia="仿宋" w:cs="仿宋"/>
          <w:sz w:val="32"/>
          <w:szCs w:val="32"/>
        </w:rPr>
      </w:pPr>
    </w:p>
    <w:p w14:paraId="254C5012">
      <w:pPr>
        <w:jc w:val="left"/>
        <w:rPr>
          <w:rFonts w:hint="eastAsia" w:ascii="仿宋" w:hAnsi="仿宋" w:eastAsia="仿宋" w:cs="仿宋"/>
          <w:sz w:val="32"/>
          <w:szCs w:val="32"/>
        </w:rPr>
      </w:pPr>
    </w:p>
    <w:p w14:paraId="0DDDBC15">
      <w:pPr>
        <w:jc w:val="left"/>
        <w:rPr>
          <w:rFonts w:hint="eastAsia" w:ascii="仿宋" w:hAnsi="仿宋" w:eastAsia="仿宋" w:cs="仿宋"/>
          <w:sz w:val="32"/>
          <w:szCs w:val="32"/>
        </w:rPr>
      </w:pPr>
    </w:p>
    <w:p w14:paraId="108E1161">
      <w:pPr>
        <w:jc w:val="center"/>
        <w:rPr>
          <w:rFonts w:hint="eastAsia" w:ascii="仿宋" w:hAnsi="仿宋" w:eastAsia="仿宋" w:cs="仿宋"/>
          <w:sz w:val="32"/>
          <w:szCs w:val="32"/>
        </w:rPr>
      </w:pPr>
      <w:r>
        <w:rPr>
          <w:rFonts w:hint="eastAsia" w:ascii="仿宋" w:hAnsi="仿宋" w:eastAsia="仿宋" w:cs="仿宋"/>
          <w:sz w:val="32"/>
          <w:szCs w:val="32"/>
        </w:rPr>
        <w:t>第一部分  2025年部门预算说明</w:t>
      </w:r>
    </w:p>
    <w:p w14:paraId="2B47F2FB">
      <w:pPr>
        <w:ind w:firstLine="640" w:firstLineChars="200"/>
        <w:jc w:val="both"/>
        <w:rPr>
          <w:rFonts w:hint="eastAsia" w:ascii="仿宋" w:hAnsi="仿宋" w:eastAsia="仿宋" w:cs="仿宋"/>
          <w:sz w:val="32"/>
          <w:szCs w:val="32"/>
        </w:rPr>
      </w:pPr>
      <w:bookmarkStart w:id="0" w:name="_GoBack"/>
      <w:bookmarkEnd w:id="0"/>
      <w:r>
        <w:rPr>
          <w:rFonts w:hint="eastAsia" w:ascii="仿宋" w:hAnsi="仿宋" w:eastAsia="仿宋" w:cs="仿宋"/>
          <w:sz w:val="32"/>
          <w:szCs w:val="32"/>
        </w:rPr>
        <w:t>一、部门基本概况</w:t>
      </w:r>
    </w:p>
    <w:p w14:paraId="7349AB2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（一）职能职责</w:t>
      </w:r>
    </w:p>
    <w:p w14:paraId="13A4D3B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1、贯彻执行国家、省统计工作的方针、政策和统计法律、法规，完成国家、省统计调查任务;检查监督统计法规的实施情况，查处各类统计违法行为。</w:t>
      </w:r>
    </w:p>
    <w:p w14:paraId="611B6D06">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2、制定并组织实施全市统计改革和统计现代化建设规划及统计调查计划;建立健全全市国民经济核算体系和统计指标体系。</w:t>
      </w:r>
    </w:p>
    <w:p w14:paraId="4B33BD2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指导和协调全市统计业务工作，组织开展全市有关专项调查；审核市直各有关部门的统计调查计划及其调查方案；根据国务院及省人民政府的统一部署，组织实施全市人口普查、经济普查、农业普查等重大国情国力普查，汇总、整理和提供有关市情市力方面的基础统计数据。</w:t>
      </w:r>
    </w:p>
    <w:p w14:paraId="699E3E67">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4、为市委、市人民政府制订政策、编制国民经济和社会发展规划提供统计资料，并对全市国民经济、科技进步和社会发展等情况进行统计分析、统计预测、统计检查和监督，向市委、市人民政府及其有关部门提供统计信息和咨询建议。</w:t>
      </w:r>
    </w:p>
    <w:p w14:paraId="1D105EF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5、统一核定、管理、公布全市经济、社会、科技的基本统计资料，定期发布全市国民经济和社会发展情况统计公报以及有关普查和专项调查公报;发布社会经济统计信息。</w:t>
      </w:r>
    </w:p>
    <w:p w14:paraId="4D19CBE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6、建立健全和管理全市统计信息自动化系统和统计数据库体系;指导各基层单位加强统计基础建设。</w:t>
      </w:r>
    </w:p>
    <w:p w14:paraId="226CD82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7、协助有关部门承办全市统计技术资格考试和职称评审有关工作;组织指导全市统计科研、统计教育、统计宣传工作。</w:t>
      </w:r>
    </w:p>
    <w:p w14:paraId="467BBCB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8、负责统一管理全市民情民意调查工作；做好调查方案的设计工作，组织好每一项调查任务的完成，并写出调查分析报告。</w:t>
      </w:r>
    </w:p>
    <w:p w14:paraId="2794D96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9、承办市委、市人民政府和上级主管部门交办的其他事项。</w:t>
      </w:r>
    </w:p>
    <w:p w14:paraId="6C2C99D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（二）机构设置</w:t>
      </w:r>
    </w:p>
    <w:p w14:paraId="4AA4F250">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根据编委核定，本部门内设机构有11个，所属事业单位3个。全部纳入2025年部门预算编制范围。</w:t>
      </w:r>
    </w:p>
    <w:p w14:paraId="0BAF79F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内设科室分别是：办公室、统计执法监督科（岳阳市统计执法监督局）、综合统计与经济研究室、国民经济核算科、工业统计科、能源统计科、投资贸易外经统计科、人口和就业统计科（社会和科技统计科）、服务业统计调查科、普查科、人事科（离退休人员管理服务科）。</w:t>
      </w:r>
    </w:p>
    <w:p w14:paraId="6057F34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所属事业单位分别是：统计局民调中心、统计局信息处理中心、岳阳市农村抽样调查队。</w:t>
      </w:r>
    </w:p>
    <w:p w14:paraId="352BAD9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根据编委核定，本部门编制人数54人，在职实有人数52人，其中，行政编人数27人，事业编人数25人。退休人数38人。</w:t>
      </w:r>
    </w:p>
    <w:p w14:paraId="202F69B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二、部门预算构成</w:t>
      </w:r>
    </w:p>
    <w:p w14:paraId="46295E4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本部门预算为汇总预算，纳入编制范围的预算单位包括：</w:t>
      </w:r>
    </w:p>
    <w:p w14:paraId="6EA732B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1、岳阳市统计局本级</w:t>
      </w:r>
    </w:p>
    <w:p w14:paraId="6FB266A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2、统计局民调中心、统计局信息处理中心、岳阳市农村抽样调查队。二级机构财务未独立核算，人员经费与办公经费一并列入局机关预算。</w:t>
      </w:r>
    </w:p>
    <w:p w14:paraId="0684AFD6">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三、部门收支总体情况</w:t>
      </w:r>
    </w:p>
    <w:p w14:paraId="4AB47410">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646C87A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（一）收入预算</w:t>
      </w:r>
    </w:p>
    <w:p w14:paraId="5C5C030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包括一般公共预算、政府性基金、国有资本经营预算等财政拨款收入，以及经营收入、事业收入等单位资金。2025年度本部门收入预算1106.91万元，其中，一般公共预算拨款1106.91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2025年收入较去年减少145.92万元，下降11.65%，主要是因为压减项目支出。</w:t>
      </w:r>
    </w:p>
    <w:p w14:paraId="1F0E591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（二）支出预算</w:t>
      </w:r>
    </w:p>
    <w:p w14:paraId="5DF40C3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本部门支出预算1106.91万元，其中，201一般公共服务支出930.45万元，208社会保障和就业支出82.71万元，210卫生健康支出38.37万元，221住房保障支出55.39万元，支出较去年减少145.92万元，下降11.65%，主要是因为压减项目支出。</w:t>
      </w:r>
    </w:p>
    <w:p w14:paraId="17D492A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四、一般公共预算拨款支出预算</w:t>
      </w:r>
    </w:p>
    <w:p w14:paraId="2375C60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一般公共预算拨款支出预算1106.91万元，其中，201一般公共服务支出930.45万元，占84.06%；208社会保障和就业支出82.71万元，占7.47%；210卫生健康支出38.37万元，占3.47%；221住房保障支出55.39万元，占5%；具体安排情况如下：</w:t>
      </w:r>
    </w:p>
    <w:p w14:paraId="2DB432C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基本支出：2025年基本支出年初预算数为976.91万元（数据来源见表23），是指为保障单位机构正常运转、完成日常工作任务而发生的各项支出，包括用于基本工资、津贴补贴等人员经费以及办公费、印刷费、水电费、差旅费等日常公用经费。</w:t>
      </w:r>
    </w:p>
    <w:p w14:paraId="506D268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项目支出：2025年项目支出年初预算数为130.00万元（数据来源见表20），是指部门为完成特定行政工作任务或事业发展目标而发生的支出，包括有关业务工作经费、运行维护经费、其他事业发展资金等。其中：日常工作经费专项支出130.00万元，主要用于常规调查、业务培训、统计产品编印、统计执法监督、民意调查等方面。</w:t>
      </w:r>
    </w:p>
    <w:p w14:paraId="6AE41D6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五、政府性基金预算支出</w:t>
      </w:r>
    </w:p>
    <w:p w14:paraId="184F36C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2025年度本部门无政府性基金安排的支出，所以公开的附件15-17（政府性基金预算）为空。</w:t>
      </w:r>
    </w:p>
    <w:p w14:paraId="0135C03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六、其他重要事项的情况说明</w:t>
      </w:r>
    </w:p>
    <w:p w14:paraId="6210196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（一）机关运行经费</w:t>
      </w:r>
    </w:p>
    <w:p w14:paraId="612545E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本部门2025年机关运行经费当年一般公共预算拨款155.96万元（数据来源见表12），比上一年增加10.32万元，上升7.09%。主要原因是人员增加。</w:t>
      </w:r>
    </w:p>
    <w:p w14:paraId="05613D2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（二）“三公”经费预算</w:t>
      </w:r>
    </w:p>
    <w:p w14:paraId="2721C0B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三公”经费预算数8.00万元（数据来源见表14），其中，公务接待费6.00万元，因公出国（境）费0.00万元，公务用车购置及运行费3.00万元（其中，公务用车购置费0.00万元，公务用车运行费3.00万元）。2025年三公经费预算较上年持平，主要原因是厉行节俭。</w:t>
      </w:r>
    </w:p>
    <w:p w14:paraId="63A2C88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（三）一般性支出情况</w:t>
      </w:r>
    </w:p>
    <w:p w14:paraId="50738E2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会议费预算1.00万元（数据来源见表13会议费、培训费），拟召开1次会议，人数150人，内容为全市统计调查工作会；培训费预算1.00万元，拟开展10次培训，人数10人，内容为参加党校培训；2025年度本部门未计划举办节庆、晚会、论坛、赛事活动。</w:t>
      </w:r>
    </w:p>
    <w:p w14:paraId="1274ED29">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（四）委托业务费情况</w:t>
      </w:r>
    </w:p>
    <w:p w14:paraId="479640B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本部门2025年本级等1家行政事业单位委托业务费0万元，较上年持平，主要原因是厉行节俭。</w:t>
      </w:r>
    </w:p>
    <w:p w14:paraId="765FD9A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（五）政府采购情况</w:t>
      </w:r>
    </w:p>
    <w:p w14:paraId="7B688FC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本部门2025年政府采购预算总额0万元，其中工程类0万元，货物类0万元，服务类0万元。</w:t>
      </w:r>
    </w:p>
    <w:p w14:paraId="1AE30537">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（六）国有资产占有使用及新增资产配置情况</w:t>
      </w:r>
    </w:p>
    <w:p w14:paraId="6607934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截至上年底，本部门共有车辆1辆，其中领导干部用车0辆，一般公务用车1辆，其他用车0辆。单位价值50万元以上通用设备0台，单位价值100万元以上专用设备0台。 </w:t>
      </w:r>
    </w:p>
    <w:p w14:paraId="7F27642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2025年度本部门未计划处置车辆、设备等。</w:t>
      </w:r>
    </w:p>
    <w:p w14:paraId="7402F8C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2025年度本部门未计划新增车辆、设备等。</w:t>
      </w:r>
    </w:p>
    <w:p w14:paraId="68B17B7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（七）预算绩效目标说明</w:t>
      </w:r>
    </w:p>
    <w:p w14:paraId="24DA33B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本部门所有支出实行绩效目标管理。纳入2025年部门整体支出绩效目标的金额为1106.91万元，其中，基本支出976.91万元，项目支出130.00万元，详见文尾附表中部门预算公开表格的表21-22。</w:t>
      </w:r>
    </w:p>
    <w:p w14:paraId="3A63287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七、名词解释</w:t>
      </w:r>
    </w:p>
    <w:p w14:paraId="57760B2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0B99315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p w14:paraId="798EA3AB">
      <w:pPr>
        <w:jc w:val="left"/>
        <w:rPr>
          <w:rFonts w:hint="eastAsia" w:ascii="仿宋" w:hAnsi="仿宋" w:eastAsia="仿宋" w:cs="仿宋"/>
          <w:sz w:val="32"/>
          <w:szCs w:val="32"/>
        </w:rPr>
      </w:pPr>
    </w:p>
    <w:p w14:paraId="4B209791">
      <w:pPr>
        <w:jc w:val="left"/>
        <w:rPr>
          <w:rFonts w:hint="eastAsia" w:ascii="仿宋" w:hAnsi="仿宋" w:eastAsia="仿宋" w:cs="仿宋"/>
          <w:sz w:val="32"/>
          <w:szCs w:val="32"/>
        </w:rPr>
      </w:pPr>
    </w:p>
    <w:p w14:paraId="3B0C631D">
      <w:pPr>
        <w:jc w:val="left"/>
        <w:rPr>
          <w:rFonts w:hint="eastAsia" w:ascii="仿宋" w:hAnsi="仿宋" w:eastAsia="仿宋" w:cs="仿宋"/>
          <w:sz w:val="32"/>
          <w:szCs w:val="32"/>
        </w:rPr>
      </w:pPr>
    </w:p>
    <w:p w14:paraId="309C8B43">
      <w:pPr>
        <w:jc w:val="left"/>
        <w:rPr>
          <w:rFonts w:hint="eastAsia" w:ascii="仿宋" w:hAnsi="仿宋" w:eastAsia="仿宋" w:cs="仿宋"/>
          <w:sz w:val="32"/>
          <w:szCs w:val="32"/>
        </w:rPr>
      </w:pPr>
    </w:p>
    <w:p w14:paraId="30CEE6CD">
      <w:pPr>
        <w:jc w:val="left"/>
        <w:rPr>
          <w:rFonts w:hint="eastAsia" w:ascii="仿宋" w:hAnsi="仿宋" w:eastAsia="仿宋" w:cs="仿宋"/>
          <w:sz w:val="32"/>
          <w:szCs w:val="32"/>
        </w:rPr>
      </w:pPr>
    </w:p>
    <w:p w14:paraId="2E37E4D4">
      <w:pPr>
        <w:jc w:val="left"/>
        <w:rPr>
          <w:rFonts w:hint="eastAsia" w:ascii="仿宋" w:hAnsi="仿宋" w:eastAsia="仿宋" w:cs="仿宋"/>
          <w:sz w:val="32"/>
          <w:szCs w:val="32"/>
        </w:rPr>
      </w:pPr>
    </w:p>
    <w:p w14:paraId="45FD61DD">
      <w:pPr>
        <w:jc w:val="left"/>
        <w:rPr>
          <w:rFonts w:hint="eastAsia" w:ascii="仿宋" w:hAnsi="仿宋" w:eastAsia="仿宋" w:cs="仿宋"/>
          <w:sz w:val="32"/>
          <w:szCs w:val="32"/>
        </w:rPr>
      </w:pPr>
    </w:p>
    <w:p w14:paraId="3B539208">
      <w:pPr>
        <w:jc w:val="left"/>
        <w:rPr>
          <w:rFonts w:hint="eastAsia" w:ascii="仿宋" w:hAnsi="仿宋" w:eastAsia="仿宋" w:cs="仿宋"/>
          <w:sz w:val="32"/>
          <w:szCs w:val="32"/>
        </w:rPr>
      </w:pPr>
    </w:p>
    <w:p w14:paraId="5804DCAF">
      <w:pPr>
        <w:jc w:val="left"/>
        <w:rPr>
          <w:rFonts w:hint="eastAsia" w:ascii="仿宋" w:hAnsi="仿宋" w:eastAsia="仿宋" w:cs="仿宋"/>
          <w:sz w:val="32"/>
          <w:szCs w:val="32"/>
        </w:rPr>
      </w:pPr>
    </w:p>
    <w:p w14:paraId="14217B3F">
      <w:pPr>
        <w:jc w:val="left"/>
        <w:rPr>
          <w:rFonts w:hint="eastAsia" w:ascii="仿宋" w:hAnsi="仿宋" w:eastAsia="仿宋" w:cs="仿宋"/>
          <w:sz w:val="32"/>
          <w:szCs w:val="32"/>
        </w:rPr>
      </w:pPr>
    </w:p>
    <w:p w14:paraId="00812788">
      <w:pPr>
        <w:jc w:val="left"/>
        <w:rPr>
          <w:rFonts w:hint="eastAsia" w:ascii="仿宋" w:hAnsi="仿宋" w:eastAsia="仿宋" w:cs="仿宋"/>
          <w:sz w:val="32"/>
          <w:szCs w:val="32"/>
        </w:rPr>
      </w:pPr>
    </w:p>
    <w:p w14:paraId="4C8F1989">
      <w:pPr>
        <w:jc w:val="left"/>
        <w:rPr>
          <w:rFonts w:hint="eastAsia" w:ascii="仿宋" w:hAnsi="仿宋" w:eastAsia="仿宋" w:cs="仿宋"/>
          <w:sz w:val="32"/>
          <w:szCs w:val="32"/>
        </w:rPr>
      </w:pPr>
    </w:p>
    <w:p w14:paraId="1E057D3A">
      <w:pPr>
        <w:jc w:val="left"/>
        <w:rPr>
          <w:rFonts w:hint="eastAsia" w:ascii="仿宋" w:hAnsi="仿宋" w:eastAsia="仿宋" w:cs="仿宋"/>
          <w:sz w:val="32"/>
          <w:szCs w:val="32"/>
        </w:rPr>
      </w:pPr>
    </w:p>
    <w:p w14:paraId="51611562">
      <w:pPr>
        <w:jc w:val="center"/>
        <w:rPr>
          <w:rFonts w:hint="eastAsia" w:ascii="仿宋" w:hAnsi="仿宋" w:eastAsia="仿宋" w:cs="仿宋"/>
          <w:sz w:val="32"/>
          <w:szCs w:val="32"/>
        </w:rPr>
      </w:pPr>
      <w:r>
        <w:rPr>
          <w:rFonts w:hint="eastAsia" w:ascii="仿宋" w:hAnsi="仿宋" w:eastAsia="仿宋" w:cs="仿宋"/>
          <w:sz w:val="32"/>
          <w:szCs w:val="32"/>
        </w:rPr>
        <w:t>第二部分  2025年部门预算公开表格</w:t>
      </w:r>
    </w:p>
    <w:p w14:paraId="011527A6">
      <w:pPr>
        <w:jc w:val="left"/>
        <w:rPr>
          <w:rFonts w:hint="eastAsia" w:ascii="仿宋" w:hAnsi="仿宋" w:eastAsia="仿宋" w:cs="仿宋"/>
          <w:sz w:val="32"/>
          <w:szCs w:val="32"/>
        </w:rPr>
      </w:pPr>
      <w:r>
        <w:rPr>
          <w:rFonts w:hint="eastAsia" w:ascii="仿宋" w:hAnsi="仿宋" w:eastAsia="仿宋" w:cs="仿宋"/>
          <w:sz w:val="32"/>
          <w:szCs w:val="32"/>
        </w:rPr>
        <w:t>1、收支总表</w:t>
      </w:r>
    </w:p>
    <w:p w14:paraId="61C9FBBD">
      <w:pPr>
        <w:jc w:val="left"/>
        <w:rPr>
          <w:rFonts w:hint="eastAsia" w:ascii="仿宋" w:hAnsi="仿宋" w:eastAsia="仿宋" w:cs="仿宋"/>
          <w:sz w:val="32"/>
          <w:szCs w:val="32"/>
        </w:rPr>
      </w:pPr>
      <w:r>
        <w:rPr>
          <w:rFonts w:hint="eastAsia" w:ascii="仿宋" w:hAnsi="仿宋" w:eastAsia="仿宋" w:cs="仿宋"/>
          <w:sz w:val="32"/>
          <w:szCs w:val="32"/>
        </w:rPr>
        <w:t>2、收入总表</w:t>
      </w:r>
    </w:p>
    <w:p w14:paraId="1A96FF58">
      <w:pPr>
        <w:jc w:val="left"/>
        <w:rPr>
          <w:rFonts w:hint="eastAsia" w:ascii="仿宋" w:hAnsi="仿宋" w:eastAsia="仿宋" w:cs="仿宋"/>
          <w:sz w:val="32"/>
          <w:szCs w:val="32"/>
        </w:rPr>
      </w:pPr>
      <w:r>
        <w:rPr>
          <w:rFonts w:hint="eastAsia" w:ascii="仿宋" w:hAnsi="仿宋" w:eastAsia="仿宋" w:cs="仿宋"/>
          <w:sz w:val="32"/>
          <w:szCs w:val="32"/>
        </w:rPr>
        <w:t>3、支出总表</w:t>
      </w:r>
    </w:p>
    <w:p w14:paraId="28072480">
      <w:pPr>
        <w:jc w:val="left"/>
        <w:rPr>
          <w:rFonts w:hint="eastAsia" w:ascii="仿宋" w:hAnsi="仿宋" w:eastAsia="仿宋" w:cs="仿宋"/>
          <w:sz w:val="32"/>
          <w:szCs w:val="32"/>
        </w:rPr>
      </w:pPr>
      <w:r>
        <w:rPr>
          <w:rFonts w:hint="eastAsia" w:ascii="仿宋" w:hAnsi="仿宋" w:eastAsia="仿宋" w:cs="仿宋"/>
          <w:sz w:val="32"/>
          <w:szCs w:val="32"/>
        </w:rPr>
        <w:t>4、支出预算分类汇总表（按政府预算经济分类）</w:t>
      </w:r>
    </w:p>
    <w:p w14:paraId="5AF88113">
      <w:pPr>
        <w:jc w:val="left"/>
        <w:rPr>
          <w:rFonts w:hint="eastAsia" w:ascii="仿宋" w:hAnsi="仿宋" w:eastAsia="仿宋" w:cs="仿宋"/>
          <w:sz w:val="32"/>
          <w:szCs w:val="32"/>
        </w:rPr>
      </w:pPr>
      <w:r>
        <w:rPr>
          <w:rFonts w:hint="eastAsia" w:ascii="仿宋" w:hAnsi="仿宋" w:eastAsia="仿宋" w:cs="仿宋"/>
          <w:sz w:val="32"/>
          <w:szCs w:val="32"/>
        </w:rPr>
        <w:t>5、支出预算分类汇总表（按部门预算经济分类）</w:t>
      </w:r>
    </w:p>
    <w:p w14:paraId="0A79DA0A">
      <w:pPr>
        <w:jc w:val="left"/>
        <w:rPr>
          <w:rFonts w:hint="eastAsia" w:ascii="仿宋" w:hAnsi="仿宋" w:eastAsia="仿宋" w:cs="仿宋"/>
          <w:sz w:val="32"/>
          <w:szCs w:val="32"/>
        </w:rPr>
      </w:pPr>
      <w:r>
        <w:rPr>
          <w:rFonts w:hint="eastAsia" w:ascii="仿宋" w:hAnsi="仿宋" w:eastAsia="仿宋" w:cs="仿宋"/>
          <w:sz w:val="32"/>
          <w:szCs w:val="32"/>
        </w:rPr>
        <w:t>6、财政拨款收支总表</w:t>
      </w:r>
    </w:p>
    <w:p w14:paraId="30BF91CC">
      <w:pPr>
        <w:jc w:val="left"/>
        <w:rPr>
          <w:rFonts w:hint="eastAsia" w:ascii="仿宋" w:hAnsi="仿宋" w:eastAsia="仿宋" w:cs="仿宋"/>
          <w:sz w:val="32"/>
          <w:szCs w:val="32"/>
        </w:rPr>
      </w:pPr>
      <w:r>
        <w:rPr>
          <w:rFonts w:hint="eastAsia" w:ascii="仿宋" w:hAnsi="仿宋" w:eastAsia="仿宋" w:cs="仿宋"/>
          <w:sz w:val="32"/>
          <w:szCs w:val="32"/>
        </w:rPr>
        <w:t>7、一般公共预算支出表</w:t>
      </w:r>
    </w:p>
    <w:p w14:paraId="358257E5">
      <w:pPr>
        <w:jc w:val="left"/>
        <w:rPr>
          <w:rFonts w:hint="eastAsia" w:ascii="仿宋" w:hAnsi="仿宋" w:eastAsia="仿宋" w:cs="仿宋"/>
          <w:sz w:val="32"/>
          <w:szCs w:val="32"/>
        </w:rPr>
      </w:pPr>
      <w:r>
        <w:rPr>
          <w:rFonts w:hint="eastAsia" w:ascii="仿宋" w:hAnsi="仿宋" w:eastAsia="仿宋" w:cs="仿宋"/>
          <w:sz w:val="32"/>
          <w:szCs w:val="32"/>
        </w:rPr>
        <w:t>8、一般公共预算基本支出表-人员经费（工资福利支出）（按政府预算经济分类）</w:t>
      </w:r>
    </w:p>
    <w:p w14:paraId="57A738E8">
      <w:pPr>
        <w:jc w:val="left"/>
        <w:rPr>
          <w:rFonts w:hint="eastAsia" w:ascii="仿宋" w:hAnsi="仿宋" w:eastAsia="仿宋" w:cs="仿宋"/>
          <w:sz w:val="32"/>
          <w:szCs w:val="32"/>
        </w:rPr>
      </w:pPr>
      <w:r>
        <w:rPr>
          <w:rFonts w:hint="eastAsia" w:ascii="仿宋" w:hAnsi="仿宋" w:eastAsia="仿宋" w:cs="仿宋"/>
          <w:sz w:val="32"/>
          <w:szCs w:val="32"/>
        </w:rPr>
        <w:t>9、一般公共预算基本支出表-人员经费（工资福利支出）（按部门预算经济分类）</w:t>
      </w:r>
    </w:p>
    <w:p w14:paraId="44C9F8C1">
      <w:pPr>
        <w:jc w:val="left"/>
        <w:rPr>
          <w:rFonts w:hint="eastAsia" w:ascii="仿宋" w:hAnsi="仿宋" w:eastAsia="仿宋" w:cs="仿宋"/>
          <w:sz w:val="32"/>
          <w:szCs w:val="32"/>
        </w:rPr>
      </w:pPr>
      <w:r>
        <w:rPr>
          <w:rFonts w:hint="eastAsia" w:ascii="仿宋" w:hAnsi="仿宋" w:eastAsia="仿宋" w:cs="仿宋"/>
          <w:sz w:val="32"/>
          <w:szCs w:val="32"/>
        </w:rPr>
        <w:t>10、一般公共预算基本支出表-人员经费（对个人和家庭的补助）（按政府预算经济分类）</w:t>
      </w:r>
    </w:p>
    <w:p w14:paraId="32136D30">
      <w:pPr>
        <w:jc w:val="left"/>
        <w:rPr>
          <w:rFonts w:hint="eastAsia" w:ascii="仿宋" w:hAnsi="仿宋" w:eastAsia="仿宋" w:cs="仿宋"/>
          <w:sz w:val="32"/>
          <w:szCs w:val="32"/>
        </w:rPr>
      </w:pPr>
      <w:r>
        <w:rPr>
          <w:rFonts w:hint="eastAsia" w:ascii="仿宋" w:hAnsi="仿宋" w:eastAsia="仿宋" w:cs="仿宋"/>
          <w:sz w:val="32"/>
          <w:szCs w:val="32"/>
        </w:rPr>
        <w:t>11、一般公共预算基本支出表-人员经费（对个人和家庭的补助）（按部门预算经济分类）</w:t>
      </w:r>
    </w:p>
    <w:p w14:paraId="0D016DB4">
      <w:pPr>
        <w:jc w:val="left"/>
        <w:rPr>
          <w:rFonts w:hint="eastAsia" w:ascii="仿宋" w:hAnsi="仿宋" w:eastAsia="仿宋" w:cs="仿宋"/>
          <w:sz w:val="32"/>
          <w:szCs w:val="32"/>
        </w:rPr>
      </w:pPr>
      <w:r>
        <w:rPr>
          <w:rFonts w:hint="eastAsia" w:ascii="仿宋" w:hAnsi="仿宋" w:eastAsia="仿宋" w:cs="仿宋"/>
          <w:sz w:val="32"/>
          <w:szCs w:val="32"/>
        </w:rPr>
        <w:t>12、一般公共预算基本支出表-公用经费（商品和服务支出）（按政府预算经济分类）</w:t>
      </w:r>
    </w:p>
    <w:p w14:paraId="2A4A4299">
      <w:pPr>
        <w:jc w:val="left"/>
        <w:rPr>
          <w:rFonts w:hint="eastAsia" w:ascii="仿宋" w:hAnsi="仿宋" w:eastAsia="仿宋" w:cs="仿宋"/>
          <w:sz w:val="32"/>
          <w:szCs w:val="32"/>
        </w:rPr>
      </w:pPr>
      <w:r>
        <w:rPr>
          <w:rFonts w:hint="eastAsia" w:ascii="仿宋" w:hAnsi="仿宋" w:eastAsia="仿宋" w:cs="仿宋"/>
          <w:sz w:val="32"/>
          <w:szCs w:val="32"/>
        </w:rPr>
        <w:t>13、一般公共预算基本支出表-公用经费（商品和服务支出）（按部门预算经济分类）</w:t>
      </w:r>
    </w:p>
    <w:p w14:paraId="4DA503E6">
      <w:pPr>
        <w:jc w:val="left"/>
        <w:rPr>
          <w:rFonts w:hint="eastAsia" w:ascii="仿宋" w:hAnsi="仿宋" w:eastAsia="仿宋" w:cs="仿宋"/>
          <w:sz w:val="32"/>
          <w:szCs w:val="32"/>
        </w:rPr>
      </w:pPr>
      <w:r>
        <w:rPr>
          <w:rFonts w:hint="eastAsia" w:ascii="仿宋" w:hAnsi="仿宋" w:eastAsia="仿宋" w:cs="仿宋"/>
          <w:sz w:val="32"/>
          <w:szCs w:val="32"/>
        </w:rPr>
        <w:t>14、一般公共预算“三公”经费支出表</w:t>
      </w:r>
    </w:p>
    <w:p w14:paraId="04895445">
      <w:pPr>
        <w:jc w:val="left"/>
        <w:rPr>
          <w:rFonts w:hint="eastAsia" w:ascii="仿宋" w:hAnsi="仿宋" w:eastAsia="仿宋" w:cs="仿宋"/>
          <w:sz w:val="32"/>
          <w:szCs w:val="32"/>
        </w:rPr>
      </w:pPr>
      <w:r>
        <w:rPr>
          <w:rFonts w:hint="eastAsia" w:ascii="仿宋" w:hAnsi="仿宋" w:eastAsia="仿宋" w:cs="仿宋"/>
          <w:sz w:val="32"/>
          <w:szCs w:val="32"/>
        </w:rPr>
        <w:t>15、政府性基金预算支出表</w:t>
      </w:r>
    </w:p>
    <w:p w14:paraId="3C554502">
      <w:pPr>
        <w:jc w:val="left"/>
        <w:rPr>
          <w:rFonts w:hint="eastAsia" w:ascii="仿宋" w:hAnsi="仿宋" w:eastAsia="仿宋" w:cs="仿宋"/>
          <w:sz w:val="32"/>
          <w:szCs w:val="32"/>
        </w:rPr>
      </w:pPr>
      <w:r>
        <w:rPr>
          <w:rFonts w:hint="eastAsia" w:ascii="仿宋" w:hAnsi="仿宋" w:eastAsia="仿宋" w:cs="仿宋"/>
          <w:sz w:val="32"/>
          <w:szCs w:val="32"/>
        </w:rPr>
        <w:t>16、政府性基金预算支出分类汇总表（按政府预算经济分类）</w:t>
      </w:r>
    </w:p>
    <w:p w14:paraId="2A83812B">
      <w:pPr>
        <w:jc w:val="left"/>
        <w:rPr>
          <w:rFonts w:hint="eastAsia" w:ascii="仿宋" w:hAnsi="仿宋" w:eastAsia="仿宋" w:cs="仿宋"/>
          <w:sz w:val="32"/>
          <w:szCs w:val="32"/>
        </w:rPr>
      </w:pPr>
      <w:r>
        <w:rPr>
          <w:rFonts w:hint="eastAsia" w:ascii="仿宋" w:hAnsi="仿宋" w:eastAsia="仿宋" w:cs="仿宋"/>
          <w:sz w:val="32"/>
          <w:szCs w:val="32"/>
        </w:rPr>
        <w:t>17、政府性基金预算支出分类汇总表（按部门预算经济分类）</w:t>
      </w:r>
    </w:p>
    <w:p w14:paraId="38FEE2B1">
      <w:pPr>
        <w:jc w:val="left"/>
        <w:rPr>
          <w:rFonts w:hint="eastAsia" w:ascii="仿宋" w:hAnsi="仿宋" w:eastAsia="仿宋" w:cs="仿宋"/>
          <w:sz w:val="32"/>
          <w:szCs w:val="32"/>
        </w:rPr>
      </w:pPr>
      <w:r>
        <w:rPr>
          <w:rFonts w:hint="eastAsia" w:ascii="仿宋" w:hAnsi="仿宋" w:eastAsia="仿宋" w:cs="仿宋"/>
          <w:sz w:val="32"/>
          <w:szCs w:val="32"/>
        </w:rPr>
        <w:t>18、国有资本经营预算支出表</w:t>
      </w:r>
    </w:p>
    <w:p w14:paraId="1F94AFC1">
      <w:pPr>
        <w:jc w:val="left"/>
        <w:rPr>
          <w:rFonts w:hint="eastAsia" w:ascii="仿宋" w:hAnsi="仿宋" w:eastAsia="仿宋" w:cs="仿宋"/>
          <w:sz w:val="32"/>
          <w:szCs w:val="32"/>
        </w:rPr>
      </w:pPr>
      <w:r>
        <w:rPr>
          <w:rFonts w:hint="eastAsia" w:ascii="仿宋" w:hAnsi="仿宋" w:eastAsia="仿宋" w:cs="仿宋"/>
          <w:sz w:val="32"/>
          <w:szCs w:val="32"/>
        </w:rPr>
        <w:t>19、财政专户管理资金预算支出表</w:t>
      </w:r>
    </w:p>
    <w:p w14:paraId="7D6B411A">
      <w:pPr>
        <w:jc w:val="left"/>
        <w:rPr>
          <w:rFonts w:hint="eastAsia" w:ascii="仿宋" w:hAnsi="仿宋" w:eastAsia="仿宋" w:cs="仿宋"/>
          <w:sz w:val="32"/>
          <w:szCs w:val="32"/>
        </w:rPr>
      </w:pPr>
      <w:r>
        <w:rPr>
          <w:rFonts w:hint="eastAsia" w:ascii="仿宋" w:hAnsi="仿宋" w:eastAsia="仿宋" w:cs="仿宋"/>
          <w:sz w:val="32"/>
          <w:szCs w:val="32"/>
        </w:rPr>
        <w:t>20、专项资金预算汇总表</w:t>
      </w:r>
    </w:p>
    <w:p w14:paraId="6DFC4B95">
      <w:pPr>
        <w:jc w:val="left"/>
        <w:rPr>
          <w:rFonts w:hint="eastAsia" w:ascii="仿宋" w:hAnsi="仿宋" w:eastAsia="仿宋" w:cs="仿宋"/>
          <w:sz w:val="32"/>
          <w:szCs w:val="32"/>
        </w:rPr>
      </w:pPr>
      <w:r>
        <w:rPr>
          <w:rFonts w:hint="eastAsia" w:ascii="仿宋" w:hAnsi="仿宋" w:eastAsia="仿宋" w:cs="仿宋"/>
          <w:sz w:val="32"/>
          <w:szCs w:val="32"/>
        </w:rPr>
        <w:t>21、项目支出绩效目标表</w:t>
      </w:r>
    </w:p>
    <w:p w14:paraId="17A195C4">
      <w:pPr>
        <w:jc w:val="left"/>
        <w:rPr>
          <w:rFonts w:hint="eastAsia" w:ascii="仿宋" w:hAnsi="仿宋" w:eastAsia="仿宋" w:cs="仿宋"/>
          <w:sz w:val="32"/>
          <w:szCs w:val="32"/>
        </w:rPr>
      </w:pPr>
      <w:r>
        <w:rPr>
          <w:rFonts w:hint="eastAsia" w:ascii="仿宋" w:hAnsi="仿宋" w:eastAsia="仿宋" w:cs="仿宋"/>
          <w:sz w:val="32"/>
          <w:szCs w:val="32"/>
        </w:rPr>
        <w:t>22、部门整体支出绩效目标表</w:t>
      </w:r>
    </w:p>
    <w:p w14:paraId="24327F5A">
      <w:pPr>
        <w:jc w:val="left"/>
        <w:rPr>
          <w:rFonts w:hint="eastAsia" w:ascii="仿宋" w:hAnsi="仿宋" w:eastAsia="仿宋" w:cs="仿宋"/>
          <w:sz w:val="32"/>
          <w:szCs w:val="32"/>
        </w:rPr>
      </w:pPr>
      <w:r>
        <w:rPr>
          <w:rFonts w:hint="eastAsia" w:ascii="仿宋" w:hAnsi="仿宋" w:eastAsia="仿宋" w:cs="仿宋"/>
          <w:sz w:val="32"/>
          <w:szCs w:val="32"/>
        </w:rPr>
        <w:t>23、一般公共预算基本支出表</w:t>
      </w:r>
    </w:p>
    <w:p w14:paraId="07296B65">
      <w:pPr>
        <w:jc w:val="left"/>
        <w:rPr>
          <w:rFonts w:hint="eastAsia" w:ascii="仿宋" w:hAnsi="仿宋" w:eastAsia="仿宋" w:cs="仿宋"/>
          <w:sz w:val="32"/>
          <w:szCs w:val="32"/>
        </w:rPr>
      </w:pPr>
      <w:r>
        <w:rPr>
          <w:rFonts w:hint="eastAsia" w:ascii="仿宋" w:hAnsi="仿宋" w:eastAsia="仿宋" w:cs="仿宋"/>
          <w:sz w:val="32"/>
          <w:szCs w:val="32"/>
        </w:rPr>
        <w:t>注：以上部门预算公开报表中，空表表示本部门无相关收支情况。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2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小方娟</cp:lastModifiedBy>
  <dcterms:modified xsi:type="dcterms:W3CDTF">2026-04-15T03:01:45Z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eyJoZGlkIjoiOGU0NzU0ODI0OTZiMDZhOTkxODNmMmMzZWJlNjUyZTYiLCJ1c2VySWQiOiIyNjEwNzEwOTMifQ==</vt:lpwstr>
  </property>
  <property fmtid="{D5CDD505-2E9C-101B-9397-08002B2CF9AE}" pid="4" name="ICV">
    <vt:lpwstr>46385F9A9BBF42CFA8DE5A3B8D678F5B_12</vt:lpwstr>
  </property>
</Properties>
</file>