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imes New Roman" w:hAnsi="Times New Roman" w:cs="Times New Roman"/>
          <w:color w:val="auto"/>
          <w:sz w:val="2"/>
          <w:szCs w:val="2"/>
        </w:rPr>
      </w:pPr>
    </w:p>
    <w:tbl>
      <w:tblPr>
        <w:tblStyle w:val="7"/>
        <w:tblW w:w="15219" w:type="dxa"/>
        <w:tblInd w:w="92" w:type="dxa"/>
        <w:tblLayout w:type="fixed"/>
        <w:tblCellMar>
          <w:top w:w="0" w:type="dxa"/>
          <w:left w:w="0" w:type="dxa"/>
          <w:bottom w:w="0" w:type="dxa"/>
          <w:right w:w="0" w:type="dxa"/>
        </w:tblCellMar>
      </w:tblPr>
      <w:tblGrid>
        <w:gridCol w:w="15219"/>
      </w:tblGrid>
      <w:tr>
        <w:tblPrEx>
          <w:tblCellMar>
            <w:top w:w="0" w:type="dxa"/>
            <w:left w:w="0" w:type="dxa"/>
            <w:bottom w:w="0" w:type="dxa"/>
            <w:right w:w="0" w:type="dxa"/>
          </w:tblCellMar>
        </w:tblPrEx>
        <w:trPr>
          <w:trHeight w:val="9581"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1110" w:lineRule="exact"/>
              <w:ind w:left="20"/>
              <w:jc w:val="center"/>
              <w:rPr>
                <w:rFonts w:ascii="微软雅黑" w:hAnsi="Times New Roman" w:eastAsia="微软雅黑" w:cs="微软雅黑"/>
                <w:b/>
                <w:bCs/>
                <w:sz w:val="84"/>
                <w:szCs w:val="84"/>
              </w:rPr>
            </w:pPr>
            <w:r>
              <w:rPr>
                <w:rFonts w:hint="eastAsia" w:ascii="微软雅黑" w:hAnsi="Times New Roman" w:eastAsia="微软雅黑" w:cs="微软雅黑"/>
                <w:b/>
                <w:bCs/>
                <w:sz w:val="84"/>
                <w:szCs w:val="84"/>
              </w:rPr>
              <w:t>湖南东洞庭湖国家级自然保护区管理局</w:t>
            </w:r>
            <w:r>
              <w:rPr>
                <w:rFonts w:ascii="微软雅黑" w:hAnsi="Times New Roman" w:eastAsia="微软雅黑" w:cs="微软雅黑"/>
                <w:b/>
                <w:bCs/>
                <w:sz w:val="84"/>
                <w:szCs w:val="84"/>
              </w:rPr>
              <w:t>2025</w:t>
            </w:r>
            <w:r>
              <w:rPr>
                <w:rFonts w:hint="eastAsia" w:ascii="微软雅黑" w:hAnsi="Times New Roman" w:eastAsia="微软雅黑" w:cs="微软雅黑"/>
                <w:b/>
                <w:bCs/>
                <w:sz w:val="84"/>
                <w:szCs w:val="84"/>
              </w:rPr>
              <w:t>年度</w:t>
            </w:r>
          </w:p>
          <w:p>
            <w:pPr>
              <w:spacing w:line="1110" w:lineRule="exact"/>
              <w:ind w:left="20"/>
              <w:jc w:val="center"/>
              <w:rPr>
                <w:rFonts w:ascii="微软雅黑" w:hAnsi="Times New Roman" w:eastAsia="微软雅黑" w:cs="微软雅黑"/>
                <w:sz w:val="84"/>
                <w:szCs w:val="84"/>
              </w:rPr>
            </w:pPr>
            <w:r>
              <w:rPr>
                <w:rFonts w:hint="eastAsia" w:ascii="微软雅黑" w:hAnsi="Times New Roman" w:eastAsia="微软雅黑" w:cs="微软雅黑"/>
                <w:b/>
                <w:bCs/>
                <w:sz w:val="84"/>
                <w:szCs w:val="84"/>
              </w:rPr>
              <w:t>单位预算</w:t>
            </w:r>
          </w:p>
        </w:tc>
      </w:tr>
      <w:tr>
        <w:tblPrEx>
          <w:tblCellMar>
            <w:top w:w="0" w:type="dxa"/>
            <w:left w:w="0" w:type="dxa"/>
            <w:bottom w:w="0" w:type="dxa"/>
            <w:right w:w="0" w:type="dxa"/>
          </w:tblCellMar>
        </w:tblPrEx>
        <w:trPr>
          <w:trHeight w:val="442"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525" w:lineRule="exact"/>
              <w:ind w:left="20"/>
              <w:jc w:val="center"/>
              <w:rPr>
                <w:rFonts w:ascii="Dialog" w:hAnsi="Times New Roman" w:eastAsia="Dialog" w:cs="Dialog"/>
                <w:sz w:val="44"/>
                <w:szCs w:val="44"/>
              </w:rPr>
            </w:pPr>
            <w:r>
              <w:rPr>
                <w:rFonts w:hint="eastAsia" w:ascii="Dialog" w:hAnsi="Times New Roman" w:eastAsia="Dialog" w:cs="Dialog"/>
                <w:sz w:val="44"/>
                <w:szCs w:val="44"/>
              </w:rPr>
              <w:t>目录</w:t>
            </w:r>
          </w:p>
        </w:tc>
      </w:tr>
      <w:tr>
        <w:tblPrEx>
          <w:tblCellMar>
            <w:top w:w="0" w:type="dxa"/>
            <w:left w:w="0" w:type="dxa"/>
            <w:bottom w:w="0" w:type="dxa"/>
            <w:right w:w="0" w:type="dxa"/>
          </w:tblCellMar>
        </w:tblPrEx>
        <w:trPr>
          <w:trHeight w:val="182" w:hRule="atLeast"/>
        </w:trPr>
        <w:tc>
          <w:tcPr>
            <w:tcW w:w="15219" w:type="dxa"/>
            <w:tcBorders>
              <w:top w:val="single" w:color="FFFFFF" w:sz="8" w:space="0"/>
              <w:left w:val="single" w:color="FFFFFF" w:sz="8" w:space="0"/>
              <w:bottom w:val="single" w:color="FFFFFF" w:sz="8" w:space="0"/>
              <w:right w:val="single" w:color="FFFFFF" w:sz="8" w:space="0"/>
            </w:tcBorders>
            <w:shd w:val="clear" w:color="auto" w:fill="FFFFFF"/>
            <w:vAlign w:val="center"/>
          </w:tcPr>
          <w:p>
            <w:pPr>
              <w:rPr>
                <w:rFonts w:ascii="Times New Roman" w:hAnsi="Times New Roman" w:cs="Times New Roman"/>
                <w:color w:val="auto"/>
              </w:rPr>
            </w:pPr>
          </w:p>
        </w:tc>
      </w:tr>
      <w:tr>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Dialog" w:hAnsi="Times New Roman" w:eastAsia="Dialog" w:cs="Dialog"/>
                <w:sz w:val="32"/>
                <w:szCs w:val="32"/>
              </w:rPr>
            </w:pPr>
            <w:r>
              <w:rPr>
                <w:rFonts w:hint="eastAsia" w:ascii="Dialog" w:hAnsi="Times New Roman" w:eastAsia="Dialog" w:cs="Dialog"/>
                <w:sz w:val="32"/>
                <w:szCs w:val="32"/>
              </w:rPr>
              <w:t>第一部分</w:t>
            </w:r>
            <w:r>
              <w:rPr>
                <w:rFonts w:ascii="Dialog" w:hAnsi="Times New Roman" w:eastAsia="Dialog" w:cs="Dialog"/>
                <w:sz w:val="32"/>
                <w:szCs w:val="32"/>
              </w:rPr>
              <w:t xml:space="preserve">  2025</w:t>
            </w:r>
            <w:r>
              <w:rPr>
                <w:rFonts w:hint="eastAsia" w:ascii="Dialog" w:hAnsi="Times New Roman" w:eastAsia="Dialog" w:cs="Dialog"/>
                <w:sz w:val="32"/>
                <w:szCs w:val="32"/>
              </w:rPr>
              <w:t>年单位预算说明</w:t>
            </w:r>
          </w:p>
        </w:tc>
      </w:tr>
      <w:tr>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Dialog" w:hAnsi="Times New Roman" w:eastAsia="Dialog" w:cs="Dialog"/>
                <w:sz w:val="32"/>
                <w:szCs w:val="32"/>
              </w:rPr>
            </w:pPr>
            <w:r>
              <w:rPr>
                <w:rFonts w:hint="eastAsia" w:ascii="Dialog" w:hAnsi="Times New Roman" w:eastAsia="Dialog" w:cs="Dialog"/>
                <w:sz w:val="32"/>
                <w:szCs w:val="32"/>
              </w:rPr>
              <w:t>第二部分</w:t>
            </w:r>
            <w:r>
              <w:rPr>
                <w:rFonts w:ascii="Dialog" w:hAnsi="Times New Roman" w:eastAsia="Dialog" w:cs="Dialog"/>
                <w:sz w:val="32"/>
                <w:szCs w:val="32"/>
              </w:rPr>
              <w:t xml:space="preserve">  2025</w:t>
            </w:r>
            <w:r>
              <w:rPr>
                <w:rFonts w:hint="eastAsia" w:ascii="Dialog" w:hAnsi="Times New Roman" w:eastAsia="Dialog" w:cs="Dialog"/>
                <w:sz w:val="32"/>
                <w:szCs w:val="32"/>
              </w:rPr>
              <w:t>年单位预算公开表格</w:t>
            </w:r>
          </w:p>
        </w:tc>
      </w:tr>
      <w:tr>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Dialog" w:hAnsi="Times New Roman" w:eastAsia="Dialog" w:cs="Dialog"/>
                <w:sz w:val="32"/>
                <w:szCs w:val="32"/>
              </w:rPr>
            </w:pPr>
            <w:r>
              <w:rPr>
                <w:rFonts w:ascii="Dialog" w:hAnsi="Times New Roman" w:eastAsia="Dialog" w:cs="Dialog"/>
                <w:sz w:val="32"/>
                <w:szCs w:val="32"/>
              </w:rPr>
              <w:t>1</w:t>
            </w:r>
            <w:r>
              <w:rPr>
                <w:rFonts w:hint="eastAsia" w:ascii="Dialog" w:hAnsi="Times New Roman" w:eastAsia="Dialog" w:cs="Dialog"/>
                <w:sz w:val="32"/>
                <w:szCs w:val="32"/>
              </w:rPr>
              <w:t>、收支总表</w:t>
            </w:r>
          </w:p>
        </w:tc>
      </w:tr>
      <w:tr>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Dialog" w:hAnsi="Times New Roman" w:eastAsia="Dialog" w:cs="Dialog"/>
                <w:sz w:val="32"/>
                <w:szCs w:val="32"/>
              </w:rPr>
            </w:pPr>
            <w:r>
              <w:rPr>
                <w:rFonts w:ascii="Dialog" w:hAnsi="Times New Roman" w:eastAsia="Dialog" w:cs="Dialog"/>
                <w:sz w:val="32"/>
                <w:szCs w:val="32"/>
              </w:rPr>
              <w:t>2</w:t>
            </w:r>
            <w:r>
              <w:rPr>
                <w:rFonts w:hint="eastAsia" w:ascii="Dialog" w:hAnsi="Times New Roman" w:eastAsia="Dialog" w:cs="Dialog"/>
                <w:sz w:val="32"/>
                <w:szCs w:val="32"/>
              </w:rPr>
              <w:t>、收入总表</w:t>
            </w:r>
          </w:p>
        </w:tc>
      </w:tr>
      <w:tr>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Dialog" w:hAnsi="Times New Roman" w:eastAsia="Dialog" w:cs="Dialog"/>
                <w:sz w:val="32"/>
                <w:szCs w:val="32"/>
              </w:rPr>
            </w:pPr>
            <w:r>
              <w:rPr>
                <w:rFonts w:ascii="Dialog" w:hAnsi="Times New Roman" w:eastAsia="Dialog" w:cs="Dialog"/>
                <w:sz w:val="32"/>
                <w:szCs w:val="32"/>
              </w:rPr>
              <w:t>3</w:t>
            </w:r>
            <w:r>
              <w:rPr>
                <w:rFonts w:hint="eastAsia" w:ascii="Dialog" w:hAnsi="Times New Roman" w:eastAsia="Dialog" w:cs="Dialog"/>
                <w:sz w:val="32"/>
                <w:szCs w:val="32"/>
              </w:rPr>
              <w:t>、支出总表</w:t>
            </w:r>
          </w:p>
        </w:tc>
      </w:tr>
      <w:tr>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Dialog" w:hAnsi="Times New Roman" w:eastAsia="Dialog" w:cs="Dialog"/>
                <w:sz w:val="32"/>
                <w:szCs w:val="32"/>
              </w:rPr>
            </w:pPr>
            <w:r>
              <w:rPr>
                <w:rFonts w:ascii="Dialog" w:hAnsi="Times New Roman" w:eastAsia="Dialog" w:cs="Dialog"/>
                <w:sz w:val="32"/>
                <w:szCs w:val="32"/>
              </w:rPr>
              <w:t>4</w:t>
            </w:r>
            <w:r>
              <w:rPr>
                <w:rFonts w:hint="eastAsia" w:ascii="Dialog" w:hAnsi="Times New Roman" w:eastAsia="Dialog" w:cs="Dialog"/>
                <w:sz w:val="32"/>
                <w:szCs w:val="32"/>
              </w:rPr>
              <w:t>、支出预算分类汇总表（按政府预算经济分类）</w:t>
            </w:r>
          </w:p>
        </w:tc>
      </w:tr>
      <w:tr>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Dialog" w:hAnsi="Times New Roman" w:eastAsia="Dialog" w:cs="Dialog"/>
                <w:sz w:val="32"/>
                <w:szCs w:val="32"/>
              </w:rPr>
            </w:pPr>
            <w:r>
              <w:rPr>
                <w:rFonts w:ascii="Dialog" w:hAnsi="Times New Roman" w:eastAsia="Dialog" w:cs="Dialog"/>
                <w:sz w:val="32"/>
                <w:szCs w:val="32"/>
              </w:rPr>
              <w:t>5</w:t>
            </w:r>
            <w:r>
              <w:rPr>
                <w:rFonts w:hint="eastAsia" w:ascii="Dialog" w:hAnsi="Times New Roman" w:eastAsia="Dialog" w:cs="Dialog"/>
                <w:sz w:val="32"/>
                <w:szCs w:val="32"/>
              </w:rPr>
              <w:t>、支出预算分类汇总表（按部门预算经济分类）</w:t>
            </w:r>
          </w:p>
        </w:tc>
      </w:tr>
      <w:tr>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Dialog" w:hAnsi="Times New Roman" w:eastAsia="Dialog" w:cs="Dialog"/>
                <w:sz w:val="32"/>
                <w:szCs w:val="32"/>
              </w:rPr>
            </w:pPr>
            <w:r>
              <w:rPr>
                <w:rFonts w:ascii="Dialog" w:hAnsi="Times New Roman" w:eastAsia="Dialog" w:cs="Dialog"/>
                <w:sz w:val="32"/>
                <w:szCs w:val="32"/>
              </w:rPr>
              <w:t>6</w:t>
            </w:r>
            <w:r>
              <w:rPr>
                <w:rFonts w:hint="eastAsia" w:ascii="Dialog" w:hAnsi="Times New Roman" w:eastAsia="Dialog" w:cs="Dialog"/>
                <w:sz w:val="32"/>
                <w:szCs w:val="32"/>
              </w:rPr>
              <w:t>、财政拨款收支总表</w:t>
            </w:r>
          </w:p>
        </w:tc>
      </w:tr>
      <w:tr>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Dialog" w:hAnsi="Times New Roman" w:eastAsia="Dialog" w:cs="Dialog"/>
                <w:sz w:val="32"/>
                <w:szCs w:val="32"/>
              </w:rPr>
            </w:pPr>
            <w:r>
              <w:rPr>
                <w:rFonts w:ascii="Dialog" w:hAnsi="Times New Roman" w:eastAsia="Dialog" w:cs="Dialog"/>
                <w:sz w:val="32"/>
                <w:szCs w:val="32"/>
              </w:rPr>
              <w:t>7</w:t>
            </w:r>
            <w:r>
              <w:rPr>
                <w:rFonts w:hint="eastAsia" w:ascii="Dialog" w:hAnsi="Times New Roman" w:eastAsia="Dialog" w:cs="Dialog"/>
                <w:sz w:val="32"/>
                <w:szCs w:val="32"/>
              </w:rPr>
              <w:t>、一般公共预算支出表</w:t>
            </w:r>
          </w:p>
        </w:tc>
      </w:tr>
      <w:tr>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Dialog" w:hAnsi="Times New Roman" w:eastAsia="Dialog" w:cs="Dialog"/>
                <w:sz w:val="32"/>
                <w:szCs w:val="32"/>
              </w:rPr>
            </w:pPr>
            <w:r>
              <w:rPr>
                <w:rFonts w:ascii="Dialog" w:hAnsi="Times New Roman" w:eastAsia="Dialog" w:cs="Dialog"/>
                <w:sz w:val="32"/>
                <w:szCs w:val="32"/>
              </w:rPr>
              <w:t>8</w:t>
            </w:r>
            <w:r>
              <w:rPr>
                <w:rFonts w:hint="eastAsia" w:ascii="Dialog" w:hAnsi="Times New Roman" w:eastAsia="Dialog" w:cs="Dialog"/>
                <w:sz w:val="32"/>
                <w:szCs w:val="32"/>
              </w:rPr>
              <w:t>、一般公共预算基本支出表</w:t>
            </w:r>
            <w:r>
              <w:rPr>
                <w:rFonts w:ascii="Dialog" w:hAnsi="Times New Roman" w:eastAsia="Dialog" w:cs="Dialog"/>
                <w:sz w:val="32"/>
                <w:szCs w:val="32"/>
              </w:rPr>
              <w:t>-</w:t>
            </w:r>
            <w:r>
              <w:rPr>
                <w:rFonts w:hint="eastAsia" w:ascii="Dialog" w:hAnsi="Times New Roman" w:eastAsia="Dialog" w:cs="Dialog"/>
                <w:sz w:val="32"/>
                <w:szCs w:val="32"/>
              </w:rPr>
              <w:t>人员经费（工资福利支出）（按政府预算经济分类）</w:t>
            </w:r>
          </w:p>
        </w:tc>
      </w:tr>
      <w:tr>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Dialog" w:hAnsi="Times New Roman" w:eastAsia="Dialog" w:cs="Dialog"/>
                <w:sz w:val="32"/>
                <w:szCs w:val="32"/>
              </w:rPr>
            </w:pPr>
            <w:r>
              <w:rPr>
                <w:rFonts w:ascii="Dialog" w:hAnsi="Times New Roman" w:eastAsia="Dialog" w:cs="Dialog"/>
                <w:sz w:val="32"/>
                <w:szCs w:val="32"/>
              </w:rPr>
              <w:t>9</w:t>
            </w:r>
            <w:r>
              <w:rPr>
                <w:rFonts w:hint="eastAsia" w:ascii="Dialog" w:hAnsi="Times New Roman" w:eastAsia="Dialog" w:cs="Dialog"/>
                <w:sz w:val="32"/>
                <w:szCs w:val="32"/>
              </w:rPr>
              <w:t>、一般公共预算基本支出表</w:t>
            </w:r>
            <w:r>
              <w:rPr>
                <w:rFonts w:ascii="Dialog" w:hAnsi="Times New Roman" w:eastAsia="Dialog" w:cs="Dialog"/>
                <w:sz w:val="32"/>
                <w:szCs w:val="32"/>
              </w:rPr>
              <w:t>-</w:t>
            </w:r>
            <w:r>
              <w:rPr>
                <w:rFonts w:hint="eastAsia" w:ascii="Dialog" w:hAnsi="Times New Roman" w:eastAsia="Dialog" w:cs="Dialog"/>
                <w:sz w:val="32"/>
                <w:szCs w:val="32"/>
              </w:rPr>
              <w:t>人员经费（工资福利支出）（按部门预算经济分类）</w:t>
            </w:r>
          </w:p>
        </w:tc>
      </w:tr>
      <w:tr>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Dialog" w:hAnsi="Times New Roman" w:eastAsia="Dialog" w:cs="Dialog"/>
                <w:sz w:val="32"/>
                <w:szCs w:val="32"/>
              </w:rPr>
            </w:pPr>
            <w:r>
              <w:rPr>
                <w:rFonts w:ascii="Dialog" w:hAnsi="Times New Roman" w:eastAsia="Dialog" w:cs="Dialog"/>
                <w:sz w:val="32"/>
                <w:szCs w:val="32"/>
              </w:rPr>
              <w:t>10</w:t>
            </w:r>
            <w:r>
              <w:rPr>
                <w:rFonts w:hint="eastAsia" w:ascii="Dialog" w:hAnsi="Times New Roman" w:eastAsia="Dialog" w:cs="Dialog"/>
                <w:sz w:val="32"/>
                <w:szCs w:val="32"/>
              </w:rPr>
              <w:t>、一般公共预算基本支出表</w:t>
            </w:r>
            <w:r>
              <w:rPr>
                <w:rFonts w:ascii="Dialog" w:hAnsi="Times New Roman" w:eastAsia="Dialog" w:cs="Dialog"/>
                <w:sz w:val="32"/>
                <w:szCs w:val="32"/>
              </w:rPr>
              <w:t>-</w:t>
            </w:r>
            <w:r>
              <w:rPr>
                <w:rFonts w:hint="eastAsia" w:ascii="Dialog" w:hAnsi="Times New Roman" w:eastAsia="Dialog" w:cs="Dialog"/>
                <w:sz w:val="32"/>
                <w:szCs w:val="32"/>
              </w:rPr>
              <w:t>人员经费（对个人和家庭的补助）（按政府预算经济分类）</w:t>
            </w:r>
          </w:p>
        </w:tc>
      </w:tr>
      <w:tr>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Dialog" w:hAnsi="Times New Roman" w:eastAsia="Dialog" w:cs="Dialog"/>
                <w:sz w:val="32"/>
                <w:szCs w:val="32"/>
              </w:rPr>
            </w:pPr>
            <w:r>
              <w:rPr>
                <w:rFonts w:ascii="Dialog" w:hAnsi="Times New Roman" w:eastAsia="Dialog" w:cs="Dialog"/>
                <w:sz w:val="32"/>
                <w:szCs w:val="32"/>
              </w:rPr>
              <w:t>11</w:t>
            </w:r>
            <w:r>
              <w:rPr>
                <w:rFonts w:hint="eastAsia" w:ascii="Dialog" w:hAnsi="Times New Roman" w:eastAsia="Dialog" w:cs="Dialog"/>
                <w:sz w:val="32"/>
                <w:szCs w:val="32"/>
              </w:rPr>
              <w:t>、一般公共预算基本支出表</w:t>
            </w:r>
            <w:r>
              <w:rPr>
                <w:rFonts w:ascii="Dialog" w:hAnsi="Times New Roman" w:eastAsia="Dialog" w:cs="Dialog"/>
                <w:sz w:val="32"/>
                <w:szCs w:val="32"/>
              </w:rPr>
              <w:t>-</w:t>
            </w:r>
            <w:r>
              <w:rPr>
                <w:rFonts w:hint="eastAsia" w:ascii="Dialog" w:hAnsi="Times New Roman" w:eastAsia="Dialog" w:cs="Dialog"/>
                <w:sz w:val="32"/>
                <w:szCs w:val="32"/>
              </w:rPr>
              <w:t>人员经费（对个人和家庭的补助）（按部门预算经济分类）</w:t>
            </w:r>
          </w:p>
        </w:tc>
      </w:tr>
      <w:tr>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Dialog" w:hAnsi="Times New Roman" w:eastAsia="Dialog" w:cs="Dialog"/>
                <w:sz w:val="32"/>
                <w:szCs w:val="32"/>
              </w:rPr>
            </w:pPr>
            <w:r>
              <w:rPr>
                <w:rFonts w:ascii="Dialog" w:hAnsi="Times New Roman" w:eastAsia="Dialog" w:cs="Dialog"/>
                <w:sz w:val="32"/>
                <w:szCs w:val="32"/>
              </w:rPr>
              <w:t>12</w:t>
            </w:r>
            <w:r>
              <w:rPr>
                <w:rFonts w:hint="eastAsia" w:ascii="Dialog" w:hAnsi="Times New Roman" w:eastAsia="Dialog" w:cs="Dialog"/>
                <w:sz w:val="32"/>
                <w:szCs w:val="32"/>
              </w:rPr>
              <w:t>、一般公共预算基本支出表</w:t>
            </w:r>
            <w:r>
              <w:rPr>
                <w:rFonts w:ascii="Dialog" w:hAnsi="Times New Roman" w:eastAsia="Dialog" w:cs="Dialog"/>
                <w:sz w:val="32"/>
                <w:szCs w:val="32"/>
              </w:rPr>
              <w:t>-</w:t>
            </w:r>
            <w:r>
              <w:rPr>
                <w:rFonts w:hint="eastAsia" w:ascii="Dialog" w:hAnsi="Times New Roman" w:eastAsia="Dialog" w:cs="Dialog"/>
                <w:sz w:val="32"/>
                <w:szCs w:val="32"/>
              </w:rPr>
              <w:t>公用经费（商品和服务支出）（按政府预算经济分类）</w:t>
            </w:r>
          </w:p>
        </w:tc>
      </w:tr>
      <w:tr>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Dialog" w:hAnsi="Times New Roman" w:eastAsia="Dialog" w:cs="Dialog"/>
                <w:sz w:val="32"/>
                <w:szCs w:val="32"/>
              </w:rPr>
            </w:pPr>
            <w:r>
              <w:rPr>
                <w:rFonts w:ascii="Dialog" w:hAnsi="Times New Roman" w:eastAsia="Dialog" w:cs="Dialog"/>
                <w:sz w:val="32"/>
                <w:szCs w:val="32"/>
              </w:rPr>
              <w:t>13</w:t>
            </w:r>
            <w:r>
              <w:rPr>
                <w:rFonts w:hint="eastAsia" w:ascii="Dialog" w:hAnsi="Times New Roman" w:eastAsia="Dialog" w:cs="Dialog"/>
                <w:sz w:val="32"/>
                <w:szCs w:val="32"/>
              </w:rPr>
              <w:t>、一般公共预算基本支出表</w:t>
            </w:r>
            <w:r>
              <w:rPr>
                <w:rFonts w:ascii="Dialog" w:hAnsi="Times New Roman" w:eastAsia="Dialog" w:cs="Dialog"/>
                <w:sz w:val="32"/>
                <w:szCs w:val="32"/>
              </w:rPr>
              <w:t>-</w:t>
            </w:r>
            <w:r>
              <w:rPr>
                <w:rFonts w:hint="eastAsia" w:ascii="Dialog" w:hAnsi="Times New Roman" w:eastAsia="Dialog" w:cs="Dialog"/>
                <w:sz w:val="32"/>
                <w:szCs w:val="32"/>
              </w:rPr>
              <w:t>公用经费（商品和服务支出）（按部门预算经济分类）</w:t>
            </w:r>
          </w:p>
        </w:tc>
      </w:tr>
      <w:tr>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Dialog" w:hAnsi="Times New Roman" w:eastAsia="Dialog" w:cs="Dialog"/>
                <w:sz w:val="32"/>
                <w:szCs w:val="32"/>
              </w:rPr>
            </w:pPr>
            <w:r>
              <w:rPr>
                <w:rFonts w:ascii="Dialog" w:hAnsi="Times New Roman" w:eastAsia="Dialog" w:cs="Dialog"/>
                <w:sz w:val="32"/>
                <w:szCs w:val="32"/>
              </w:rPr>
              <w:t>14</w:t>
            </w:r>
            <w:r>
              <w:rPr>
                <w:rFonts w:hint="eastAsia" w:ascii="Dialog" w:hAnsi="Times New Roman" w:eastAsia="Dialog" w:cs="Dialog"/>
                <w:sz w:val="32"/>
                <w:szCs w:val="32"/>
              </w:rPr>
              <w:t>、一般公共预算“三公”经费支出表</w:t>
            </w:r>
          </w:p>
        </w:tc>
      </w:tr>
      <w:tr>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Dialog" w:hAnsi="Times New Roman" w:eastAsia="Dialog" w:cs="Dialog"/>
                <w:sz w:val="32"/>
                <w:szCs w:val="32"/>
              </w:rPr>
            </w:pPr>
            <w:r>
              <w:rPr>
                <w:rFonts w:ascii="Dialog" w:hAnsi="Times New Roman" w:eastAsia="Dialog" w:cs="Dialog"/>
                <w:sz w:val="32"/>
                <w:szCs w:val="32"/>
              </w:rPr>
              <w:t>15</w:t>
            </w:r>
            <w:r>
              <w:rPr>
                <w:rFonts w:hint="eastAsia" w:ascii="Dialog" w:hAnsi="Times New Roman" w:eastAsia="Dialog" w:cs="Dialog"/>
                <w:sz w:val="32"/>
                <w:szCs w:val="32"/>
              </w:rPr>
              <w:t>、政府性基金预算支出表</w:t>
            </w:r>
          </w:p>
        </w:tc>
      </w:tr>
      <w:tr>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Dialog" w:hAnsi="Times New Roman" w:eastAsia="Dialog" w:cs="Dialog"/>
                <w:sz w:val="32"/>
                <w:szCs w:val="32"/>
              </w:rPr>
            </w:pPr>
            <w:r>
              <w:rPr>
                <w:rFonts w:ascii="Dialog" w:hAnsi="Times New Roman" w:eastAsia="Dialog" w:cs="Dialog"/>
                <w:sz w:val="32"/>
                <w:szCs w:val="32"/>
              </w:rPr>
              <w:t>16</w:t>
            </w:r>
            <w:r>
              <w:rPr>
                <w:rFonts w:hint="eastAsia" w:ascii="Dialog" w:hAnsi="Times New Roman" w:eastAsia="Dialog" w:cs="Dialog"/>
                <w:sz w:val="32"/>
                <w:szCs w:val="32"/>
              </w:rPr>
              <w:t>、政府性基金预算支出分类汇总表（按政府预算经济分类）</w:t>
            </w:r>
          </w:p>
        </w:tc>
      </w:tr>
      <w:tr>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Dialog" w:hAnsi="Times New Roman" w:eastAsia="Dialog" w:cs="Dialog"/>
                <w:sz w:val="32"/>
                <w:szCs w:val="32"/>
              </w:rPr>
            </w:pPr>
            <w:r>
              <w:rPr>
                <w:rFonts w:ascii="Dialog" w:hAnsi="Times New Roman" w:eastAsia="Dialog" w:cs="Dialog"/>
                <w:sz w:val="32"/>
                <w:szCs w:val="32"/>
              </w:rPr>
              <w:t>17</w:t>
            </w:r>
            <w:r>
              <w:rPr>
                <w:rFonts w:hint="eastAsia" w:ascii="Dialog" w:hAnsi="Times New Roman" w:eastAsia="Dialog" w:cs="Dialog"/>
                <w:sz w:val="32"/>
                <w:szCs w:val="32"/>
              </w:rPr>
              <w:t>、政府性基金预算支出分类汇总表（按部门预算经济分类）</w:t>
            </w:r>
          </w:p>
        </w:tc>
      </w:tr>
      <w:tr>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Dialog" w:hAnsi="Times New Roman" w:eastAsia="Dialog" w:cs="Dialog"/>
                <w:sz w:val="32"/>
                <w:szCs w:val="32"/>
              </w:rPr>
            </w:pPr>
            <w:r>
              <w:rPr>
                <w:rFonts w:ascii="Dialog" w:hAnsi="Times New Roman" w:eastAsia="Dialog" w:cs="Dialog"/>
                <w:sz w:val="32"/>
                <w:szCs w:val="32"/>
              </w:rPr>
              <w:t>18</w:t>
            </w:r>
            <w:r>
              <w:rPr>
                <w:rFonts w:hint="eastAsia" w:ascii="Dialog" w:hAnsi="Times New Roman" w:eastAsia="Dialog" w:cs="Dialog"/>
                <w:sz w:val="32"/>
                <w:szCs w:val="32"/>
              </w:rPr>
              <w:t>、国有资本经营预算支出表</w:t>
            </w:r>
          </w:p>
        </w:tc>
      </w:tr>
      <w:tr>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Dialog" w:hAnsi="Times New Roman" w:eastAsia="Dialog" w:cs="Dialog"/>
                <w:sz w:val="32"/>
                <w:szCs w:val="32"/>
              </w:rPr>
            </w:pPr>
            <w:r>
              <w:rPr>
                <w:rFonts w:ascii="Dialog" w:hAnsi="Times New Roman" w:eastAsia="Dialog" w:cs="Dialog"/>
                <w:sz w:val="32"/>
                <w:szCs w:val="32"/>
              </w:rPr>
              <w:t>19</w:t>
            </w:r>
            <w:r>
              <w:rPr>
                <w:rFonts w:hint="eastAsia" w:ascii="Dialog" w:hAnsi="Times New Roman" w:eastAsia="Dialog" w:cs="Dialog"/>
                <w:sz w:val="32"/>
                <w:szCs w:val="32"/>
              </w:rPr>
              <w:t>、财政专户管理资金预算支出表</w:t>
            </w:r>
          </w:p>
        </w:tc>
      </w:tr>
      <w:tr>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Dialog" w:hAnsi="Times New Roman" w:eastAsia="Dialog" w:cs="Dialog"/>
                <w:sz w:val="32"/>
                <w:szCs w:val="32"/>
              </w:rPr>
            </w:pPr>
            <w:r>
              <w:rPr>
                <w:rFonts w:ascii="Dialog" w:hAnsi="Times New Roman" w:eastAsia="Dialog" w:cs="Dialog"/>
                <w:sz w:val="32"/>
                <w:szCs w:val="32"/>
              </w:rPr>
              <w:t>20</w:t>
            </w:r>
            <w:r>
              <w:rPr>
                <w:rFonts w:hint="eastAsia" w:ascii="Dialog" w:hAnsi="Times New Roman" w:eastAsia="Dialog" w:cs="Dialog"/>
                <w:sz w:val="32"/>
                <w:szCs w:val="32"/>
              </w:rPr>
              <w:t>、专项资金预算汇总表</w:t>
            </w:r>
          </w:p>
        </w:tc>
      </w:tr>
      <w:tr>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Dialog" w:hAnsi="Times New Roman" w:eastAsia="Dialog" w:cs="Dialog"/>
                <w:sz w:val="32"/>
                <w:szCs w:val="32"/>
              </w:rPr>
            </w:pPr>
            <w:r>
              <w:rPr>
                <w:rFonts w:ascii="Dialog" w:hAnsi="Times New Roman" w:eastAsia="Dialog" w:cs="Dialog"/>
                <w:sz w:val="32"/>
                <w:szCs w:val="32"/>
              </w:rPr>
              <w:t>21</w:t>
            </w:r>
            <w:r>
              <w:rPr>
                <w:rFonts w:hint="eastAsia" w:ascii="Dialog" w:hAnsi="Times New Roman" w:eastAsia="Dialog" w:cs="Dialog"/>
                <w:sz w:val="32"/>
                <w:szCs w:val="32"/>
              </w:rPr>
              <w:t>、项目支出绩效目标表</w:t>
            </w:r>
          </w:p>
        </w:tc>
      </w:tr>
      <w:tr>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Dialog" w:hAnsi="Times New Roman" w:eastAsia="Dialog" w:cs="Dialog"/>
                <w:sz w:val="32"/>
                <w:szCs w:val="32"/>
              </w:rPr>
            </w:pPr>
            <w:r>
              <w:rPr>
                <w:rFonts w:ascii="Dialog" w:hAnsi="Times New Roman" w:eastAsia="Dialog" w:cs="Dialog"/>
                <w:sz w:val="32"/>
                <w:szCs w:val="32"/>
              </w:rPr>
              <w:t>22</w:t>
            </w:r>
            <w:r>
              <w:rPr>
                <w:rFonts w:hint="eastAsia" w:ascii="Dialog" w:hAnsi="Times New Roman" w:eastAsia="Dialog" w:cs="Dialog"/>
                <w:sz w:val="32"/>
                <w:szCs w:val="32"/>
              </w:rPr>
              <w:t>、单位整体支出绩效目标表</w:t>
            </w:r>
          </w:p>
        </w:tc>
      </w:tr>
      <w:tr>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Dialog" w:hAnsi="Times New Roman" w:eastAsia="Dialog" w:cs="Dialog"/>
                <w:sz w:val="32"/>
                <w:szCs w:val="32"/>
              </w:rPr>
            </w:pPr>
            <w:r>
              <w:rPr>
                <w:rFonts w:ascii="Dialog" w:hAnsi="Times New Roman" w:eastAsia="Dialog" w:cs="Dialog"/>
                <w:sz w:val="32"/>
                <w:szCs w:val="32"/>
              </w:rPr>
              <w:t>23</w:t>
            </w:r>
            <w:r>
              <w:rPr>
                <w:rFonts w:hint="eastAsia" w:ascii="Dialog" w:hAnsi="Times New Roman" w:eastAsia="Dialog" w:cs="Dialog"/>
                <w:sz w:val="32"/>
                <w:szCs w:val="32"/>
              </w:rPr>
              <w:t>、一般公共预算基本支出表</w:t>
            </w:r>
          </w:p>
        </w:tc>
      </w:tr>
      <w:tr>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Dialog" w:hAnsi="Times New Roman" w:eastAsia="Dialog" w:cs="Dialog"/>
                <w:color w:val="FF0000"/>
                <w:sz w:val="32"/>
                <w:szCs w:val="32"/>
              </w:rPr>
            </w:pPr>
            <w:r>
              <w:rPr>
                <w:rFonts w:hint="eastAsia" w:ascii="Dialog" w:hAnsi="Times New Roman" w:eastAsia="Dialog" w:cs="Dialog"/>
                <w:color w:val="FF0000"/>
                <w:sz w:val="32"/>
                <w:szCs w:val="32"/>
              </w:rPr>
              <w:t>注：以上单位预算公开报表中，空表表示本单位无相关收支情况。</w:t>
            </w:r>
          </w:p>
        </w:tc>
      </w:tr>
      <w:tr>
        <w:tblPrEx>
          <w:tblCellMar>
            <w:top w:w="0" w:type="dxa"/>
            <w:left w:w="0" w:type="dxa"/>
            <w:bottom w:w="0" w:type="dxa"/>
            <w:right w:w="0" w:type="dxa"/>
          </w:tblCellMar>
        </w:tblPrEx>
        <w:trPr>
          <w:trHeight w:val="182" w:hRule="atLeast"/>
        </w:trPr>
        <w:tc>
          <w:tcPr>
            <w:tcW w:w="15219" w:type="dxa"/>
            <w:tcBorders>
              <w:top w:val="single" w:color="FFFFFF" w:sz="8" w:space="0"/>
              <w:left w:val="single" w:color="FFFFFF" w:sz="8" w:space="0"/>
              <w:bottom w:val="single" w:color="FFFFFF" w:sz="8" w:space="0"/>
              <w:right w:val="single" w:color="FFFFFF" w:sz="8" w:space="0"/>
            </w:tcBorders>
            <w:shd w:val="clear" w:color="auto" w:fill="FFFFFF"/>
            <w:vAlign w:val="center"/>
          </w:tcPr>
          <w:p>
            <w:pPr>
              <w:rPr>
                <w:rFonts w:ascii="Times New Roman" w:hAnsi="Times New Roman" w:cs="Times New Roman"/>
                <w:color w:val="auto"/>
              </w:rPr>
            </w:pPr>
          </w:p>
        </w:tc>
      </w:tr>
      <w:tr>
        <w:tblPrEx>
          <w:tblCellMar>
            <w:top w:w="0" w:type="dxa"/>
            <w:left w:w="0" w:type="dxa"/>
            <w:bottom w:w="0" w:type="dxa"/>
            <w:right w:w="0" w:type="dxa"/>
          </w:tblCellMar>
        </w:tblPrEx>
        <w:trPr>
          <w:trHeight w:val="182" w:hRule="atLeast"/>
        </w:trPr>
        <w:tc>
          <w:tcPr>
            <w:tcW w:w="15219" w:type="dxa"/>
            <w:tcBorders>
              <w:top w:val="single" w:color="FFFFFF" w:sz="8" w:space="0"/>
              <w:left w:val="single" w:color="FFFFFF" w:sz="8" w:space="0"/>
              <w:bottom w:val="single" w:color="FFFFFF" w:sz="8" w:space="0"/>
              <w:right w:val="single" w:color="FFFFFF" w:sz="8" w:space="0"/>
            </w:tcBorders>
            <w:shd w:val="clear" w:color="auto" w:fill="FFFFFF"/>
            <w:vAlign w:val="center"/>
          </w:tcPr>
          <w:p>
            <w:pPr>
              <w:rPr>
                <w:rFonts w:ascii="Times New Roman" w:hAnsi="Times New Roman" w:cs="Times New Roman"/>
                <w:color w:val="auto"/>
              </w:rPr>
            </w:pPr>
          </w:p>
        </w:tc>
      </w:tr>
      <w:tr>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jc w:val="center"/>
              <w:rPr>
                <w:rFonts w:ascii="Dialog" w:hAnsi="Times New Roman" w:eastAsia="Dialog" w:cs="Dialog"/>
                <w:sz w:val="32"/>
                <w:szCs w:val="32"/>
              </w:rPr>
            </w:pPr>
            <w:r>
              <w:rPr>
                <w:rFonts w:hint="eastAsia" w:ascii="Dialog" w:hAnsi="Times New Roman" w:eastAsia="Dialog" w:cs="Dialog"/>
                <w:sz w:val="32"/>
                <w:szCs w:val="32"/>
              </w:rPr>
              <w:t>第一部分</w:t>
            </w:r>
            <w:r>
              <w:rPr>
                <w:rFonts w:ascii="Dialog" w:hAnsi="Times New Roman" w:eastAsia="Dialog" w:cs="Dialog"/>
                <w:sz w:val="32"/>
                <w:szCs w:val="32"/>
              </w:rPr>
              <w:t xml:space="preserve">  2025</w:t>
            </w:r>
            <w:r>
              <w:rPr>
                <w:rFonts w:hint="eastAsia" w:ascii="Dialog" w:hAnsi="Times New Roman" w:eastAsia="Dialog" w:cs="Dialog"/>
                <w:sz w:val="32"/>
                <w:szCs w:val="32"/>
              </w:rPr>
              <w:t>年单位预算说明</w:t>
            </w:r>
          </w:p>
        </w:tc>
      </w:tr>
      <w:tr>
        <w:tblPrEx>
          <w:tblCellMar>
            <w:top w:w="0" w:type="dxa"/>
            <w:left w:w="0" w:type="dxa"/>
            <w:bottom w:w="0" w:type="dxa"/>
            <w:right w:w="0" w:type="dxa"/>
          </w:tblCellMar>
        </w:tblPrEx>
        <w:trPr>
          <w:trHeight w:val="182" w:hRule="atLeast"/>
        </w:trPr>
        <w:tc>
          <w:tcPr>
            <w:tcW w:w="15219" w:type="dxa"/>
            <w:tcBorders>
              <w:top w:val="single" w:color="FFFFFF" w:sz="8" w:space="0"/>
              <w:left w:val="single" w:color="FFFFFF" w:sz="8" w:space="0"/>
              <w:bottom w:val="single" w:color="FFFFFF" w:sz="8" w:space="0"/>
              <w:right w:val="single" w:color="FFFFFF" w:sz="8" w:space="0"/>
            </w:tcBorders>
            <w:shd w:val="clear" w:color="auto" w:fill="FFFFFF"/>
            <w:vAlign w:val="center"/>
          </w:tcPr>
          <w:p>
            <w:pPr>
              <w:rPr>
                <w:rFonts w:ascii="Times New Roman" w:hAnsi="Times New Roman" w:cs="Times New Roman"/>
                <w:color w:val="auto"/>
              </w:rPr>
            </w:pPr>
          </w:p>
        </w:tc>
      </w:tr>
      <w:tr>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Dialog" w:hAnsi="Times New Roman" w:eastAsia="Dialog" w:cs="Dialog"/>
                <w:sz w:val="32"/>
                <w:szCs w:val="32"/>
              </w:rPr>
            </w:pPr>
            <w:r>
              <w:rPr>
                <w:rFonts w:ascii="Dialog" w:hAnsi="Times New Roman" w:eastAsia="Dialog" w:cs="Dialog"/>
                <w:sz w:val="32"/>
                <w:szCs w:val="32"/>
              </w:rPr>
              <w:t xml:space="preserve">  </w:t>
            </w:r>
            <w:r>
              <w:rPr>
                <w:rFonts w:hint="eastAsia" w:ascii="Dialog" w:hAnsi="Times New Roman" w:eastAsia="Dialog" w:cs="Dialog"/>
                <w:sz w:val="32"/>
                <w:szCs w:val="32"/>
              </w:rPr>
              <w:t>一、单位基本概况</w:t>
            </w:r>
          </w:p>
        </w:tc>
      </w:tr>
      <w:tr>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宋体" w:hAnsi="Times New Roman" w:eastAsia="宋体" w:cs="宋体"/>
                <w:sz w:val="32"/>
                <w:szCs w:val="32"/>
              </w:rPr>
            </w:pPr>
            <w:r>
              <w:rPr>
                <w:rFonts w:ascii="宋体" w:hAnsi="Times New Roman" w:eastAsia="宋体" w:cs="宋体"/>
                <w:sz w:val="32"/>
                <w:szCs w:val="32"/>
              </w:rPr>
              <w:t xml:space="preserve">  </w:t>
            </w:r>
            <w:r>
              <w:rPr>
                <w:rFonts w:hint="eastAsia" w:ascii="宋体" w:hAnsi="Times New Roman" w:eastAsia="宋体" w:cs="宋体"/>
                <w:sz w:val="32"/>
                <w:szCs w:val="32"/>
              </w:rPr>
              <w:t>（一）职能职责</w:t>
            </w:r>
          </w:p>
        </w:tc>
      </w:tr>
      <w:tr>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firstLine="640" w:firstLineChars="200"/>
              <w:rPr>
                <w:rFonts w:ascii="宋体" w:hAnsi="Times New Roman" w:eastAsia="宋体" w:cs="宋体"/>
                <w:sz w:val="32"/>
                <w:szCs w:val="32"/>
              </w:rPr>
            </w:pPr>
            <w:r>
              <w:rPr>
                <w:rFonts w:hint="eastAsia" w:ascii="Dialog" w:hAnsi="Times New Roman" w:eastAsia="Dialog" w:cs="Dialog"/>
                <w:sz w:val="32"/>
                <w:szCs w:val="32"/>
              </w:rPr>
              <w:t>湖南东洞庭湖国家级自然保护区是湖南省最早成立的湿地类型保护区，主要保护对象为区域内以鸟类、麋鹿等为代表的野生动物资源及其栖息地和以东洞庭湖为主体的湿地生态系统。东洞庭湖是洞庭湖的本底湖，其独特和多样化的湿地生态环境，孕育和承载了极其丰富的湿地自然资源。</w:t>
            </w:r>
          </w:p>
        </w:tc>
      </w:tr>
      <w:tr>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leftChars="0"/>
              <w:rPr>
                <w:rFonts w:ascii="宋体" w:hAnsi="Times New Roman" w:eastAsia="宋体" w:cs="宋体"/>
                <w:sz w:val="32"/>
                <w:szCs w:val="32"/>
              </w:rPr>
            </w:pPr>
            <w:r>
              <w:rPr>
                <w:rFonts w:ascii="宋体" w:hAnsi="Times New Roman" w:cs="宋体"/>
                <w:sz w:val="32"/>
                <w:szCs w:val="32"/>
              </w:rPr>
              <w:t xml:space="preserve">  </w:t>
            </w:r>
            <w:r>
              <w:rPr>
                <w:rFonts w:hint="eastAsia" w:ascii="宋体" w:hAnsi="Times New Roman" w:cs="宋体"/>
                <w:sz w:val="32"/>
                <w:szCs w:val="32"/>
              </w:rPr>
              <w:t>（二）机构设置</w:t>
            </w:r>
          </w:p>
        </w:tc>
      </w:tr>
      <w:tr>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leftChars="0"/>
              <w:rPr>
                <w:rFonts w:ascii="宋体" w:hAnsi="Times New Roman" w:eastAsia="宋体" w:cs="宋体"/>
                <w:sz w:val="32"/>
                <w:szCs w:val="32"/>
              </w:rPr>
            </w:pPr>
            <w:r>
              <w:rPr>
                <w:rFonts w:ascii="宋体" w:hAnsi="Times New Roman" w:cs="宋体"/>
                <w:sz w:val="32"/>
                <w:szCs w:val="32"/>
              </w:rPr>
              <w:t xml:space="preserve">  </w:t>
            </w:r>
            <w:r>
              <w:rPr>
                <w:rFonts w:hint="eastAsia" w:ascii="Dialog" w:hAnsi="Times New Roman" w:eastAsia="Dialog" w:cs="Dialog"/>
                <w:sz w:val="32"/>
                <w:szCs w:val="32"/>
              </w:rPr>
              <w:t>湖南东洞庭湖国家级自然保护区管理局，为副处级公益一类事业单位，下设5个副科级分支机构：采桑湖管理站、丁字堤管理站、红旗湖管理站、春风管理站、君山后湖管理站。202</w:t>
            </w:r>
            <w:r>
              <w:rPr>
                <w:rFonts w:hint="eastAsia" w:ascii="Dialog" w:hAnsi="Times New Roman" w:eastAsia="Dialog" w:cs="Dialog"/>
                <w:sz w:val="32"/>
                <w:szCs w:val="32"/>
                <w:lang w:val="en-US" w:eastAsia="zh-CN"/>
              </w:rPr>
              <w:t>5</w:t>
            </w:r>
            <w:r>
              <w:rPr>
                <w:rFonts w:hint="eastAsia" w:ascii="Dialog" w:hAnsi="Times New Roman" w:eastAsia="Dialog" w:cs="Dialog"/>
                <w:sz w:val="32"/>
                <w:szCs w:val="32"/>
              </w:rPr>
              <w:t>年初在职人员4</w:t>
            </w:r>
            <w:r>
              <w:rPr>
                <w:rFonts w:hint="eastAsia" w:ascii="Dialog" w:hAnsi="Times New Roman" w:eastAsia="Dialog" w:cs="Dialog"/>
                <w:sz w:val="32"/>
                <w:szCs w:val="32"/>
                <w:lang w:val="en-US" w:eastAsia="zh-CN"/>
              </w:rPr>
              <w:t>7</w:t>
            </w:r>
            <w:r>
              <w:rPr>
                <w:rFonts w:hint="eastAsia" w:ascii="Dialog" w:hAnsi="Times New Roman" w:eastAsia="Dialog" w:cs="Dialog"/>
                <w:sz w:val="32"/>
                <w:szCs w:val="32"/>
              </w:rPr>
              <w:t>人，退休人员1</w:t>
            </w:r>
            <w:r>
              <w:rPr>
                <w:rFonts w:hint="eastAsia" w:ascii="Dialog" w:hAnsi="Times New Roman" w:eastAsia="Dialog" w:cs="Dialog"/>
                <w:sz w:val="32"/>
                <w:szCs w:val="32"/>
                <w:lang w:val="en-US" w:eastAsia="zh-CN"/>
              </w:rPr>
              <w:t>6人。</w:t>
            </w:r>
          </w:p>
        </w:tc>
      </w:tr>
      <w:tr>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Dialog" w:hAnsi="Times New Roman" w:eastAsia="Dialog" w:cs="Dialog"/>
                <w:sz w:val="32"/>
                <w:szCs w:val="32"/>
              </w:rPr>
            </w:pPr>
            <w:r>
              <w:rPr>
                <w:rFonts w:ascii="Dialog" w:hAnsi="Times New Roman" w:eastAsia="Dialog" w:cs="Dialog"/>
                <w:sz w:val="32"/>
                <w:szCs w:val="32"/>
              </w:rPr>
              <w:t xml:space="preserve">  </w:t>
            </w:r>
            <w:r>
              <w:rPr>
                <w:rFonts w:hint="eastAsia" w:ascii="Dialog" w:hAnsi="Times New Roman" w:eastAsia="Dialog" w:cs="Dialog"/>
                <w:sz w:val="32"/>
                <w:szCs w:val="32"/>
              </w:rPr>
              <w:t>二、单位预算单位构成</w:t>
            </w:r>
          </w:p>
        </w:tc>
      </w:tr>
      <w:tr>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宋体" w:hAnsi="Times New Roman" w:eastAsia="宋体" w:cs="宋体"/>
                <w:sz w:val="32"/>
                <w:szCs w:val="32"/>
              </w:rPr>
            </w:pPr>
            <w:r>
              <w:rPr>
                <w:rFonts w:ascii="宋体" w:hAnsi="Times New Roman" w:eastAsia="宋体" w:cs="宋体"/>
                <w:sz w:val="32"/>
                <w:szCs w:val="32"/>
              </w:rPr>
              <w:t xml:space="preserve">  </w:t>
            </w:r>
            <w:r>
              <w:rPr>
                <w:rFonts w:hint="eastAsia" w:ascii="宋体" w:hAnsi="Times New Roman" w:eastAsia="宋体" w:cs="宋体"/>
                <w:sz w:val="32"/>
                <w:szCs w:val="32"/>
              </w:rPr>
              <w:t>本单位预算仅含本级预算。</w:t>
            </w:r>
          </w:p>
        </w:tc>
      </w:tr>
      <w:tr>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Dialog" w:hAnsi="Times New Roman" w:eastAsia="Dialog" w:cs="Dialog"/>
                <w:sz w:val="32"/>
                <w:szCs w:val="32"/>
              </w:rPr>
            </w:pPr>
            <w:r>
              <w:rPr>
                <w:rFonts w:ascii="Dialog" w:hAnsi="Times New Roman" w:eastAsia="Dialog" w:cs="Dialog"/>
                <w:sz w:val="32"/>
                <w:szCs w:val="32"/>
              </w:rPr>
              <w:t xml:space="preserve">  </w:t>
            </w:r>
            <w:r>
              <w:rPr>
                <w:rFonts w:hint="eastAsia" w:ascii="Dialog" w:hAnsi="Times New Roman" w:eastAsia="Dialog" w:cs="Dialog"/>
                <w:sz w:val="32"/>
                <w:szCs w:val="32"/>
              </w:rPr>
              <w:t>三、单位收支总体情况</w:t>
            </w:r>
          </w:p>
        </w:tc>
      </w:tr>
      <w:tr>
        <w:tblPrEx>
          <w:tblCellMar>
            <w:top w:w="0" w:type="dxa"/>
            <w:left w:w="0" w:type="dxa"/>
            <w:bottom w:w="0" w:type="dxa"/>
            <w:right w:w="0" w:type="dxa"/>
          </w:tblCellMar>
        </w:tblPrEx>
        <w:trPr>
          <w:trHeight w:val="728"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宋体" w:hAnsi="Times New Roman" w:eastAsia="宋体" w:cs="宋体"/>
                <w:sz w:val="32"/>
                <w:szCs w:val="32"/>
              </w:rPr>
            </w:pPr>
            <w:r>
              <w:rPr>
                <w:rFonts w:ascii="宋体" w:hAnsi="Times New Roman" w:eastAsia="宋体" w:cs="宋体"/>
                <w:sz w:val="32"/>
                <w:szCs w:val="32"/>
              </w:rPr>
              <w:t xml:space="preserve">  </w:t>
            </w:r>
            <w:r>
              <w:rPr>
                <w:rFonts w:hint="eastAsia" w:ascii="宋体" w:hAnsi="Times New Roman" w:eastAsia="宋体" w:cs="宋体"/>
                <w:sz w:val="32"/>
                <w:szCs w:val="32"/>
              </w:rPr>
              <w:t>本单位</w:t>
            </w:r>
            <w:r>
              <w:rPr>
                <w:rFonts w:ascii="宋体" w:hAnsi="Times New Roman" w:eastAsia="宋体" w:cs="宋体"/>
                <w:sz w:val="32"/>
                <w:szCs w:val="32"/>
              </w:rPr>
              <w:t>2025</w:t>
            </w:r>
            <w:r>
              <w:rPr>
                <w:rFonts w:hint="eastAsia" w:ascii="宋体" w:hAnsi="Times New Roman" w:eastAsia="宋体" w:cs="宋体"/>
                <w:sz w:val="32"/>
                <w:szCs w:val="32"/>
              </w:rPr>
              <w:t>年没有政府性基金预算拨款、国有资本经营预算收入和纳入专户管理的非税收入拨款收入，也没有使用政府性基金预算拨款、国有资本经营预算收入和纳入专户管理的非税收入拨款安排的支出，所以公开的附件</w:t>
            </w:r>
            <w:r>
              <w:rPr>
                <w:rFonts w:ascii="宋体" w:hAnsi="Times New Roman" w:eastAsia="宋体" w:cs="宋体"/>
                <w:sz w:val="32"/>
                <w:szCs w:val="32"/>
              </w:rPr>
              <w:t>15</w:t>
            </w:r>
            <w:r>
              <w:rPr>
                <w:rFonts w:hint="eastAsia" w:ascii="宋体" w:hAnsi="Times New Roman" w:eastAsia="宋体" w:cs="宋体"/>
                <w:sz w:val="32"/>
                <w:szCs w:val="32"/>
              </w:rPr>
              <w:t>、</w:t>
            </w:r>
            <w:r>
              <w:rPr>
                <w:rFonts w:ascii="宋体" w:hAnsi="Times New Roman" w:eastAsia="宋体" w:cs="宋体"/>
                <w:sz w:val="32"/>
                <w:szCs w:val="32"/>
              </w:rPr>
              <w:t>16</w:t>
            </w:r>
            <w:r>
              <w:rPr>
                <w:rFonts w:hint="eastAsia" w:ascii="宋体" w:hAnsi="Times New Roman" w:eastAsia="宋体" w:cs="宋体"/>
                <w:sz w:val="32"/>
                <w:szCs w:val="32"/>
              </w:rPr>
              <w:t>、</w:t>
            </w:r>
            <w:r>
              <w:rPr>
                <w:rFonts w:ascii="宋体" w:hAnsi="Times New Roman" w:eastAsia="宋体" w:cs="宋体"/>
                <w:sz w:val="32"/>
                <w:szCs w:val="32"/>
              </w:rPr>
              <w:t>17</w:t>
            </w:r>
            <w:r>
              <w:rPr>
                <w:rFonts w:hint="eastAsia" w:ascii="宋体" w:hAnsi="Times New Roman" w:eastAsia="宋体" w:cs="宋体"/>
                <w:sz w:val="32"/>
                <w:szCs w:val="32"/>
              </w:rPr>
              <w:t>、</w:t>
            </w:r>
            <w:r>
              <w:rPr>
                <w:rFonts w:ascii="宋体" w:hAnsi="Times New Roman" w:eastAsia="宋体" w:cs="宋体"/>
                <w:sz w:val="32"/>
                <w:szCs w:val="32"/>
              </w:rPr>
              <w:t>18</w:t>
            </w:r>
            <w:r>
              <w:rPr>
                <w:rFonts w:hint="eastAsia" w:ascii="宋体" w:hAnsi="Times New Roman" w:eastAsia="宋体" w:cs="宋体"/>
                <w:sz w:val="32"/>
                <w:szCs w:val="32"/>
              </w:rPr>
              <w:t>、</w:t>
            </w:r>
            <w:r>
              <w:rPr>
                <w:rFonts w:ascii="宋体" w:hAnsi="Times New Roman" w:eastAsia="宋体" w:cs="宋体"/>
                <w:sz w:val="32"/>
                <w:szCs w:val="32"/>
              </w:rPr>
              <w:t>19</w:t>
            </w:r>
            <w:r>
              <w:rPr>
                <w:rFonts w:hint="eastAsia" w:ascii="宋体" w:hAnsi="Times New Roman" w:eastAsia="宋体" w:cs="宋体"/>
                <w:sz w:val="32"/>
                <w:szCs w:val="32"/>
              </w:rPr>
              <w:t>表均为空。</w:t>
            </w:r>
          </w:p>
        </w:tc>
      </w:tr>
      <w:tr>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Dialog" w:hAnsi="Times New Roman" w:eastAsia="Dialog" w:cs="Dialog"/>
                <w:sz w:val="32"/>
                <w:szCs w:val="32"/>
              </w:rPr>
            </w:pPr>
            <w:r>
              <w:rPr>
                <w:rFonts w:ascii="Dialog" w:hAnsi="Times New Roman" w:eastAsia="Dialog" w:cs="Dialog"/>
                <w:sz w:val="32"/>
                <w:szCs w:val="32"/>
              </w:rPr>
              <w:t xml:space="preserve">  </w:t>
            </w:r>
            <w:r>
              <w:rPr>
                <w:rFonts w:hint="eastAsia" w:ascii="Dialog" w:hAnsi="Times New Roman" w:eastAsia="Dialog" w:cs="Dialog"/>
                <w:sz w:val="32"/>
                <w:szCs w:val="32"/>
              </w:rPr>
              <w:t>（一）收入预算</w:t>
            </w:r>
          </w:p>
        </w:tc>
      </w:tr>
      <w:tr>
        <w:tblPrEx>
          <w:tblCellMar>
            <w:top w:w="0" w:type="dxa"/>
            <w:left w:w="0" w:type="dxa"/>
            <w:bottom w:w="0" w:type="dxa"/>
            <w:right w:w="0" w:type="dxa"/>
          </w:tblCellMar>
        </w:tblPrEx>
        <w:trPr>
          <w:trHeight w:val="1469"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hint="eastAsia" w:ascii="宋体" w:hAnsi="Times New Roman" w:eastAsia="宋体" w:cs="宋体"/>
                <w:sz w:val="32"/>
                <w:szCs w:val="32"/>
                <w:lang w:val="en-US" w:eastAsia="zh-CN"/>
              </w:rPr>
            </w:pPr>
            <w:r>
              <w:rPr>
                <w:rFonts w:hint="eastAsia" w:ascii="宋体" w:hAnsi="Times New Roman" w:eastAsia="宋体" w:cs="宋体"/>
                <w:sz w:val="32"/>
                <w:szCs w:val="32"/>
              </w:rPr>
              <w:t xml:space="preserve">  包括一般公共预算、政府性基金、国有资本经营预算等财政拨款收入，以及经营收入、事业收入等单位资金。2025年度本单位收入预算856.31万元，其中，一般公共预算拨款856.31万元，政府性基金预算资金0.00万元(所以公开的附件17为空)，国有资本经营预算资金0.00万元(所以公开的附件18为空)，财政专户管理资金0.00万元(所以公开的附件19为空)，上级补助收入资金0.00万元，事业单位经营收入资金0.00万元，上年结转结余0.00万元。(数据来源见表2)本单位2025年收入较去年增加</w:t>
            </w:r>
            <w:r>
              <w:rPr>
                <w:rFonts w:hint="eastAsia" w:ascii="宋体" w:hAnsi="Times New Roman" w:eastAsia="宋体" w:cs="宋体"/>
                <w:sz w:val="32"/>
                <w:szCs w:val="32"/>
                <w:lang w:val="en-US" w:eastAsia="zh-CN"/>
              </w:rPr>
              <w:t>82.23</w:t>
            </w:r>
            <w:r>
              <w:rPr>
                <w:rFonts w:hint="eastAsia" w:ascii="宋体" w:hAnsi="Times New Roman" w:eastAsia="宋体" w:cs="宋体"/>
                <w:sz w:val="32"/>
                <w:szCs w:val="32"/>
              </w:rPr>
              <w:t>万元，</w:t>
            </w:r>
            <w:r>
              <w:rPr>
                <w:rFonts w:hint="eastAsia" w:ascii="宋体" w:hAnsi="Times New Roman" w:eastAsia="宋体" w:cs="宋体"/>
                <w:sz w:val="32"/>
                <w:szCs w:val="32"/>
                <w:lang w:eastAsia="zh-CN"/>
              </w:rPr>
              <w:t>上升</w:t>
            </w:r>
            <w:r>
              <w:rPr>
                <w:rFonts w:hint="eastAsia" w:ascii="宋体" w:hAnsi="Times New Roman" w:eastAsia="宋体" w:cs="宋体"/>
                <w:sz w:val="32"/>
                <w:szCs w:val="32"/>
                <w:lang w:val="en-US" w:eastAsia="zh-CN"/>
              </w:rPr>
              <w:t>10.62%，</w:t>
            </w:r>
            <w:r>
              <w:rPr>
                <w:rFonts w:hint="eastAsia" w:ascii="宋体" w:hAnsi="Times New Roman" w:eastAsia="宋体" w:cs="宋体"/>
                <w:sz w:val="32"/>
                <w:szCs w:val="32"/>
              </w:rPr>
              <w:t>主要是因为在职人员较去年预算增加</w:t>
            </w:r>
            <w:r>
              <w:rPr>
                <w:rFonts w:hint="eastAsia" w:ascii="宋体" w:hAnsi="Times New Roman" w:eastAsia="宋体" w:cs="宋体"/>
                <w:sz w:val="32"/>
                <w:szCs w:val="32"/>
                <w:lang w:val="en-US" w:eastAsia="zh-CN"/>
              </w:rPr>
              <w:t>3</w:t>
            </w:r>
            <w:r>
              <w:rPr>
                <w:rFonts w:hint="eastAsia" w:ascii="宋体" w:hAnsi="Times New Roman" w:eastAsia="宋体" w:cs="宋体"/>
                <w:sz w:val="32"/>
                <w:szCs w:val="32"/>
              </w:rPr>
              <w:t>人</w:t>
            </w:r>
            <w:r>
              <w:rPr>
                <w:rFonts w:hint="eastAsia" w:ascii="宋体" w:hAnsi="Times New Roman" w:eastAsia="宋体" w:cs="宋体"/>
                <w:sz w:val="32"/>
                <w:szCs w:val="32"/>
                <w:lang w:val="en-US" w:eastAsia="zh-CN"/>
              </w:rPr>
              <w:t>,退休人员较去年增加1人。</w:t>
            </w:r>
          </w:p>
        </w:tc>
      </w:tr>
      <w:tr>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hint="eastAsia" w:ascii="宋体" w:hAnsi="Times New Roman" w:eastAsia="宋体" w:cs="宋体"/>
                <w:sz w:val="32"/>
                <w:szCs w:val="32"/>
              </w:rPr>
            </w:pPr>
            <w:r>
              <w:rPr>
                <w:rFonts w:hint="eastAsia" w:ascii="宋体" w:hAnsi="Times New Roman" w:eastAsia="宋体" w:cs="宋体"/>
                <w:sz w:val="32"/>
                <w:szCs w:val="32"/>
              </w:rPr>
              <w:t xml:space="preserve">  （二）支出预算</w:t>
            </w:r>
          </w:p>
        </w:tc>
      </w:tr>
      <w:tr>
        <w:tblPrEx>
          <w:tblCellMar>
            <w:top w:w="0" w:type="dxa"/>
            <w:left w:w="0" w:type="dxa"/>
            <w:bottom w:w="0" w:type="dxa"/>
            <w:right w:w="0" w:type="dxa"/>
          </w:tblCellMar>
        </w:tblPrEx>
        <w:trPr>
          <w:trHeight w:val="728"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hint="eastAsia" w:ascii="宋体" w:hAnsi="Times New Roman" w:eastAsia="宋体" w:cs="宋体"/>
                <w:sz w:val="32"/>
                <w:szCs w:val="32"/>
              </w:rPr>
            </w:pPr>
            <w:r>
              <w:rPr>
                <w:rFonts w:hint="eastAsia" w:ascii="宋体" w:hAnsi="Times New Roman" w:eastAsia="宋体" w:cs="宋体"/>
                <w:sz w:val="32"/>
                <w:szCs w:val="32"/>
              </w:rPr>
              <w:t xml:space="preserve">  2025年本单位支出预算856.31万元，其中，208社会保障和就业支出80.05万元，210卫生健康支出46.98万元，213农林水支出673.53万元，221住房保障支出55.75万元，支出较去年增加</w:t>
            </w:r>
            <w:r>
              <w:rPr>
                <w:rFonts w:hint="eastAsia" w:ascii="宋体" w:hAnsi="Times New Roman" w:eastAsia="宋体" w:cs="宋体"/>
                <w:sz w:val="32"/>
                <w:szCs w:val="32"/>
                <w:lang w:val="en-US" w:eastAsia="zh-CN"/>
              </w:rPr>
              <w:t>82.23</w:t>
            </w:r>
            <w:r>
              <w:rPr>
                <w:rFonts w:hint="eastAsia" w:ascii="宋体" w:hAnsi="Times New Roman" w:eastAsia="宋体" w:cs="宋体"/>
                <w:sz w:val="32"/>
                <w:szCs w:val="32"/>
              </w:rPr>
              <w:t>万元，</w:t>
            </w:r>
            <w:r>
              <w:rPr>
                <w:rFonts w:hint="eastAsia" w:ascii="宋体" w:hAnsi="Times New Roman" w:eastAsia="宋体" w:cs="宋体"/>
                <w:sz w:val="32"/>
                <w:szCs w:val="32"/>
                <w:lang w:eastAsia="zh-CN"/>
              </w:rPr>
              <w:t>上升</w:t>
            </w:r>
            <w:r>
              <w:rPr>
                <w:rFonts w:hint="eastAsia" w:ascii="宋体" w:hAnsi="Times New Roman" w:eastAsia="宋体" w:cs="宋体"/>
                <w:sz w:val="32"/>
                <w:szCs w:val="32"/>
                <w:lang w:val="en-US" w:eastAsia="zh-CN"/>
              </w:rPr>
              <w:t>10.62%，</w:t>
            </w:r>
            <w:r>
              <w:rPr>
                <w:rFonts w:hint="eastAsia" w:ascii="宋体" w:hAnsi="Times New Roman" w:eastAsia="宋体" w:cs="宋体"/>
                <w:sz w:val="32"/>
                <w:szCs w:val="32"/>
              </w:rPr>
              <w:t>主要是因为在职人员较去年预算增加</w:t>
            </w:r>
            <w:r>
              <w:rPr>
                <w:rFonts w:hint="eastAsia" w:ascii="宋体" w:hAnsi="Times New Roman" w:eastAsia="宋体" w:cs="宋体"/>
                <w:sz w:val="32"/>
                <w:szCs w:val="32"/>
                <w:lang w:val="en-US" w:eastAsia="zh-CN"/>
              </w:rPr>
              <w:t>3</w:t>
            </w:r>
            <w:r>
              <w:rPr>
                <w:rFonts w:hint="eastAsia" w:ascii="宋体" w:hAnsi="Times New Roman" w:eastAsia="宋体" w:cs="宋体"/>
                <w:sz w:val="32"/>
                <w:szCs w:val="32"/>
              </w:rPr>
              <w:t>人</w:t>
            </w:r>
            <w:r>
              <w:rPr>
                <w:rFonts w:hint="eastAsia" w:ascii="宋体" w:hAnsi="Times New Roman" w:eastAsia="宋体" w:cs="宋体"/>
                <w:sz w:val="32"/>
                <w:szCs w:val="32"/>
                <w:lang w:val="en-US" w:eastAsia="zh-CN"/>
              </w:rPr>
              <w:t>,退休人员较去年增加1人。</w:t>
            </w:r>
          </w:p>
        </w:tc>
      </w:tr>
      <w:tr>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hint="eastAsia" w:ascii="宋体" w:hAnsi="Times New Roman" w:eastAsia="宋体" w:cs="宋体"/>
                <w:sz w:val="32"/>
                <w:szCs w:val="32"/>
              </w:rPr>
            </w:pPr>
            <w:r>
              <w:rPr>
                <w:rFonts w:hint="eastAsia" w:ascii="宋体" w:hAnsi="Times New Roman" w:eastAsia="宋体" w:cs="宋体"/>
                <w:sz w:val="32"/>
                <w:szCs w:val="32"/>
              </w:rPr>
              <w:t xml:space="preserve">  四、一般公共预算拨款支出预算</w:t>
            </w:r>
          </w:p>
        </w:tc>
      </w:tr>
      <w:tr>
        <w:tblPrEx>
          <w:tblCellMar>
            <w:top w:w="0" w:type="dxa"/>
            <w:left w:w="0" w:type="dxa"/>
            <w:bottom w:w="0" w:type="dxa"/>
            <w:right w:w="0" w:type="dxa"/>
          </w:tblCellMar>
        </w:tblPrEx>
        <w:trPr>
          <w:trHeight w:val="728"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宋体" w:hAnsi="Times New Roman" w:eastAsia="宋体" w:cs="宋体"/>
                <w:sz w:val="32"/>
                <w:szCs w:val="32"/>
              </w:rPr>
            </w:pPr>
            <w:r>
              <w:rPr>
                <w:rFonts w:ascii="宋体" w:hAnsi="Times New Roman" w:eastAsia="宋体" w:cs="宋体"/>
                <w:sz w:val="32"/>
                <w:szCs w:val="32"/>
              </w:rPr>
              <w:t xml:space="preserve">  2025</w:t>
            </w:r>
            <w:r>
              <w:rPr>
                <w:rFonts w:hint="eastAsia" w:ascii="宋体" w:hAnsi="Times New Roman" w:eastAsia="宋体" w:cs="宋体"/>
                <w:sz w:val="32"/>
                <w:szCs w:val="32"/>
              </w:rPr>
              <w:t>年一般公共预算拨款支出预算</w:t>
            </w:r>
            <w:r>
              <w:rPr>
                <w:rFonts w:ascii="宋体" w:hAnsi="Times New Roman" w:eastAsia="宋体" w:cs="宋体"/>
                <w:sz w:val="32"/>
                <w:szCs w:val="32"/>
              </w:rPr>
              <w:t>856.31</w:t>
            </w:r>
            <w:r>
              <w:rPr>
                <w:rFonts w:hint="eastAsia" w:ascii="宋体" w:hAnsi="Times New Roman" w:eastAsia="宋体" w:cs="宋体"/>
                <w:sz w:val="32"/>
                <w:szCs w:val="32"/>
              </w:rPr>
              <w:t>万元，其中，</w:t>
            </w:r>
            <w:r>
              <w:rPr>
                <w:rFonts w:ascii="宋体" w:hAnsi="Times New Roman" w:eastAsia="宋体" w:cs="宋体"/>
                <w:sz w:val="32"/>
                <w:szCs w:val="32"/>
              </w:rPr>
              <w:t>208</w:t>
            </w:r>
            <w:r>
              <w:rPr>
                <w:rFonts w:hint="eastAsia" w:ascii="宋体" w:hAnsi="Times New Roman" w:eastAsia="宋体" w:cs="宋体"/>
                <w:sz w:val="32"/>
                <w:szCs w:val="32"/>
              </w:rPr>
              <w:t>社会保障和就业支出</w:t>
            </w:r>
            <w:r>
              <w:rPr>
                <w:rFonts w:ascii="宋体" w:hAnsi="Times New Roman" w:eastAsia="宋体" w:cs="宋体"/>
                <w:sz w:val="32"/>
                <w:szCs w:val="32"/>
              </w:rPr>
              <w:t>80.05</w:t>
            </w:r>
            <w:r>
              <w:rPr>
                <w:rFonts w:hint="eastAsia" w:ascii="宋体" w:hAnsi="Times New Roman" w:eastAsia="宋体" w:cs="宋体"/>
                <w:sz w:val="32"/>
                <w:szCs w:val="32"/>
              </w:rPr>
              <w:t>万元，占</w:t>
            </w:r>
            <w:r>
              <w:rPr>
                <w:rFonts w:ascii="宋体" w:hAnsi="Times New Roman" w:eastAsia="宋体" w:cs="宋体"/>
                <w:sz w:val="32"/>
                <w:szCs w:val="32"/>
              </w:rPr>
              <w:t>9.35%</w:t>
            </w:r>
            <w:r>
              <w:rPr>
                <w:rFonts w:hint="eastAsia" w:ascii="宋体" w:hAnsi="Times New Roman" w:eastAsia="宋体" w:cs="宋体"/>
                <w:sz w:val="32"/>
                <w:szCs w:val="32"/>
              </w:rPr>
              <w:t>；</w:t>
            </w:r>
            <w:r>
              <w:rPr>
                <w:rFonts w:ascii="宋体" w:hAnsi="Times New Roman" w:eastAsia="宋体" w:cs="宋体"/>
                <w:sz w:val="32"/>
                <w:szCs w:val="32"/>
              </w:rPr>
              <w:t>210</w:t>
            </w:r>
            <w:r>
              <w:rPr>
                <w:rFonts w:hint="eastAsia" w:ascii="宋体" w:hAnsi="Times New Roman" w:eastAsia="宋体" w:cs="宋体"/>
                <w:sz w:val="32"/>
                <w:szCs w:val="32"/>
              </w:rPr>
              <w:t>卫生健康支出</w:t>
            </w:r>
            <w:r>
              <w:rPr>
                <w:rFonts w:ascii="宋体" w:hAnsi="Times New Roman" w:eastAsia="宋体" w:cs="宋体"/>
                <w:sz w:val="32"/>
                <w:szCs w:val="32"/>
              </w:rPr>
              <w:t>46.98</w:t>
            </w:r>
            <w:r>
              <w:rPr>
                <w:rFonts w:hint="eastAsia" w:ascii="宋体" w:hAnsi="Times New Roman" w:eastAsia="宋体" w:cs="宋体"/>
                <w:sz w:val="32"/>
                <w:szCs w:val="32"/>
              </w:rPr>
              <w:t>万元，占</w:t>
            </w:r>
            <w:r>
              <w:rPr>
                <w:rFonts w:ascii="宋体" w:hAnsi="Times New Roman" w:eastAsia="宋体" w:cs="宋体"/>
                <w:sz w:val="32"/>
                <w:szCs w:val="32"/>
              </w:rPr>
              <w:t>5.49%</w:t>
            </w:r>
            <w:r>
              <w:rPr>
                <w:rFonts w:hint="eastAsia" w:ascii="宋体" w:hAnsi="Times New Roman" w:eastAsia="宋体" w:cs="宋体"/>
                <w:sz w:val="32"/>
                <w:szCs w:val="32"/>
              </w:rPr>
              <w:t>；</w:t>
            </w:r>
            <w:r>
              <w:rPr>
                <w:rFonts w:ascii="宋体" w:hAnsi="Times New Roman" w:eastAsia="宋体" w:cs="宋体"/>
                <w:sz w:val="32"/>
                <w:szCs w:val="32"/>
              </w:rPr>
              <w:t>213</w:t>
            </w:r>
            <w:r>
              <w:rPr>
                <w:rFonts w:hint="eastAsia" w:ascii="宋体" w:hAnsi="Times New Roman" w:eastAsia="宋体" w:cs="宋体"/>
                <w:sz w:val="32"/>
                <w:szCs w:val="32"/>
              </w:rPr>
              <w:t>农林水支出</w:t>
            </w:r>
            <w:r>
              <w:rPr>
                <w:rFonts w:ascii="宋体" w:hAnsi="Times New Roman" w:eastAsia="宋体" w:cs="宋体"/>
                <w:sz w:val="32"/>
                <w:szCs w:val="32"/>
              </w:rPr>
              <w:t>673.53</w:t>
            </w:r>
            <w:r>
              <w:rPr>
                <w:rFonts w:hint="eastAsia" w:ascii="宋体" w:hAnsi="Times New Roman" w:eastAsia="宋体" w:cs="宋体"/>
                <w:sz w:val="32"/>
                <w:szCs w:val="32"/>
              </w:rPr>
              <w:t>万元，占</w:t>
            </w:r>
            <w:r>
              <w:rPr>
                <w:rFonts w:ascii="宋体" w:hAnsi="Times New Roman" w:eastAsia="宋体" w:cs="宋体"/>
                <w:sz w:val="32"/>
                <w:szCs w:val="32"/>
              </w:rPr>
              <w:t>78.65%</w:t>
            </w:r>
            <w:r>
              <w:rPr>
                <w:rFonts w:hint="eastAsia" w:ascii="宋体" w:hAnsi="Times New Roman" w:eastAsia="宋体" w:cs="宋体"/>
                <w:sz w:val="32"/>
                <w:szCs w:val="32"/>
              </w:rPr>
              <w:t>；</w:t>
            </w:r>
            <w:r>
              <w:rPr>
                <w:rFonts w:ascii="宋体" w:hAnsi="Times New Roman" w:eastAsia="宋体" w:cs="宋体"/>
                <w:sz w:val="32"/>
                <w:szCs w:val="32"/>
              </w:rPr>
              <w:t>221</w:t>
            </w:r>
            <w:r>
              <w:rPr>
                <w:rFonts w:hint="eastAsia" w:ascii="宋体" w:hAnsi="Times New Roman" w:eastAsia="宋体" w:cs="宋体"/>
                <w:sz w:val="32"/>
                <w:szCs w:val="32"/>
              </w:rPr>
              <w:t>住房保障支出</w:t>
            </w:r>
            <w:r>
              <w:rPr>
                <w:rFonts w:ascii="宋体" w:hAnsi="Times New Roman" w:eastAsia="宋体" w:cs="宋体"/>
                <w:sz w:val="32"/>
                <w:szCs w:val="32"/>
              </w:rPr>
              <w:t>55.75</w:t>
            </w:r>
            <w:r>
              <w:rPr>
                <w:rFonts w:hint="eastAsia" w:ascii="宋体" w:hAnsi="Times New Roman" w:eastAsia="宋体" w:cs="宋体"/>
                <w:sz w:val="32"/>
                <w:szCs w:val="32"/>
              </w:rPr>
              <w:t>万元，占</w:t>
            </w:r>
            <w:r>
              <w:rPr>
                <w:rFonts w:ascii="宋体" w:hAnsi="Times New Roman" w:eastAsia="宋体" w:cs="宋体"/>
                <w:sz w:val="32"/>
                <w:szCs w:val="32"/>
              </w:rPr>
              <w:t>6.51%</w:t>
            </w:r>
            <w:r>
              <w:rPr>
                <w:rFonts w:hint="eastAsia" w:ascii="宋体" w:hAnsi="Times New Roman" w:eastAsia="宋体" w:cs="宋体"/>
                <w:sz w:val="32"/>
                <w:szCs w:val="32"/>
              </w:rPr>
              <w:t>；具体安排情况如下：</w:t>
            </w:r>
          </w:p>
        </w:tc>
      </w:tr>
      <w:tr>
        <w:tblPrEx>
          <w:tblCellMar>
            <w:top w:w="0" w:type="dxa"/>
            <w:left w:w="0" w:type="dxa"/>
            <w:bottom w:w="0" w:type="dxa"/>
            <w:right w:w="0" w:type="dxa"/>
          </w:tblCellMar>
        </w:tblPrEx>
        <w:trPr>
          <w:trHeight w:val="728"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宋体" w:hAnsi="Times New Roman" w:eastAsia="宋体" w:cs="宋体"/>
                <w:sz w:val="32"/>
                <w:szCs w:val="32"/>
              </w:rPr>
            </w:pPr>
            <w:r>
              <w:rPr>
                <w:rFonts w:ascii="宋体" w:hAnsi="Times New Roman" w:eastAsia="宋体" w:cs="宋体"/>
                <w:sz w:val="32"/>
                <w:szCs w:val="32"/>
              </w:rPr>
              <w:t xml:space="preserve">  </w:t>
            </w:r>
            <w:r>
              <w:rPr>
                <w:rFonts w:hint="eastAsia" w:ascii="宋体" w:hAnsi="Times New Roman" w:eastAsia="宋体" w:cs="宋体"/>
                <w:sz w:val="32"/>
                <w:szCs w:val="32"/>
              </w:rPr>
              <w:t>（一）基本支出：</w:t>
            </w:r>
            <w:r>
              <w:rPr>
                <w:rFonts w:ascii="宋体" w:hAnsi="Times New Roman" w:eastAsia="宋体" w:cs="宋体"/>
                <w:sz w:val="32"/>
                <w:szCs w:val="32"/>
              </w:rPr>
              <w:t>2025</w:t>
            </w:r>
            <w:r>
              <w:rPr>
                <w:rFonts w:hint="eastAsia" w:ascii="宋体" w:hAnsi="Times New Roman" w:eastAsia="宋体" w:cs="宋体"/>
                <w:sz w:val="32"/>
                <w:szCs w:val="32"/>
              </w:rPr>
              <w:t>年基本支出年初预算数为</w:t>
            </w:r>
            <w:r>
              <w:rPr>
                <w:rFonts w:ascii="宋体" w:hAnsi="Times New Roman" w:eastAsia="宋体" w:cs="宋体"/>
                <w:sz w:val="32"/>
                <w:szCs w:val="32"/>
              </w:rPr>
              <w:t>815.93</w:t>
            </w:r>
            <w:r>
              <w:rPr>
                <w:rFonts w:hint="eastAsia" w:ascii="宋体" w:hAnsi="Times New Roman" w:eastAsia="宋体" w:cs="宋体"/>
                <w:sz w:val="32"/>
                <w:szCs w:val="32"/>
              </w:rPr>
              <w:t>万元（数据来源见表</w:t>
            </w:r>
            <w:r>
              <w:rPr>
                <w:rFonts w:ascii="宋体" w:hAnsi="Times New Roman" w:eastAsia="宋体" w:cs="宋体"/>
                <w:sz w:val="32"/>
                <w:szCs w:val="32"/>
              </w:rPr>
              <w:t>23</w:t>
            </w:r>
            <w:r>
              <w:rPr>
                <w:rFonts w:hint="eastAsia" w:ascii="宋体" w:hAnsi="Times New Roman" w:eastAsia="宋体" w:cs="宋体"/>
                <w:sz w:val="32"/>
                <w:szCs w:val="32"/>
              </w:rPr>
              <w:t>），是指为保障单位机构正常运转、完成日常工作任务而发生的各项支出，包括用于基本工资、津贴补贴等人员经费以及办公费、印刷费、水电费、差旅费等日常公用经费。</w:t>
            </w:r>
          </w:p>
        </w:tc>
      </w:tr>
      <w:tr>
        <w:tblPrEx>
          <w:tblCellMar>
            <w:top w:w="0" w:type="dxa"/>
            <w:left w:w="0" w:type="dxa"/>
            <w:bottom w:w="0" w:type="dxa"/>
            <w:right w:w="0" w:type="dxa"/>
          </w:tblCellMar>
        </w:tblPrEx>
        <w:trPr>
          <w:trHeight w:val="728"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宋体" w:hAnsi="Times New Roman" w:eastAsia="宋体" w:cs="宋体"/>
                <w:sz w:val="32"/>
                <w:szCs w:val="32"/>
              </w:rPr>
            </w:pPr>
            <w:r>
              <w:rPr>
                <w:rFonts w:ascii="宋体" w:hAnsi="Times New Roman" w:eastAsia="宋体" w:cs="宋体"/>
                <w:sz w:val="32"/>
                <w:szCs w:val="32"/>
              </w:rPr>
              <w:t xml:space="preserve">  </w:t>
            </w:r>
            <w:r>
              <w:rPr>
                <w:rFonts w:hint="eastAsia" w:ascii="宋体" w:hAnsi="Times New Roman" w:eastAsia="宋体" w:cs="宋体"/>
                <w:sz w:val="32"/>
                <w:szCs w:val="32"/>
              </w:rPr>
              <w:t>（二）项目支出：</w:t>
            </w:r>
            <w:r>
              <w:rPr>
                <w:rFonts w:ascii="宋体" w:hAnsi="Times New Roman" w:eastAsia="宋体" w:cs="宋体"/>
                <w:sz w:val="32"/>
                <w:szCs w:val="32"/>
              </w:rPr>
              <w:t>2025</w:t>
            </w:r>
            <w:r>
              <w:rPr>
                <w:rFonts w:hint="eastAsia" w:ascii="宋体" w:hAnsi="Times New Roman" w:eastAsia="宋体" w:cs="宋体"/>
                <w:sz w:val="32"/>
                <w:szCs w:val="32"/>
              </w:rPr>
              <w:t>年项目支出年初预算数为</w:t>
            </w:r>
            <w:r>
              <w:rPr>
                <w:rFonts w:ascii="宋体" w:hAnsi="Times New Roman" w:eastAsia="宋体" w:cs="宋体"/>
                <w:sz w:val="32"/>
                <w:szCs w:val="32"/>
              </w:rPr>
              <w:t>40.38</w:t>
            </w:r>
            <w:r>
              <w:rPr>
                <w:rFonts w:hint="eastAsia" w:ascii="宋体" w:hAnsi="Times New Roman" w:eastAsia="宋体" w:cs="宋体"/>
                <w:sz w:val="32"/>
                <w:szCs w:val="32"/>
              </w:rPr>
              <w:t>万元（数据来源见表</w:t>
            </w:r>
            <w:r>
              <w:rPr>
                <w:rFonts w:ascii="宋体" w:hAnsi="Times New Roman" w:eastAsia="宋体" w:cs="宋体"/>
                <w:sz w:val="32"/>
                <w:szCs w:val="32"/>
              </w:rPr>
              <w:t>20</w:t>
            </w:r>
            <w:r>
              <w:rPr>
                <w:rFonts w:hint="eastAsia" w:ascii="宋体" w:hAnsi="Times New Roman" w:eastAsia="宋体" w:cs="宋体"/>
                <w:sz w:val="32"/>
                <w:szCs w:val="32"/>
              </w:rPr>
              <w:t>），是指单位为完成特定行政工作任务或事业发展目标而发生的支出，包括有关业务工作经费、运行维护经费、其他事业发展资金等。其中：</w:t>
            </w:r>
            <w:r>
              <w:rPr>
                <w:rFonts w:ascii="宋体" w:hAnsi="Times New Roman" w:eastAsia="宋体" w:cs="宋体"/>
                <w:sz w:val="32"/>
                <w:szCs w:val="32"/>
              </w:rPr>
              <w:t>2025</w:t>
            </w:r>
            <w:r>
              <w:rPr>
                <w:rFonts w:hint="eastAsia" w:ascii="宋体" w:hAnsi="Times New Roman" w:eastAsia="宋体" w:cs="宋体"/>
                <w:sz w:val="32"/>
                <w:szCs w:val="32"/>
              </w:rPr>
              <w:t>年日常工作经费专项支出</w:t>
            </w:r>
            <w:r>
              <w:rPr>
                <w:rFonts w:ascii="宋体" w:hAnsi="Times New Roman" w:eastAsia="宋体" w:cs="宋体"/>
                <w:sz w:val="32"/>
                <w:szCs w:val="32"/>
              </w:rPr>
              <w:t>40.38</w:t>
            </w:r>
            <w:r>
              <w:rPr>
                <w:rFonts w:hint="eastAsia" w:ascii="宋体" w:hAnsi="Times New Roman" w:eastAsia="宋体" w:cs="宋体"/>
                <w:sz w:val="32"/>
                <w:szCs w:val="32"/>
              </w:rPr>
              <w:t>万元，</w:t>
            </w:r>
            <w:r>
              <w:rPr>
                <w:rFonts w:hint="eastAsia" w:ascii="宋体" w:hAnsi="Times New Roman" w:cs="宋体"/>
                <w:sz w:val="32"/>
                <w:szCs w:val="32"/>
              </w:rPr>
              <w:t>主要用于</w:t>
            </w:r>
            <w:r>
              <w:rPr>
                <w:rFonts w:hint="eastAsia" w:ascii="宋体" w:hAnsi="Times New Roman" w:eastAsia="宋体" w:cs="宋体"/>
                <w:sz w:val="32"/>
                <w:szCs w:val="32"/>
              </w:rPr>
              <w:t>保护区范围内的日常生态保护修护和鸟类保护</w:t>
            </w:r>
            <w:r>
              <w:rPr>
                <w:rFonts w:hint="eastAsia" w:ascii="宋体" w:hAnsi="Times New Roman" w:eastAsia="宋体" w:cs="宋体"/>
                <w:sz w:val="32"/>
                <w:szCs w:val="32"/>
                <w:lang w:eastAsia="zh-CN"/>
              </w:rPr>
              <w:t>、</w:t>
            </w:r>
            <w:r>
              <w:rPr>
                <w:rFonts w:hint="eastAsia" w:ascii="宋体" w:hAnsi="Times New Roman" w:eastAsia="宋体" w:cs="宋体"/>
                <w:sz w:val="32"/>
                <w:szCs w:val="32"/>
              </w:rPr>
              <w:t>保护区的日常监测及麋鹿保护</w:t>
            </w:r>
            <w:r>
              <w:rPr>
                <w:rFonts w:hint="eastAsia" w:ascii="宋体" w:hAnsi="Times New Roman" w:eastAsia="宋体" w:cs="宋体"/>
                <w:sz w:val="32"/>
                <w:szCs w:val="32"/>
                <w:lang w:eastAsia="zh-CN"/>
              </w:rPr>
              <w:t>、公</w:t>
            </w:r>
            <w:r>
              <w:rPr>
                <w:rFonts w:hint="eastAsia" w:ascii="宋体" w:hAnsi="Times New Roman" w:eastAsia="宋体" w:cs="宋体"/>
                <w:sz w:val="32"/>
                <w:szCs w:val="32"/>
              </w:rPr>
              <w:t>务船舶的维修维护</w:t>
            </w:r>
            <w:r>
              <w:rPr>
                <w:rFonts w:hint="eastAsia" w:ascii="宋体" w:hAnsi="Times New Roman" w:cs="宋体"/>
                <w:sz w:val="32"/>
                <w:szCs w:val="32"/>
              </w:rPr>
              <w:t>方面</w:t>
            </w:r>
            <w:r>
              <w:rPr>
                <w:rFonts w:hint="eastAsia" w:ascii="宋体" w:hAnsi="Times New Roman" w:cs="宋体"/>
                <w:sz w:val="32"/>
                <w:szCs w:val="32"/>
                <w:lang w:eastAsia="zh-CN"/>
              </w:rPr>
              <w:t>。</w:t>
            </w:r>
          </w:p>
        </w:tc>
      </w:tr>
      <w:tr>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Dialog" w:hAnsi="Times New Roman" w:eastAsia="Dialog" w:cs="Dialog"/>
                <w:sz w:val="32"/>
                <w:szCs w:val="32"/>
              </w:rPr>
            </w:pPr>
            <w:r>
              <w:rPr>
                <w:rFonts w:ascii="Dialog" w:hAnsi="Times New Roman" w:eastAsia="Dialog" w:cs="Dialog"/>
                <w:sz w:val="32"/>
                <w:szCs w:val="32"/>
              </w:rPr>
              <w:t xml:space="preserve">  </w:t>
            </w:r>
            <w:r>
              <w:rPr>
                <w:rFonts w:hint="eastAsia" w:ascii="Dialog" w:hAnsi="Times New Roman" w:eastAsia="Dialog" w:cs="Dialog"/>
                <w:sz w:val="32"/>
                <w:szCs w:val="32"/>
              </w:rPr>
              <w:t>五、政府性基金预算支出</w:t>
            </w:r>
          </w:p>
        </w:tc>
      </w:tr>
      <w:tr>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宋体" w:hAnsi="Times New Roman" w:eastAsia="宋体" w:cs="宋体"/>
                <w:sz w:val="32"/>
                <w:szCs w:val="32"/>
              </w:rPr>
            </w:pPr>
            <w:r>
              <w:rPr>
                <w:rFonts w:ascii="宋体" w:hAnsi="Times New Roman" w:eastAsia="宋体" w:cs="宋体"/>
                <w:sz w:val="32"/>
                <w:szCs w:val="32"/>
              </w:rPr>
              <w:t xml:space="preserve">  2025</w:t>
            </w:r>
            <w:r>
              <w:rPr>
                <w:rFonts w:hint="eastAsia" w:ascii="宋体" w:hAnsi="Times New Roman" w:eastAsia="宋体" w:cs="宋体"/>
                <w:sz w:val="32"/>
                <w:szCs w:val="32"/>
              </w:rPr>
              <w:t>年度本单位无政府性基金安排的支出，所以公开的附件</w:t>
            </w:r>
            <w:r>
              <w:rPr>
                <w:rFonts w:ascii="宋体" w:hAnsi="Times New Roman" w:eastAsia="宋体" w:cs="宋体"/>
                <w:sz w:val="32"/>
                <w:szCs w:val="32"/>
              </w:rPr>
              <w:t>15-17</w:t>
            </w:r>
            <w:r>
              <w:rPr>
                <w:rFonts w:hint="eastAsia" w:ascii="宋体" w:hAnsi="Times New Roman" w:eastAsia="宋体" w:cs="宋体"/>
                <w:sz w:val="32"/>
                <w:szCs w:val="32"/>
              </w:rPr>
              <w:t>（政府性基金预算）为空。</w:t>
            </w:r>
          </w:p>
        </w:tc>
      </w:tr>
      <w:tr>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Dialog" w:hAnsi="Times New Roman" w:eastAsia="Dialog" w:cs="Dialog"/>
                <w:sz w:val="32"/>
                <w:szCs w:val="32"/>
              </w:rPr>
            </w:pPr>
            <w:r>
              <w:rPr>
                <w:rFonts w:ascii="Dialog" w:hAnsi="Times New Roman" w:eastAsia="Dialog" w:cs="Dialog"/>
                <w:sz w:val="32"/>
                <w:szCs w:val="32"/>
              </w:rPr>
              <w:t xml:space="preserve">  </w:t>
            </w:r>
            <w:r>
              <w:rPr>
                <w:rFonts w:hint="eastAsia" w:ascii="Dialog" w:hAnsi="Times New Roman" w:eastAsia="Dialog" w:cs="Dialog"/>
                <w:sz w:val="32"/>
                <w:szCs w:val="32"/>
              </w:rPr>
              <w:t>六、其他重要事项的情况说明</w:t>
            </w:r>
          </w:p>
        </w:tc>
      </w:tr>
      <w:tr>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Dialog" w:hAnsi="Times New Roman" w:eastAsia="Dialog" w:cs="Dialog"/>
                <w:sz w:val="32"/>
                <w:szCs w:val="32"/>
              </w:rPr>
            </w:pPr>
            <w:r>
              <w:rPr>
                <w:rFonts w:ascii="Dialog" w:hAnsi="Times New Roman" w:eastAsia="Dialog" w:cs="Dialog"/>
                <w:sz w:val="32"/>
                <w:szCs w:val="32"/>
              </w:rPr>
              <w:t xml:space="preserve">  </w:t>
            </w:r>
            <w:r>
              <w:rPr>
                <w:rFonts w:hint="eastAsia" w:ascii="Dialog" w:hAnsi="Times New Roman" w:eastAsia="Dialog" w:cs="Dialog"/>
                <w:sz w:val="32"/>
                <w:szCs w:val="32"/>
              </w:rPr>
              <w:t>（一）机关运行经费</w:t>
            </w:r>
          </w:p>
        </w:tc>
      </w:tr>
      <w:tr>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宋体" w:hAnsi="Times New Roman" w:eastAsia="宋体" w:cs="宋体"/>
                <w:sz w:val="32"/>
                <w:szCs w:val="32"/>
              </w:rPr>
            </w:pPr>
            <w:r>
              <w:rPr>
                <w:rFonts w:ascii="宋体" w:hAnsi="Times New Roman" w:eastAsia="宋体" w:cs="宋体"/>
                <w:sz w:val="32"/>
                <w:szCs w:val="32"/>
              </w:rPr>
              <w:t xml:space="preserve">  </w:t>
            </w:r>
            <w:r>
              <w:rPr>
                <w:rFonts w:hint="eastAsia" w:ascii="宋体" w:hAnsi="Times New Roman" w:eastAsia="宋体" w:cs="宋体"/>
                <w:sz w:val="32"/>
                <w:szCs w:val="32"/>
              </w:rPr>
              <w:t>本单位</w:t>
            </w:r>
            <w:r>
              <w:rPr>
                <w:rFonts w:ascii="宋体" w:hAnsi="Times New Roman" w:eastAsia="宋体" w:cs="宋体"/>
                <w:sz w:val="32"/>
                <w:szCs w:val="32"/>
              </w:rPr>
              <w:t>2025</w:t>
            </w:r>
            <w:r>
              <w:rPr>
                <w:rFonts w:hint="eastAsia" w:ascii="宋体" w:hAnsi="Times New Roman" w:eastAsia="宋体" w:cs="宋体"/>
                <w:sz w:val="32"/>
                <w:szCs w:val="32"/>
              </w:rPr>
              <w:t>无机关运行经费安排的支出，所以公开的附件表</w:t>
            </w:r>
            <w:r>
              <w:rPr>
                <w:rFonts w:ascii="宋体" w:hAnsi="Times New Roman" w:eastAsia="宋体" w:cs="宋体"/>
                <w:sz w:val="32"/>
                <w:szCs w:val="32"/>
              </w:rPr>
              <w:t>12</w:t>
            </w:r>
            <w:r>
              <w:rPr>
                <w:rFonts w:hint="eastAsia" w:ascii="宋体" w:hAnsi="Times New Roman" w:eastAsia="宋体" w:cs="宋体"/>
                <w:sz w:val="32"/>
                <w:szCs w:val="32"/>
              </w:rPr>
              <w:t>为空。</w:t>
            </w:r>
          </w:p>
        </w:tc>
      </w:tr>
      <w:tr>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Dialog" w:hAnsi="Times New Roman" w:eastAsia="Dialog" w:cs="Dialog"/>
                <w:sz w:val="32"/>
                <w:szCs w:val="32"/>
              </w:rPr>
            </w:pPr>
            <w:r>
              <w:rPr>
                <w:rFonts w:ascii="Dialog" w:hAnsi="Times New Roman" w:eastAsia="Dialog" w:cs="Dialog"/>
                <w:sz w:val="32"/>
                <w:szCs w:val="32"/>
              </w:rPr>
              <w:t xml:space="preserve">  </w:t>
            </w:r>
            <w:r>
              <w:rPr>
                <w:rFonts w:hint="eastAsia" w:ascii="Dialog" w:hAnsi="Times New Roman" w:eastAsia="Dialog" w:cs="Dialog"/>
                <w:sz w:val="32"/>
                <w:szCs w:val="32"/>
              </w:rPr>
              <w:t>（二）“三公”经费预算</w:t>
            </w:r>
          </w:p>
        </w:tc>
      </w:tr>
      <w:tr>
        <w:tblPrEx>
          <w:tblCellMar>
            <w:top w:w="0" w:type="dxa"/>
            <w:left w:w="0" w:type="dxa"/>
            <w:bottom w:w="0" w:type="dxa"/>
            <w:right w:w="0" w:type="dxa"/>
          </w:tblCellMar>
        </w:tblPrEx>
        <w:trPr>
          <w:trHeight w:val="728"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宋体" w:hAnsi="Times New Roman" w:eastAsia="宋体" w:cs="宋体"/>
                <w:sz w:val="32"/>
                <w:szCs w:val="32"/>
              </w:rPr>
            </w:pPr>
            <w:r>
              <w:rPr>
                <w:rFonts w:ascii="宋体" w:hAnsi="Times New Roman" w:eastAsia="宋体" w:cs="宋体"/>
                <w:sz w:val="32"/>
                <w:szCs w:val="32"/>
              </w:rPr>
              <w:t xml:space="preserve">  </w:t>
            </w:r>
            <w:r>
              <w:rPr>
                <w:rFonts w:hint="eastAsia" w:ascii="宋体" w:hAnsi="Times New Roman" w:cs="宋体"/>
                <w:sz w:val="32"/>
                <w:szCs w:val="32"/>
              </w:rPr>
              <w:t>本单位</w:t>
            </w:r>
            <w:r>
              <w:rPr>
                <w:rFonts w:ascii="宋体" w:hAnsi="Times New Roman" w:cs="宋体"/>
                <w:sz w:val="32"/>
                <w:szCs w:val="32"/>
              </w:rPr>
              <w:t>2025</w:t>
            </w:r>
            <w:r>
              <w:rPr>
                <w:rFonts w:hint="eastAsia" w:ascii="宋体" w:hAnsi="Times New Roman" w:cs="宋体"/>
                <w:sz w:val="32"/>
                <w:szCs w:val="32"/>
              </w:rPr>
              <w:t>年“三公”经费预算数</w:t>
            </w:r>
            <w:r>
              <w:rPr>
                <w:rFonts w:hint="eastAsia" w:ascii="宋体" w:hAnsi="Times New Roman" w:cs="宋体"/>
                <w:sz w:val="32"/>
                <w:szCs w:val="32"/>
                <w:lang w:val="en-US" w:eastAsia="zh-CN"/>
              </w:rPr>
              <w:t>40.13</w:t>
            </w:r>
            <w:r>
              <w:rPr>
                <w:rFonts w:hint="eastAsia" w:ascii="宋体" w:hAnsi="Times New Roman" w:cs="宋体"/>
                <w:sz w:val="32"/>
                <w:szCs w:val="32"/>
              </w:rPr>
              <w:t>万元（数据来源见表</w:t>
            </w:r>
            <w:r>
              <w:rPr>
                <w:rFonts w:ascii="宋体" w:hAnsi="Times New Roman" w:cs="宋体"/>
                <w:sz w:val="32"/>
                <w:szCs w:val="32"/>
              </w:rPr>
              <w:t>14</w:t>
            </w:r>
            <w:r>
              <w:rPr>
                <w:rFonts w:hint="eastAsia" w:ascii="宋体" w:hAnsi="Times New Roman" w:cs="宋体"/>
                <w:sz w:val="32"/>
                <w:szCs w:val="32"/>
              </w:rPr>
              <w:t>），其中，公务接待费</w:t>
            </w:r>
            <w:r>
              <w:rPr>
                <w:rFonts w:hint="eastAsia" w:ascii="宋体" w:hAnsi="Times New Roman" w:cs="宋体"/>
                <w:sz w:val="32"/>
                <w:szCs w:val="32"/>
                <w:lang w:val="en-US" w:eastAsia="zh-CN"/>
              </w:rPr>
              <w:t>25.13</w:t>
            </w:r>
            <w:r>
              <w:rPr>
                <w:rFonts w:hint="eastAsia" w:ascii="宋体" w:hAnsi="Times New Roman" w:cs="宋体"/>
                <w:sz w:val="32"/>
                <w:szCs w:val="32"/>
              </w:rPr>
              <w:t>万元，因公出国（境）费</w:t>
            </w:r>
            <w:r>
              <w:rPr>
                <w:rFonts w:ascii="宋体" w:hAnsi="Times New Roman" w:cs="宋体"/>
                <w:sz w:val="32"/>
                <w:szCs w:val="32"/>
              </w:rPr>
              <w:t>0.00</w:t>
            </w:r>
            <w:r>
              <w:rPr>
                <w:rFonts w:hint="eastAsia" w:ascii="宋体" w:hAnsi="Times New Roman" w:cs="宋体"/>
                <w:sz w:val="32"/>
                <w:szCs w:val="32"/>
              </w:rPr>
              <w:t>万元，公务用车购置及运行费</w:t>
            </w:r>
            <w:r>
              <w:rPr>
                <w:rFonts w:hint="eastAsia" w:ascii="宋体" w:hAnsi="Times New Roman" w:cs="宋体"/>
                <w:sz w:val="32"/>
                <w:szCs w:val="32"/>
                <w:lang w:val="en-US" w:eastAsia="zh-CN"/>
              </w:rPr>
              <w:t>15</w:t>
            </w:r>
            <w:r>
              <w:rPr>
                <w:rFonts w:ascii="宋体" w:hAnsi="Times New Roman" w:cs="宋体"/>
                <w:sz w:val="32"/>
                <w:szCs w:val="32"/>
              </w:rPr>
              <w:t>.00</w:t>
            </w:r>
            <w:r>
              <w:rPr>
                <w:rFonts w:hint="eastAsia" w:ascii="宋体" w:hAnsi="Times New Roman" w:cs="宋体"/>
                <w:sz w:val="32"/>
                <w:szCs w:val="32"/>
              </w:rPr>
              <w:t>万元（其中，公务用车购置费</w:t>
            </w:r>
            <w:r>
              <w:rPr>
                <w:rFonts w:ascii="宋体" w:hAnsi="Times New Roman" w:cs="宋体"/>
                <w:sz w:val="32"/>
                <w:szCs w:val="32"/>
              </w:rPr>
              <w:t>0.00</w:t>
            </w:r>
            <w:r>
              <w:rPr>
                <w:rFonts w:hint="eastAsia" w:ascii="宋体" w:hAnsi="Times New Roman" w:cs="宋体"/>
                <w:sz w:val="32"/>
                <w:szCs w:val="32"/>
              </w:rPr>
              <w:t>万元，公务用车运行费</w:t>
            </w:r>
            <w:r>
              <w:rPr>
                <w:rFonts w:hint="eastAsia" w:ascii="宋体" w:hAnsi="Times New Roman" w:cs="宋体"/>
                <w:sz w:val="32"/>
                <w:szCs w:val="32"/>
                <w:lang w:val="en-US" w:eastAsia="zh-CN"/>
              </w:rPr>
              <w:t>15</w:t>
            </w:r>
            <w:r>
              <w:rPr>
                <w:rFonts w:ascii="宋体" w:hAnsi="Times New Roman" w:cs="宋体"/>
                <w:sz w:val="32"/>
                <w:szCs w:val="32"/>
              </w:rPr>
              <w:t>.00</w:t>
            </w:r>
            <w:r>
              <w:rPr>
                <w:rFonts w:hint="eastAsia" w:ascii="宋体" w:hAnsi="Times New Roman" w:cs="宋体"/>
                <w:sz w:val="32"/>
                <w:szCs w:val="32"/>
              </w:rPr>
              <w:t>万元）。</w:t>
            </w:r>
            <w:r>
              <w:rPr>
                <w:rFonts w:ascii="宋体" w:hAnsi="Times New Roman" w:cs="宋体"/>
                <w:sz w:val="32"/>
                <w:szCs w:val="32"/>
              </w:rPr>
              <w:t>2025</w:t>
            </w:r>
            <w:r>
              <w:rPr>
                <w:rFonts w:hint="eastAsia" w:ascii="宋体" w:hAnsi="Times New Roman" w:cs="宋体"/>
                <w:sz w:val="32"/>
                <w:szCs w:val="32"/>
              </w:rPr>
              <w:t>年三公经费预算较上年</w:t>
            </w:r>
            <w:r>
              <w:rPr>
                <w:rFonts w:hint="eastAsia" w:ascii="宋体" w:hAnsi="Times New Roman" w:cs="宋体"/>
                <w:sz w:val="32"/>
                <w:szCs w:val="32"/>
                <w:lang w:eastAsia="zh-CN"/>
              </w:rPr>
              <w:t>减少</w:t>
            </w:r>
            <w:r>
              <w:rPr>
                <w:rFonts w:hint="eastAsia" w:ascii="宋体" w:hAnsi="Times New Roman" w:cs="宋体"/>
                <w:sz w:val="32"/>
                <w:szCs w:val="32"/>
                <w:lang w:val="en-US" w:eastAsia="zh-CN"/>
              </w:rPr>
              <w:t>10万元，主要原因是2025年暂无因公出国（境）安排</w:t>
            </w:r>
            <w:r>
              <w:rPr>
                <w:rFonts w:hint="eastAsia" w:ascii="宋体" w:hAnsi="Times New Roman" w:cs="宋体"/>
                <w:sz w:val="32"/>
                <w:szCs w:val="32"/>
                <w:lang w:eastAsia="zh-CN"/>
              </w:rPr>
              <w:t>。</w:t>
            </w:r>
          </w:p>
        </w:tc>
      </w:tr>
      <w:tr>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Dialog" w:hAnsi="Times New Roman" w:eastAsia="Dialog" w:cs="Dialog"/>
                <w:sz w:val="32"/>
                <w:szCs w:val="32"/>
              </w:rPr>
            </w:pPr>
            <w:r>
              <w:rPr>
                <w:rFonts w:ascii="Dialog" w:hAnsi="Times New Roman" w:eastAsia="Dialog" w:cs="Dialog"/>
                <w:sz w:val="32"/>
                <w:szCs w:val="32"/>
              </w:rPr>
              <w:t xml:space="preserve">  </w:t>
            </w:r>
            <w:r>
              <w:rPr>
                <w:rFonts w:hint="eastAsia" w:ascii="Dialog" w:hAnsi="Times New Roman" w:eastAsia="Dialog" w:cs="Dialog"/>
                <w:sz w:val="32"/>
                <w:szCs w:val="32"/>
              </w:rPr>
              <w:t>（三）一般性支出情况</w:t>
            </w:r>
          </w:p>
        </w:tc>
      </w:tr>
      <w:tr>
        <w:tblPrEx>
          <w:tblCellMar>
            <w:top w:w="0" w:type="dxa"/>
            <w:left w:w="0" w:type="dxa"/>
            <w:bottom w:w="0" w:type="dxa"/>
            <w:right w:w="0" w:type="dxa"/>
          </w:tblCellMar>
        </w:tblPrEx>
        <w:trPr>
          <w:trHeight w:val="975"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宋体" w:hAnsi="Times New Roman" w:eastAsia="宋体" w:cs="宋体"/>
                <w:sz w:val="32"/>
                <w:szCs w:val="32"/>
              </w:rPr>
            </w:pPr>
            <w:r>
              <w:rPr>
                <w:rFonts w:ascii="宋体" w:hAnsi="Times New Roman" w:eastAsia="宋体" w:cs="宋体"/>
                <w:sz w:val="32"/>
                <w:szCs w:val="32"/>
              </w:rPr>
              <w:t xml:space="preserve">  </w:t>
            </w:r>
            <w:r>
              <w:rPr>
                <w:rFonts w:hint="eastAsia" w:ascii="宋体" w:hAnsi="Times New Roman" w:cs="宋体"/>
                <w:sz w:val="32"/>
                <w:szCs w:val="32"/>
              </w:rPr>
              <w:t>本单位</w:t>
            </w:r>
            <w:r>
              <w:rPr>
                <w:rFonts w:ascii="宋体" w:hAnsi="Times New Roman" w:cs="宋体"/>
                <w:sz w:val="32"/>
                <w:szCs w:val="32"/>
              </w:rPr>
              <w:t>2025</w:t>
            </w:r>
            <w:r>
              <w:rPr>
                <w:rFonts w:hint="eastAsia" w:ascii="宋体" w:hAnsi="Times New Roman" w:cs="宋体"/>
                <w:sz w:val="32"/>
                <w:szCs w:val="32"/>
              </w:rPr>
              <w:t>年会议费预算</w:t>
            </w:r>
            <w:r>
              <w:rPr>
                <w:rFonts w:ascii="宋体" w:hAnsi="Times New Roman" w:cs="宋体"/>
                <w:sz w:val="32"/>
                <w:szCs w:val="32"/>
              </w:rPr>
              <w:t>1.00</w:t>
            </w:r>
            <w:r>
              <w:rPr>
                <w:rFonts w:hint="eastAsia" w:ascii="宋体" w:hAnsi="Times New Roman" w:cs="宋体"/>
                <w:sz w:val="32"/>
                <w:szCs w:val="32"/>
              </w:rPr>
              <w:t>万元（数据来源见表</w:t>
            </w:r>
            <w:r>
              <w:rPr>
                <w:rFonts w:ascii="宋体" w:hAnsi="Times New Roman" w:cs="宋体"/>
                <w:sz w:val="32"/>
                <w:szCs w:val="32"/>
              </w:rPr>
              <w:t>13</w:t>
            </w:r>
            <w:r>
              <w:rPr>
                <w:rFonts w:hint="eastAsia" w:ascii="宋体" w:hAnsi="Times New Roman" w:cs="宋体"/>
                <w:sz w:val="32"/>
                <w:szCs w:val="32"/>
              </w:rPr>
              <w:t>会议费、培训费），拟召开</w:t>
            </w:r>
            <w:r>
              <w:rPr>
                <w:rFonts w:hint="eastAsia" w:ascii="宋体" w:hAnsi="Times New Roman" w:cs="宋体"/>
                <w:sz w:val="32"/>
                <w:szCs w:val="32"/>
                <w:lang w:val="en-US" w:eastAsia="zh-CN"/>
              </w:rPr>
              <w:t>3</w:t>
            </w:r>
            <w:r>
              <w:rPr>
                <w:rFonts w:hint="eastAsia" w:ascii="宋体" w:hAnsi="Times New Roman" w:cs="宋体"/>
                <w:sz w:val="32"/>
                <w:szCs w:val="32"/>
              </w:rPr>
              <w:t>次会议，人数</w:t>
            </w:r>
            <w:r>
              <w:rPr>
                <w:rFonts w:hint="eastAsia" w:ascii="宋体" w:hAnsi="Times New Roman" w:cs="宋体"/>
                <w:sz w:val="32"/>
                <w:szCs w:val="32"/>
                <w:lang w:val="en-US" w:eastAsia="zh-CN"/>
              </w:rPr>
              <w:t>80</w:t>
            </w:r>
            <w:r>
              <w:rPr>
                <w:rFonts w:hint="eastAsia" w:ascii="宋体" w:hAnsi="Times New Roman" w:cs="宋体"/>
                <w:sz w:val="32"/>
                <w:szCs w:val="32"/>
              </w:rPr>
              <w:t>人，内容为</w:t>
            </w:r>
            <w:r>
              <w:rPr>
                <w:rFonts w:hint="eastAsia" w:ascii="宋体" w:hAnsi="Times New Roman" w:eastAsia="宋体" w:cs="宋体"/>
                <w:sz w:val="32"/>
                <w:szCs w:val="32"/>
              </w:rPr>
              <w:t>党风廉政、党建</w:t>
            </w:r>
            <w:r>
              <w:rPr>
                <w:rFonts w:hint="eastAsia" w:ascii="宋体" w:hAnsi="Times New Roman" w:eastAsia="宋体" w:cs="宋体"/>
                <w:sz w:val="32"/>
                <w:szCs w:val="32"/>
                <w:lang w:eastAsia="zh-CN"/>
              </w:rPr>
              <w:t>、生态调研</w:t>
            </w:r>
            <w:r>
              <w:rPr>
                <w:rFonts w:hint="eastAsia" w:ascii="宋体" w:hAnsi="Times New Roman" w:eastAsia="宋体" w:cs="宋体"/>
                <w:sz w:val="32"/>
                <w:szCs w:val="32"/>
              </w:rPr>
              <w:t>方面的会议</w:t>
            </w:r>
            <w:r>
              <w:rPr>
                <w:rFonts w:hint="eastAsia" w:ascii="宋体" w:hAnsi="Times New Roman" w:cs="宋体"/>
                <w:sz w:val="32"/>
                <w:szCs w:val="32"/>
              </w:rPr>
              <w:t>；培训费预算</w:t>
            </w:r>
            <w:r>
              <w:rPr>
                <w:rFonts w:ascii="宋体" w:hAnsi="Times New Roman" w:cs="宋体"/>
                <w:sz w:val="32"/>
                <w:szCs w:val="32"/>
              </w:rPr>
              <w:t>1.00</w:t>
            </w:r>
            <w:r>
              <w:rPr>
                <w:rFonts w:hint="eastAsia" w:ascii="宋体" w:hAnsi="Times New Roman" w:cs="宋体"/>
                <w:sz w:val="32"/>
                <w:szCs w:val="32"/>
              </w:rPr>
              <w:t>万元，拟开展</w:t>
            </w:r>
            <w:r>
              <w:rPr>
                <w:rFonts w:hint="eastAsia" w:ascii="宋体" w:hAnsi="Times New Roman" w:cs="宋体"/>
                <w:sz w:val="32"/>
                <w:szCs w:val="32"/>
                <w:lang w:val="en-US" w:eastAsia="zh-CN"/>
              </w:rPr>
              <w:t>2</w:t>
            </w:r>
            <w:r>
              <w:rPr>
                <w:rFonts w:hint="eastAsia" w:ascii="宋体" w:hAnsi="Times New Roman" w:cs="宋体"/>
                <w:sz w:val="32"/>
                <w:szCs w:val="32"/>
              </w:rPr>
              <w:t>次培训，人数</w:t>
            </w:r>
            <w:r>
              <w:rPr>
                <w:rFonts w:hint="eastAsia" w:ascii="宋体" w:hAnsi="Times New Roman" w:cs="宋体"/>
                <w:sz w:val="32"/>
                <w:szCs w:val="32"/>
                <w:lang w:val="en-US" w:eastAsia="zh-CN"/>
              </w:rPr>
              <w:t>80</w:t>
            </w:r>
            <w:r>
              <w:rPr>
                <w:rFonts w:hint="eastAsia" w:ascii="宋体" w:hAnsi="Times New Roman" w:cs="宋体"/>
                <w:sz w:val="32"/>
                <w:szCs w:val="32"/>
              </w:rPr>
              <w:t>人</w:t>
            </w:r>
            <w:r>
              <w:rPr>
                <w:rFonts w:hint="eastAsia" w:ascii="宋体" w:hAnsi="Times New Roman" w:eastAsia="宋体" w:cs="宋体"/>
                <w:sz w:val="32"/>
                <w:szCs w:val="32"/>
              </w:rPr>
              <w:t>，内容为科研监测、巡护管理、技能培训</w:t>
            </w:r>
            <w:r>
              <w:rPr>
                <w:rFonts w:hint="eastAsia" w:ascii="宋体" w:hAnsi="Times New Roman" w:cs="宋体"/>
                <w:sz w:val="32"/>
                <w:szCs w:val="32"/>
              </w:rPr>
              <w:t>；</w:t>
            </w:r>
            <w:r>
              <w:rPr>
                <w:rFonts w:ascii="宋体" w:hAnsi="Times New Roman" w:cs="宋体"/>
                <w:sz w:val="32"/>
                <w:szCs w:val="32"/>
              </w:rPr>
              <w:t>2025</w:t>
            </w:r>
            <w:r>
              <w:rPr>
                <w:rFonts w:hint="eastAsia" w:ascii="宋体" w:hAnsi="Times New Roman" w:cs="宋体"/>
                <w:sz w:val="32"/>
                <w:szCs w:val="32"/>
              </w:rPr>
              <w:t>年度本单位未计划举办节庆、晚会、论坛、赛事活动。</w:t>
            </w:r>
          </w:p>
        </w:tc>
      </w:tr>
      <w:tr>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Dialog" w:hAnsi="Times New Roman" w:eastAsia="Dialog" w:cs="Dialog"/>
                <w:sz w:val="32"/>
                <w:szCs w:val="32"/>
              </w:rPr>
            </w:pPr>
            <w:r>
              <w:rPr>
                <w:rFonts w:ascii="Dialog" w:hAnsi="Times New Roman" w:eastAsia="Dialog" w:cs="Dialog"/>
                <w:sz w:val="32"/>
                <w:szCs w:val="32"/>
              </w:rPr>
              <w:t xml:space="preserve">  </w:t>
            </w:r>
            <w:r>
              <w:rPr>
                <w:rFonts w:hint="eastAsia" w:ascii="Dialog" w:hAnsi="Times New Roman" w:eastAsia="Dialog" w:cs="Dialog"/>
                <w:sz w:val="32"/>
                <w:szCs w:val="32"/>
              </w:rPr>
              <w:t>（四）委托业务费情况</w:t>
            </w:r>
          </w:p>
        </w:tc>
      </w:tr>
      <w:tr>
        <w:tblPrEx>
          <w:tblCellMar>
            <w:top w:w="0" w:type="dxa"/>
            <w:left w:w="0" w:type="dxa"/>
            <w:bottom w:w="0" w:type="dxa"/>
            <w:right w:w="0" w:type="dxa"/>
          </w:tblCellMar>
        </w:tblPrEx>
        <w:trPr>
          <w:trHeight w:val="728"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hint="eastAsia" w:ascii="宋体" w:hAnsi="Times New Roman" w:eastAsia="宋体" w:cs="宋体"/>
                <w:sz w:val="32"/>
                <w:szCs w:val="32"/>
                <w:lang w:eastAsia="zh-CN"/>
              </w:rPr>
            </w:pPr>
            <w:r>
              <w:rPr>
                <w:rFonts w:ascii="宋体" w:hAnsi="Times New Roman" w:eastAsia="宋体" w:cs="宋体"/>
                <w:sz w:val="32"/>
                <w:szCs w:val="32"/>
              </w:rPr>
              <w:t xml:space="preserve">  </w:t>
            </w:r>
            <w:r>
              <w:rPr>
                <w:rFonts w:hint="eastAsia" w:ascii="宋体" w:hAnsi="Times New Roman" w:eastAsia="宋体" w:cs="宋体"/>
                <w:sz w:val="32"/>
                <w:szCs w:val="32"/>
              </w:rPr>
              <w:t>本单位</w:t>
            </w:r>
            <w:r>
              <w:rPr>
                <w:rFonts w:ascii="宋体" w:hAnsi="Times New Roman" w:eastAsia="宋体" w:cs="宋体"/>
                <w:sz w:val="32"/>
                <w:szCs w:val="32"/>
              </w:rPr>
              <w:t>2025</w:t>
            </w:r>
            <w:r>
              <w:rPr>
                <w:rFonts w:hint="eastAsia" w:ascii="宋体" w:hAnsi="Times New Roman" w:eastAsia="宋体" w:cs="宋体"/>
                <w:sz w:val="32"/>
                <w:szCs w:val="32"/>
              </w:rPr>
              <w:t>年本级委托业务费</w:t>
            </w:r>
            <w:r>
              <w:rPr>
                <w:rFonts w:hint="eastAsia" w:ascii="宋体" w:hAnsi="Times New Roman" w:eastAsia="宋体" w:cs="宋体"/>
                <w:sz w:val="32"/>
                <w:szCs w:val="32"/>
                <w:lang w:val="en-US" w:eastAsia="zh-CN"/>
              </w:rPr>
              <w:t>0</w:t>
            </w:r>
            <w:r>
              <w:rPr>
                <w:rFonts w:hint="eastAsia" w:ascii="宋体" w:hAnsi="Times New Roman" w:eastAsia="宋体" w:cs="宋体"/>
                <w:sz w:val="32"/>
                <w:szCs w:val="32"/>
              </w:rPr>
              <w:t>万元，比上年预算</w:t>
            </w:r>
            <w:r>
              <w:rPr>
                <w:rFonts w:hint="eastAsia" w:ascii="宋体" w:hAnsi="Times New Roman" w:eastAsia="宋体" w:cs="宋体"/>
                <w:sz w:val="32"/>
                <w:szCs w:val="32"/>
                <w:lang w:eastAsia="zh-CN"/>
              </w:rPr>
              <w:t>持平。</w:t>
            </w:r>
          </w:p>
        </w:tc>
      </w:tr>
      <w:tr>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Dialog" w:hAnsi="Times New Roman" w:eastAsia="Dialog" w:cs="Dialog"/>
                <w:sz w:val="32"/>
                <w:szCs w:val="32"/>
              </w:rPr>
            </w:pPr>
            <w:r>
              <w:rPr>
                <w:rFonts w:ascii="Dialog" w:hAnsi="Times New Roman" w:eastAsia="Dialog" w:cs="Dialog"/>
                <w:sz w:val="32"/>
                <w:szCs w:val="32"/>
              </w:rPr>
              <w:t xml:space="preserve">  </w:t>
            </w:r>
            <w:r>
              <w:rPr>
                <w:rFonts w:hint="eastAsia" w:ascii="Dialog" w:hAnsi="Times New Roman" w:eastAsia="Dialog" w:cs="Dialog"/>
                <w:sz w:val="32"/>
                <w:szCs w:val="32"/>
              </w:rPr>
              <w:t>（五）政府采购情况</w:t>
            </w:r>
          </w:p>
        </w:tc>
      </w:tr>
      <w:tr>
        <w:tblPrEx>
          <w:tblCellMar>
            <w:top w:w="0" w:type="dxa"/>
            <w:left w:w="0" w:type="dxa"/>
            <w:bottom w:w="0" w:type="dxa"/>
            <w:right w:w="0" w:type="dxa"/>
          </w:tblCellMar>
        </w:tblPrEx>
        <w:trPr>
          <w:trHeight w:val="728"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hint="eastAsia" w:ascii="宋体" w:hAnsi="Times New Roman" w:cs="宋体"/>
                <w:sz w:val="32"/>
                <w:szCs w:val="32"/>
              </w:rPr>
            </w:pPr>
            <w:r>
              <w:rPr>
                <w:rFonts w:ascii="宋体" w:hAnsi="Times New Roman" w:eastAsia="宋体" w:cs="宋体"/>
                <w:sz w:val="32"/>
                <w:szCs w:val="32"/>
              </w:rPr>
              <w:t xml:space="preserve">  </w:t>
            </w:r>
            <w:r>
              <w:rPr>
                <w:rFonts w:hint="eastAsia" w:ascii="宋体" w:hAnsi="Times New Roman" w:cs="宋体"/>
                <w:sz w:val="32"/>
                <w:szCs w:val="32"/>
              </w:rPr>
              <w:t>本单位</w:t>
            </w:r>
            <w:r>
              <w:rPr>
                <w:rFonts w:ascii="宋体" w:hAnsi="Times New Roman" w:cs="宋体"/>
                <w:sz w:val="32"/>
                <w:szCs w:val="32"/>
              </w:rPr>
              <w:t>2025</w:t>
            </w:r>
            <w:r>
              <w:rPr>
                <w:rFonts w:hint="eastAsia" w:ascii="宋体" w:hAnsi="Times New Roman" w:cs="宋体"/>
                <w:sz w:val="32"/>
                <w:szCs w:val="32"/>
              </w:rPr>
              <w:t>年政府采购预算总额</w:t>
            </w:r>
            <w:r>
              <w:rPr>
                <w:rFonts w:hint="eastAsia" w:ascii="宋体" w:hAnsi="Times New Roman" w:cs="宋体"/>
                <w:sz w:val="32"/>
                <w:szCs w:val="32"/>
                <w:lang w:val="en-US" w:eastAsia="zh-CN"/>
              </w:rPr>
              <w:t>3032.31</w:t>
            </w:r>
            <w:r>
              <w:rPr>
                <w:rFonts w:hint="eastAsia" w:ascii="宋体" w:hAnsi="Times New Roman" w:cs="宋体"/>
                <w:sz w:val="32"/>
                <w:szCs w:val="32"/>
              </w:rPr>
              <w:t>万元，其中工程类</w:t>
            </w:r>
            <w:r>
              <w:rPr>
                <w:rFonts w:hint="eastAsia" w:ascii="宋体" w:hAnsi="Times New Roman" w:cs="宋体"/>
                <w:sz w:val="32"/>
                <w:szCs w:val="32"/>
                <w:lang w:val="en-US" w:eastAsia="zh-CN"/>
              </w:rPr>
              <w:t>2416.76</w:t>
            </w:r>
            <w:r>
              <w:rPr>
                <w:rFonts w:hint="eastAsia" w:ascii="宋体" w:hAnsi="Times New Roman" w:cs="宋体"/>
                <w:sz w:val="32"/>
                <w:szCs w:val="32"/>
              </w:rPr>
              <w:t>万元，货物类</w:t>
            </w:r>
            <w:r>
              <w:rPr>
                <w:rFonts w:hint="eastAsia" w:ascii="宋体" w:hAnsi="Times New Roman" w:cs="宋体"/>
                <w:sz w:val="32"/>
                <w:szCs w:val="32"/>
                <w:lang w:val="en-US" w:eastAsia="zh-CN"/>
              </w:rPr>
              <w:t>91.08</w:t>
            </w:r>
            <w:r>
              <w:rPr>
                <w:rFonts w:hint="eastAsia" w:ascii="宋体" w:hAnsi="Times New Roman" w:cs="宋体"/>
                <w:sz w:val="32"/>
                <w:szCs w:val="32"/>
              </w:rPr>
              <w:t>万元，服务类</w:t>
            </w:r>
            <w:r>
              <w:rPr>
                <w:rFonts w:hint="eastAsia" w:ascii="宋体" w:hAnsi="Times New Roman" w:cs="宋体"/>
                <w:sz w:val="32"/>
                <w:szCs w:val="32"/>
                <w:lang w:val="en-US" w:eastAsia="zh-CN"/>
              </w:rPr>
              <w:t>524.47</w:t>
            </w:r>
            <w:r>
              <w:rPr>
                <w:rFonts w:hint="eastAsia" w:ascii="宋体" w:hAnsi="Times New Roman" w:cs="宋体"/>
                <w:sz w:val="32"/>
                <w:szCs w:val="32"/>
              </w:rPr>
              <w:t>万元。</w:t>
            </w:r>
          </w:p>
          <w:p>
            <w:pPr>
              <w:spacing w:line="375" w:lineRule="exact"/>
              <w:ind w:left="20"/>
              <w:rPr>
                <w:rFonts w:ascii="宋体" w:hAnsi="Times New Roman" w:eastAsia="宋体" w:cs="宋体"/>
                <w:sz w:val="32"/>
                <w:szCs w:val="32"/>
              </w:rPr>
            </w:pPr>
          </w:p>
        </w:tc>
      </w:tr>
      <w:tr>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Dialog" w:hAnsi="Times New Roman" w:eastAsia="Dialog" w:cs="Dialog"/>
                <w:sz w:val="32"/>
                <w:szCs w:val="32"/>
              </w:rPr>
            </w:pPr>
            <w:r>
              <w:rPr>
                <w:rFonts w:ascii="Dialog" w:hAnsi="Times New Roman" w:eastAsia="Dialog" w:cs="Dialog"/>
                <w:sz w:val="32"/>
                <w:szCs w:val="32"/>
              </w:rPr>
              <w:t xml:space="preserve">  </w:t>
            </w:r>
            <w:r>
              <w:rPr>
                <w:rFonts w:hint="eastAsia" w:ascii="Dialog" w:hAnsi="Times New Roman" w:eastAsia="Dialog" w:cs="Dialog"/>
                <w:sz w:val="32"/>
                <w:szCs w:val="32"/>
              </w:rPr>
              <w:t>（六）国有资产占有使用及新增资产配置情况</w:t>
            </w:r>
          </w:p>
        </w:tc>
      </w:tr>
      <w:tr>
        <w:tblPrEx>
          <w:tblCellMar>
            <w:top w:w="0" w:type="dxa"/>
            <w:left w:w="0" w:type="dxa"/>
            <w:bottom w:w="0" w:type="dxa"/>
            <w:right w:w="0" w:type="dxa"/>
          </w:tblCellMar>
        </w:tblPrEx>
        <w:trPr>
          <w:trHeight w:val="2210"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宋体" w:hAnsi="Times New Roman" w:cs="宋体"/>
                <w:sz w:val="32"/>
                <w:szCs w:val="32"/>
              </w:rPr>
            </w:pPr>
            <w:r>
              <w:rPr>
                <w:rFonts w:ascii="宋体" w:hAnsi="Times New Roman" w:eastAsia="宋体" w:cs="宋体"/>
                <w:sz w:val="32"/>
                <w:szCs w:val="32"/>
              </w:rPr>
              <w:t xml:space="preserve">  </w:t>
            </w:r>
            <w:r>
              <w:rPr>
                <w:rFonts w:ascii="宋体" w:hAnsi="Times New Roman" w:cs="宋体"/>
                <w:sz w:val="32"/>
                <w:szCs w:val="32"/>
              </w:rPr>
              <w:t xml:space="preserve">  </w:t>
            </w:r>
            <w:r>
              <w:rPr>
                <w:rFonts w:hint="eastAsia" w:ascii="宋体" w:hAnsi="Times New Roman" w:cs="宋体"/>
                <w:sz w:val="32"/>
                <w:szCs w:val="32"/>
              </w:rPr>
              <w:t>截至上年底，本单位共有车辆</w:t>
            </w:r>
            <w:r>
              <w:rPr>
                <w:rFonts w:hint="eastAsia" w:ascii="宋体" w:hAnsi="Times New Roman" w:cs="宋体"/>
                <w:sz w:val="32"/>
                <w:szCs w:val="32"/>
                <w:lang w:val="en-US" w:eastAsia="zh-CN"/>
              </w:rPr>
              <w:t>2</w:t>
            </w:r>
            <w:r>
              <w:rPr>
                <w:rFonts w:hint="eastAsia" w:ascii="宋体" w:hAnsi="Times New Roman" w:cs="宋体"/>
                <w:sz w:val="32"/>
                <w:szCs w:val="32"/>
              </w:rPr>
              <w:t>辆，其中领导干部用车</w:t>
            </w:r>
            <w:r>
              <w:rPr>
                <w:rFonts w:hint="eastAsia" w:ascii="宋体" w:hAnsi="Times New Roman" w:cs="宋体"/>
                <w:sz w:val="32"/>
                <w:szCs w:val="32"/>
                <w:lang w:val="en-US" w:eastAsia="zh-CN"/>
              </w:rPr>
              <w:t>0</w:t>
            </w:r>
            <w:r>
              <w:rPr>
                <w:rFonts w:hint="eastAsia" w:ascii="宋体" w:hAnsi="Times New Roman" w:cs="宋体"/>
                <w:sz w:val="32"/>
                <w:szCs w:val="32"/>
              </w:rPr>
              <w:t>辆，一般公务用车</w:t>
            </w:r>
            <w:r>
              <w:rPr>
                <w:rFonts w:hint="eastAsia" w:ascii="宋体" w:hAnsi="Times New Roman" w:cs="宋体"/>
                <w:sz w:val="32"/>
                <w:szCs w:val="32"/>
                <w:lang w:val="en-US" w:eastAsia="zh-CN"/>
              </w:rPr>
              <w:t>0</w:t>
            </w:r>
            <w:r>
              <w:rPr>
                <w:rFonts w:hint="eastAsia" w:ascii="宋体" w:hAnsi="Times New Roman" w:cs="宋体"/>
                <w:sz w:val="32"/>
                <w:szCs w:val="32"/>
              </w:rPr>
              <w:t>辆，其他用车</w:t>
            </w:r>
            <w:r>
              <w:rPr>
                <w:rFonts w:hint="eastAsia" w:ascii="宋体" w:hAnsi="Times New Roman" w:cs="宋体"/>
                <w:sz w:val="32"/>
                <w:szCs w:val="32"/>
                <w:lang w:val="en-US" w:eastAsia="zh-CN"/>
              </w:rPr>
              <w:t>2</w:t>
            </w:r>
            <w:r>
              <w:rPr>
                <w:rFonts w:hint="eastAsia" w:ascii="宋体" w:hAnsi="Times New Roman" w:cs="宋体"/>
                <w:sz w:val="32"/>
                <w:szCs w:val="32"/>
              </w:rPr>
              <w:t>辆。单位价值</w:t>
            </w:r>
            <w:r>
              <w:rPr>
                <w:rFonts w:ascii="宋体" w:hAnsi="Times New Roman" w:cs="宋体"/>
                <w:sz w:val="32"/>
                <w:szCs w:val="32"/>
              </w:rPr>
              <w:t>50</w:t>
            </w:r>
            <w:r>
              <w:rPr>
                <w:rFonts w:hint="eastAsia" w:ascii="宋体" w:hAnsi="Times New Roman" w:cs="宋体"/>
                <w:sz w:val="32"/>
                <w:szCs w:val="32"/>
              </w:rPr>
              <w:t>万元以上通用设备</w:t>
            </w:r>
            <w:r>
              <w:rPr>
                <w:rFonts w:hint="eastAsia" w:ascii="宋体" w:hAnsi="Times New Roman" w:cs="宋体"/>
                <w:sz w:val="32"/>
                <w:szCs w:val="32"/>
                <w:lang w:val="en-US" w:eastAsia="zh-CN"/>
              </w:rPr>
              <w:t>0</w:t>
            </w:r>
            <w:r>
              <w:rPr>
                <w:rFonts w:hint="eastAsia" w:ascii="宋体" w:hAnsi="Times New Roman" w:cs="宋体"/>
                <w:sz w:val="32"/>
                <w:szCs w:val="32"/>
              </w:rPr>
              <w:t>台，单位价值</w:t>
            </w:r>
            <w:r>
              <w:rPr>
                <w:rFonts w:ascii="宋体" w:hAnsi="Times New Roman" w:cs="宋体"/>
                <w:sz w:val="32"/>
                <w:szCs w:val="32"/>
              </w:rPr>
              <w:t>100</w:t>
            </w:r>
            <w:r>
              <w:rPr>
                <w:rFonts w:hint="eastAsia" w:ascii="宋体" w:hAnsi="Times New Roman" w:cs="宋体"/>
                <w:sz w:val="32"/>
                <w:szCs w:val="32"/>
              </w:rPr>
              <w:t>万元以上专用设备</w:t>
            </w:r>
            <w:r>
              <w:rPr>
                <w:rFonts w:hint="eastAsia" w:ascii="宋体" w:hAnsi="Times New Roman" w:cs="宋体"/>
                <w:sz w:val="32"/>
                <w:szCs w:val="32"/>
                <w:lang w:val="en-US" w:eastAsia="zh-CN"/>
              </w:rPr>
              <w:t>2</w:t>
            </w:r>
            <w:r>
              <w:rPr>
                <w:rFonts w:hint="eastAsia" w:ascii="宋体" w:hAnsi="Times New Roman" w:cs="宋体"/>
                <w:sz w:val="32"/>
                <w:szCs w:val="32"/>
              </w:rPr>
              <w:t>台。</w:t>
            </w:r>
            <w:r>
              <w:rPr>
                <w:rFonts w:ascii="宋体" w:hAnsi="Times New Roman" w:cs="宋体"/>
                <w:sz w:val="32"/>
                <w:szCs w:val="32"/>
              </w:rPr>
              <w:t xml:space="preserve"> </w:t>
            </w:r>
          </w:p>
          <w:p>
            <w:pPr>
              <w:spacing w:line="375" w:lineRule="exact"/>
              <w:ind w:left="20"/>
              <w:rPr>
                <w:rFonts w:ascii="宋体" w:hAnsi="Times New Roman" w:eastAsia="宋体" w:cs="宋体"/>
                <w:sz w:val="32"/>
                <w:szCs w:val="32"/>
              </w:rPr>
            </w:pPr>
            <w:r>
              <w:rPr>
                <w:rFonts w:ascii="宋体" w:hAnsi="Times New Roman" w:cs="宋体"/>
                <w:sz w:val="32"/>
                <w:szCs w:val="32"/>
              </w:rPr>
              <w:t xml:space="preserve">  </w:t>
            </w:r>
            <w:bookmarkStart w:id="0" w:name="_GoBack"/>
            <w:r>
              <w:rPr>
                <w:rFonts w:hint="eastAsia" w:ascii="宋体" w:hAnsi="Times New Roman" w:cs="宋体"/>
                <w:sz w:val="32"/>
                <w:szCs w:val="32"/>
                <w:lang w:val="en-US" w:eastAsia="zh-CN"/>
              </w:rPr>
              <w:t xml:space="preserve"> </w:t>
            </w:r>
            <w:r>
              <w:rPr>
                <w:rFonts w:ascii="宋体" w:hAnsi="Times New Roman" w:cs="宋体"/>
                <w:sz w:val="32"/>
                <w:szCs w:val="32"/>
              </w:rPr>
              <w:t>2025</w:t>
            </w:r>
            <w:r>
              <w:rPr>
                <w:rFonts w:hint="eastAsia" w:ascii="宋体" w:hAnsi="Times New Roman" w:cs="宋体"/>
                <w:sz w:val="32"/>
                <w:szCs w:val="32"/>
              </w:rPr>
              <w:t>年度本单位未计划处置或新增车辆、设备等</w:t>
            </w:r>
            <w:r>
              <w:rPr>
                <w:rFonts w:hint="eastAsia" w:ascii="宋体" w:hAnsi="Times New Roman" w:cs="宋体"/>
                <w:sz w:val="32"/>
                <w:szCs w:val="32"/>
                <w:lang w:eastAsia="zh-CN"/>
              </w:rPr>
              <w:t>。</w:t>
            </w:r>
            <w:bookmarkEnd w:id="0"/>
          </w:p>
        </w:tc>
      </w:tr>
      <w:tr>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Dialog" w:hAnsi="Times New Roman" w:eastAsia="Dialog" w:cs="Dialog"/>
                <w:sz w:val="32"/>
                <w:szCs w:val="32"/>
              </w:rPr>
            </w:pPr>
            <w:r>
              <w:rPr>
                <w:rFonts w:ascii="Dialog" w:hAnsi="Times New Roman" w:eastAsia="Dialog" w:cs="Dialog"/>
                <w:sz w:val="32"/>
                <w:szCs w:val="32"/>
              </w:rPr>
              <w:t xml:space="preserve">  </w:t>
            </w:r>
            <w:r>
              <w:rPr>
                <w:rFonts w:hint="eastAsia" w:ascii="Dialog" w:hAnsi="Times New Roman" w:eastAsia="Dialog" w:cs="Dialog"/>
                <w:sz w:val="32"/>
                <w:szCs w:val="32"/>
              </w:rPr>
              <w:t>（七）预算绩效目标说明</w:t>
            </w:r>
          </w:p>
        </w:tc>
      </w:tr>
      <w:tr>
        <w:tblPrEx>
          <w:tblCellMar>
            <w:top w:w="0" w:type="dxa"/>
            <w:left w:w="0" w:type="dxa"/>
            <w:bottom w:w="0" w:type="dxa"/>
            <w:right w:w="0" w:type="dxa"/>
          </w:tblCellMar>
        </w:tblPrEx>
        <w:trPr>
          <w:trHeight w:val="481"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宋体" w:hAnsi="Times New Roman" w:eastAsia="宋体" w:cs="宋体"/>
                <w:sz w:val="32"/>
                <w:szCs w:val="32"/>
              </w:rPr>
            </w:pPr>
            <w:r>
              <w:rPr>
                <w:rFonts w:ascii="宋体" w:hAnsi="Times New Roman" w:eastAsia="宋体" w:cs="宋体"/>
                <w:sz w:val="32"/>
                <w:szCs w:val="32"/>
              </w:rPr>
              <w:t xml:space="preserve">    </w:t>
            </w:r>
            <w:r>
              <w:rPr>
                <w:rFonts w:hint="eastAsia" w:ascii="宋体" w:hAnsi="Times New Roman" w:eastAsia="宋体" w:cs="宋体"/>
                <w:sz w:val="32"/>
                <w:szCs w:val="32"/>
              </w:rPr>
              <w:t>本单位所有支出实行绩效目标管理。纳入</w:t>
            </w:r>
            <w:r>
              <w:rPr>
                <w:rFonts w:ascii="宋体" w:hAnsi="Times New Roman" w:eastAsia="宋体" w:cs="宋体"/>
                <w:sz w:val="32"/>
                <w:szCs w:val="32"/>
              </w:rPr>
              <w:t>2025</w:t>
            </w:r>
            <w:r>
              <w:rPr>
                <w:rFonts w:hint="eastAsia" w:ascii="宋体" w:hAnsi="Times New Roman" w:eastAsia="宋体" w:cs="宋体"/>
                <w:sz w:val="32"/>
                <w:szCs w:val="32"/>
              </w:rPr>
              <w:t>年单位整体支出绩效目标的金额为</w:t>
            </w:r>
            <w:r>
              <w:rPr>
                <w:rFonts w:ascii="宋体" w:hAnsi="Times New Roman" w:eastAsia="宋体" w:cs="宋体"/>
                <w:sz w:val="32"/>
                <w:szCs w:val="32"/>
              </w:rPr>
              <w:t>856.31</w:t>
            </w:r>
            <w:r>
              <w:rPr>
                <w:rFonts w:hint="eastAsia" w:ascii="宋体" w:hAnsi="Times New Roman" w:eastAsia="宋体" w:cs="宋体"/>
                <w:sz w:val="32"/>
                <w:szCs w:val="32"/>
              </w:rPr>
              <w:t>万元，其中，基本支出</w:t>
            </w:r>
            <w:r>
              <w:rPr>
                <w:rFonts w:ascii="宋体" w:hAnsi="Times New Roman" w:eastAsia="宋体" w:cs="宋体"/>
                <w:sz w:val="32"/>
                <w:szCs w:val="32"/>
              </w:rPr>
              <w:t>815.93</w:t>
            </w:r>
            <w:r>
              <w:rPr>
                <w:rFonts w:hint="eastAsia" w:ascii="宋体" w:hAnsi="Times New Roman" w:eastAsia="宋体" w:cs="宋体"/>
                <w:sz w:val="32"/>
                <w:szCs w:val="32"/>
              </w:rPr>
              <w:t>万元，项目支出</w:t>
            </w:r>
            <w:r>
              <w:rPr>
                <w:rFonts w:ascii="宋体" w:hAnsi="Times New Roman" w:eastAsia="宋体" w:cs="宋体"/>
                <w:sz w:val="32"/>
                <w:szCs w:val="32"/>
              </w:rPr>
              <w:t>40.38</w:t>
            </w:r>
            <w:r>
              <w:rPr>
                <w:rFonts w:hint="eastAsia" w:ascii="宋体" w:hAnsi="Times New Roman" w:eastAsia="宋体" w:cs="宋体"/>
                <w:sz w:val="32"/>
                <w:szCs w:val="32"/>
              </w:rPr>
              <w:t>万元，详见文尾附表中单位预算公开表格的表</w:t>
            </w:r>
            <w:r>
              <w:rPr>
                <w:rFonts w:ascii="宋体" w:hAnsi="Times New Roman" w:eastAsia="宋体" w:cs="宋体"/>
                <w:sz w:val="32"/>
                <w:szCs w:val="32"/>
              </w:rPr>
              <w:t>21-22</w:t>
            </w:r>
            <w:r>
              <w:rPr>
                <w:rFonts w:hint="eastAsia" w:ascii="宋体" w:hAnsi="Times New Roman" w:eastAsia="宋体" w:cs="宋体"/>
                <w:sz w:val="32"/>
                <w:szCs w:val="32"/>
              </w:rPr>
              <w:t>。</w:t>
            </w:r>
          </w:p>
        </w:tc>
      </w:tr>
      <w:tr>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Dialog" w:hAnsi="Times New Roman" w:eastAsia="Dialog" w:cs="Dialog"/>
                <w:sz w:val="32"/>
                <w:szCs w:val="32"/>
              </w:rPr>
            </w:pPr>
            <w:r>
              <w:rPr>
                <w:rFonts w:ascii="Dialog" w:hAnsi="Times New Roman" w:eastAsia="Dialog" w:cs="Dialog"/>
                <w:sz w:val="32"/>
                <w:szCs w:val="32"/>
              </w:rPr>
              <w:t xml:space="preserve">  </w:t>
            </w:r>
            <w:r>
              <w:rPr>
                <w:rFonts w:hint="eastAsia" w:ascii="Dialog" w:hAnsi="Times New Roman" w:eastAsia="Dialog" w:cs="Dialog"/>
                <w:sz w:val="32"/>
                <w:szCs w:val="32"/>
              </w:rPr>
              <w:t>七、名词解释</w:t>
            </w:r>
          </w:p>
        </w:tc>
      </w:tr>
      <w:tr>
        <w:tblPrEx>
          <w:tblCellMar>
            <w:top w:w="0" w:type="dxa"/>
            <w:left w:w="0" w:type="dxa"/>
            <w:bottom w:w="0" w:type="dxa"/>
            <w:right w:w="0" w:type="dxa"/>
          </w:tblCellMar>
        </w:tblPrEx>
        <w:trPr>
          <w:trHeight w:val="1105"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宋体" w:hAnsi="Times New Roman" w:eastAsia="宋体" w:cs="宋体"/>
                <w:sz w:val="32"/>
                <w:szCs w:val="32"/>
              </w:rPr>
            </w:pPr>
            <w:r>
              <w:rPr>
                <w:rFonts w:ascii="宋体" w:hAnsi="Times New Roman" w:eastAsia="宋体" w:cs="宋体"/>
                <w:sz w:val="32"/>
                <w:szCs w:val="32"/>
              </w:rPr>
              <w:t xml:space="preserve">  1</w:t>
            </w:r>
            <w:r>
              <w:rPr>
                <w:rFonts w:hint="eastAsia" w:ascii="宋体" w:hAnsi="Times New Roman" w:eastAsia="宋体" w:cs="宋体"/>
                <w:sz w:val="32"/>
                <w:szCs w:val="32"/>
              </w:rPr>
              <w:t>、机关运行经费：是指各单位的公用经费，包括办公及印刷费、邮电费、差旅费、会议费、福利费、日常维修费、专用资料及一般设备购置费、办公用房水电费、办公用房取暖费、办公用房物业管理费、公务用车运行维护费以及其他费用。</w:t>
            </w:r>
          </w:p>
        </w:tc>
      </w:tr>
      <w:tr>
        <w:tblPrEx>
          <w:tblCellMar>
            <w:top w:w="0" w:type="dxa"/>
            <w:left w:w="0" w:type="dxa"/>
            <w:bottom w:w="0" w:type="dxa"/>
            <w:right w:w="0" w:type="dxa"/>
          </w:tblCellMar>
        </w:tblPrEx>
        <w:trPr>
          <w:trHeight w:val="1105"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宋体" w:hAnsi="Times New Roman" w:eastAsia="宋体" w:cs="宋体"/>
                <w:sz w:val="32"/>
                <w:szCs w:val="32"/>
              </w:rPr>
            </w:pPr>
            <w:r>
              <w:rPr>
                <w:rFonts w:ascii="宋体" w:hAnsi="Times New Roman" w:eastAsia="宋体" w:cs="宋体"/>
                <w:sz w:val="32"/>
                <w:szCs w:val="32"/>
              </w:rPr>
              <w:t xml:space="preserve">  2</w:t>
            </w:r>
            <w:r>
              <w:rPr>
                <w:rFonts w:hint="eastAsia" w:ascii="宋体" w:hAnsi="Times New Roman" w:eastAsia="宋体" w:cs="宋体"/>
                <w:sz w:val="32"/>
                <w:szCs w:val="32"/>
              </w:rPr>
              <w:t>、“三公”经费：纳入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tc>
      </w:tr>
      <w:tr>
        <w:tblPrEx>
          <w:tblCellMar>
            <w:top w:w="0" w:type="dxa"/>
            <w:left w:w="0" w:type="dxa"/>
            <w:bottom w:w="0" w:type="dxa"/>
            <w:right w:w="0" w:type="dxa"/>
          </w:tblCellMar>
        </w:tblPrEx>
        <w:trPr>
          <w:trHeight w:val="182" w:hRule="atLeast"/>
        </w:trPr>
        <w:tc>
          <w:tcPr>
            <w:tcW w:w="15219" w:type="dxa"/>
            <w:tcBorders>
              <w:top w:val="single" w:color="FFFFFF" w:sz="8" w:space="0"/>
              <w:left w:val="single" w:color="FFFFFF" w:sz="8" w:space="0"/>
              <w:bottom w:val="single" w:color="FFFFFF" w:sz="8" w:space="0"/>
              <w:right w:val="single" w:color="FFFFFF" w:sz="8" w:space="0"/>
            </w:tcBorders>
            <w:shd w:val="clear" w:color="auto" w:fill="FFFFFF"/>
            <w:vAlign w:val="center"/>
          </w:tcPr>
          <w:p>
            <w:pPr>
              <w:rPr>
                <w:rFonts w:ascii="Times New Roman" w:hAnsi="Times New Roman" w:cs="Times New Roman"/>
                <w:color w:val="auto"/>
              </w:rPr>
            </w:pPr>
          </w:p>
        </w:tc>
      </w:tr>
      <w:tr>
        <w:tblPrEx>
          <w:tblCellMar>
            <w:top w:w="0" w:type="dxa"/>
            <w:left w:w="0" w:type="dxa"/>
            <w:bottom w:w="0" w:type="dxa"/>
            <w:right w:w="0" w:type="dxa"/>
          </w:tblCellMar>
        </w:tblPrEx>
        <w:trPr>
          <w:trHeight w:val="182" w:hRule="atLeast"/>
        </w:trPr>
        <w:tc>
          <w:tcPr>
            <w:tcW w:w="15219" w:type="dxa"/>
            <w:tcBorders>
              <w:top w:val="single" w:color="FFFFFF" w:sz="8" w:space="0"/>
              <w:left w:val="single" w:color="FFFFFF" w:sz="8" w:space="0"/>
              <w:bottom w:val="single" w:color="FFFFFF" w:sz="8" w:space="0"/>
              <w:right w:val="single" w:color="FFFFFF" w:sz="8" w:space="0"/>
            </w:tcBorders>
            <w:shd w:val="clear" w:color="auto" w:fill="FFFFFF"/>
            <w:vAlign w:val="center"/>
          </w:tcPr>
          <w:p>
            <w:pPr>
              <w:rPr>
                <w:rFonts w:ascii="Times New Roman" w:hAnsi="Times New Roman" w:cs="Times New Roman"/>
                <w:color w:val="auto"/>
              </w:rPr>
            </w:pPr>
          </w:p>
        </w:tc>
      </w:tr>
      <w:tr>
        <w:tblPrEx>
          <w:tblCellMar>
            <w:top w:w="0" w:type="dxa"/>
            <w:left w:w="0" w:type="dxa"/>
            <w:bottom w:w="0" w:type="dxa"/>
            <w:right w:w="0" w:type="dxa"/>
          </w:tblCellMar>
        </w:tblPrEx>
        <w:trPr>
          <w:trHeight w:val="182" w:hRule="atLeast"/>
        </w:trPr>
        <w:tc>
          <w:tcPr>
            <w:tcW w:w="15219" w:type="dxa"/>
            <w:tcBorders>
              <w:top w:val="single" w:color="FFFFFF" w:sz="8" w:space="0"/>
              <w:left w:val="single" w:color="FFFFFF" w:sz="8" w:space="0"/>
              <w:bottom w:val="single" w:color="FFFFFF" w:sz="8" w:space="0"/>
              <w:right w:val="single" w:color="FFFFFF" w:sz="8" w:space="0"/>
            </w:tcBorders>
            <w:shd w:val="clear" w:color="auto" w:fill="FFFFFF"/>
            <w:vAlign w:val="center"/>
          </w:tcPr>
          <w:p>
            <w:pPr>
              <w:rPr>
                <w:rFonts w:ascii="Times New Roman" w:hAnsi="Times New Roman" w:cs="Times New Roman"/>
                <w:color w:val="auto"/>
              </w:rPr>
            </w:pPr>
          </w:p>
        </w:tc>
      </w:tr>
      <w:tr>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jc w:val="center"/>
              <w:rPr>
                <w:rFonts w:ascii="Dialog" w:hAnsi="Times New Roman" w:eastAsia="Dialog" w:cs="Dialog"/>
                <w:sz w:val="32"/>
                <w:szCs w:val="32"/>
              </w:rPr>
            </w:pPr>
            <w:r>
              <w:rPr>
                <w:rFonts w:hint="eastAsia" w:ascii="Dialog" w:hAnsi="Times New Roman" w:eastAsia="Dialog" w:cs="Dialog"/>
                <w:sz w:val="32"/>
                <w:szCs w:val="32"/>
              </w:rPr>
              <w:t>第二部分</w:t>
            </w:r>
            <w:r>
              <w:rPr>
                <w:rFonts w:ascii="Dialog" w:hAnsi="Times New Roman" w:eastAsia="Dialog" w:cs="Dialog"/>
                <w:sz w:val="32"/>
                <w:szCs w:val="32"/>
              </w:rPr>
              <w:t xml:space="preserve">  2025</w:t>
            </w:r>
            <w:r>
              <w:rPr>
                <w:rFonts w:hint="eastAsia" w:ascii="Dialog" w:hAnsi="Times New Roman" w:eastAsia="Dialog" w:cs="Dialog"/>
                <w:sz w:val="32"/>
                <w:szCs w:val="32"/>
              </w:rPr>
              <w:t>年单位预算公开表格</w:t>
            </w:r>
          </w:p>
        </w:tc>
      </w:tr>
      <w:tr>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宋体" w:hAnsi="Times New Roman" w:eastAsia="宋体" w:cs="宋体"/>
                <w:sz w:val="32"/>
                <w:szCs w:val="32"/>
              </w:rPr>
            </w:pPr>
            <w:r>
              <w:rPr>
                <w:rFonts w:ascii="宋体" w:hAnsi="Times New Roman" w:eastAsia="宋体" w:cs="宋体"/>
                <w:sz w:val="32"/>
                <w:szCs w:val="32"/>
              </w:rPr>
              <w:t>1</w:t>
            </w:r>
            <w:r>
              <w:rPr>
                <w:rFonts w:hint="eastAsia" w:ascii="宋体" w:hAnsi="Times New Roman" w:eastAsia="宋体" w:cs="宋体"/>
                <w:sz w:val="32"/>
                <w:szCs w:val="32"/>
              </w:rPr>
              <w:t>、收支总表</w:t>
            </w:r>
          </w:p>
        </w:tc>
      </w:tr>
      <w:tr>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宋体" w:hAnsi="Times New Roman" w:eastAsia="宋体" w:cs="宋体"/>
                <w:sz w:val="32"/>
                <w:szCs w:val="32"/>
              </w:rPr>
            </w:pPr>
            <w:r>
              <w:rPr>
                <w:rFonts w:ascii="宋体" w:hAnsi="Times New Roman" w:eastAsia="宋体" w:cs="宋体"/>
                <w:sz w:val="32"/>
                <w:szCs w:val="32"/>
              </w:rPr>
              <w:t>2</w:t>
            </w:r>
            <w:r>
              <w:rPr>
                <w:rFonts w:hint="eastAsia" w:ascii="宋体" w:hAnsi="Times New Roman" w:eastAsia="宋体" w:cs="宋体"/>
                <w:sz w:val="32"/>
                <w:szCs w:val="32"/>
              </w:rPr>
              <w:t>、收入总表</w:t>
            </w:r>
          </w:p>
        </w:tc>
      </w:tr>
      <w:tr>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宋体" w:hAnsi="Times New Roman" w:eastAsia="宋体" w:cs="宋体"/>
                <w:sz w:val="32"/>
                <w:szCs w:val="32"/>
              </w:rPr>
            </w:pPr>
            <w:r>
              <w:rPr>
                <w:rFonts w:ascii="宋体" w:hAnsi="Times New Roman" w:eastAsia="宋体" w:cs="宋体"/>
                <w:sz w:val="32"/>
                <w:szCs w:val="32"/>
              </w:rPr>
              <w:t>3</w:t>
            </w:r>
            <w:r>
              <w:rPr>
                <w:rFonts w:hint="eastAsia" w:ascii="宋体" w:hAnsi="Times New Roman" w:eastAsia="宋体" w:cs="宋体"/>
                <w:sz w:val="32"/>
                <w:szCs w:val="32"/>
              </w:rPr>
              <w:t>、支出总表</w:t>
            </w:r>
          </w:p>
        </w:tc>
      </w:tr>
      <w:tr>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宋体" w:hAnsi="Times New Roman" w:eastAsia="宋体" w:cs="宋体"/>
                <w:sz w:val="32"/>
                <w:szCs w:val="32"/>
              </w:rPr>
            </w:pPr>
            <w:r>
              <w:rPr>
                <w:rFonts w:ascii="宋体" w:hAnsi="Times New Roman" w:eastAsia="宋体" w:cs="宋体"/>
                <w:sz w:val="32"/>
                <w:szCs w:val="32"/>
              </w:rPr>
              <w:t>4</w:t>
            </w:r>
            <w:r>
              <w:rPr>
                <w:rFonts w:hint="eastAsia" w:ascii="宋体" w:hAnsi="Times New Roman" w:eastAsia="宋体" w:cs="宋体"/>
                <w:sz w:val="32"/>
                <w:szCs w:val="32"/>
              </w:rPr>
              <w:t>、支出预算分类汇总表（按政府预算经济分类）</w:t>
            </w:r>
          </w:p>
        </w:tc>
      </w:tr>
      <w:tr>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宋体" w:hAnsi="Times New Roman" w:eastAsia="宋体" w:cs="宋体"/>
                <w:sz w:val="32"/>
                <w:szCs w:val="32"/>
              </w:rPr>
            </w:pPr>
            <w:r>
              <w:rPr>
                <w:rFonts w:ascii="宋体" w:hAnsi="Times New Roman" w:eastAsia="宋体" w:cs="宋体"/>
                <w:sz w:val="32"/>
                <w:szCs w:val="32"/>
              </w:rPr>
              <w:t>5</w:t>
            </w:r>
            <w:r>
              <w:rPr>
                <w:rFonts w:hint="eastAsia" w:ascii="宋体" w:hAnsi="Times New Roman" w:eastAsia="宋体" w:cs="宋体"/>
                <w:sz w:val="32"/>
                <w:szCs w:val="32"/>
              </w:rPr>
              <w:t>、支出预算分类汇总表（按部门预算经济分类）</w:t>
            </w:r>
          </w:p>
        </w:tc>
      </w:tr>
      <w:tr>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宋体" w:hAnsi="Times New Roman" w:eastAsia="宋体" w:cs="宋体"/>
                <w:sz w:val="32"/>
                <w:szCs w:val="32"/>
              </w:rPr>
            </w:pPr>
            <w:r>
              <w:rPr>
                <w:rFonts w:ascii="宋体" w:hAnsi="Times New Roman" w:eastAsia="宋体" w:cs="宋体"/>
                <w:sz w:val="32"/>
                <w:szCs w:val="32"/>
              </w:rPr>
              <w:t>6</w:t>
            </w:r>
            <w:r>
              <w:rPr>
                <w:rFonts w:hint="eastAsia" w:ascii="宋体" w:hAnsi="Times New Roman" w:eastAsia="宋体" w:cs="宋体"/>
                <w:sz w:val="32"/>
                <w:szCs w:val="32"/>
              </w:rPr>
              <w:t>、财政拨款收支总表</w:t>
            </w:r>
          </w:p>
        </w:tc>
      </w:tr>
      <w:tr>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宋体" w:hAnsi="Times New Roman" w:eastAsia="宋体" w:cs="宋体"/>
                <w:sz w:val="32"/>
                <w:szCs w:val="32"/>
              </w:rPr>
            </w:pPr>
            <w:r>
              <w:rPr>
                <w:rFonts w:ascii="宋体" w:hAnsi="Times New Roman" w:eastAsia="宋体" w:cs="宋体"/>
                <w:sz w:val="32"/>
                <w:szCs w:val="32"/>
              </w:rPr>
              <w:t>7</w:t>
            </w:r>
            <w:r>
              <w:rPr>
                <w:rFonts w:hint="eastAsia" w:ascii="宋体" w:hAnsi="Times New Roman" w:eastAsia="宋体" w:cs="宋体"/>
                <w:sz w:val="32"/>
                <w:szCs w:val="32"/>
              </w:rPr>
              <w:t>、一般公共预算支出表</w:t>
            </w:r>
          </w:p>
        </w:tc>
      </w:tr>
      <w:tr>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宋体" w:hAnsi="Times New Roman" w:eastAsia="宋体" w:cs="宋体"/>
                <w:sz w:val="32"/>
                <w:szCs w:val="32"/>
              </w:rPr>
            </w:pPr>
            <w:r>
              <w:rPr>
                <w:rFonts w:ascii="宋体" w:hAnsi="Times New Roman" w:eastAsia="宋体" w:cs="宋体"/>
                <w:sz w:val="32"/>
                <w:szCs w:val="32"/>
              </w:rPr>
              <w:t>8</w:t>
            </w:r>
            <w:r>
              <w:rPr>
                <w:rFonts w:hint="eastAsia" w:ascii="宋体" w:hAnsi="Times New Roman" w:eastAsia="宋体" w:cs="宋体"/>
                <w:sz w:val="32"/>
                <w:szCs w:val="32"/>
              </w:rPr>
              <w:t>、一般公共预算基本支出表</w:t>
            </w:r>
            <w:r>
              <w:rPr>
                <w:rFonts w:ascii="宋体" w:hAnsi="Times New Roman" w:eastAsia="宋体" w:cs="宋体"/>
                <w:sz w:val="32"/>
                <w:szCs w:val="32"/>
              </w:rPr>
              <w:t>-</w:t>
            </w:r>
            <w:r>
              <w:rPr>
                <w:rFonts w:hint="eastAsia" w:ascii="宋体" w:hAnsi="Times New Roman" w:eastAsia="宋体" w:cs="宋体"/>
                <w:sz w:val="32"/>
                <w:szCs w:val="32"/>
              </w:rPr>
              <w:t>人员经费（工资福利支出）（按政府预算经济分类）</w:t>
            </w:r>
          </w:p>
        </w:tc>
      </w:tr>
      <w:tr>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宋体" w:hAnsi="Times New Roman" w:eastAsia="宋体" w:cs="宋体"/>
                <w:sz w:val="32"/>
                <w:szCs w:val="32"/>
              </w:rPr>
            </w:pPr>
            <w:r>
              <w:rPr>
                <w:rFonts w:ascii="宋体" w:hAnsi="Times New Roman" w:eastAsia="宋体" w:cs="宋体"/>
                <w:sz w:val="32"/>
                <w:szCs w:val="32"/>
              </w:rPr>
              <w:t>9</w:t>
            </w:r>
            <w:r>
              <w:rPr>
                <w:rFonts w:hint="eastAsia" w:ascii="宋体" w:hAnsi="Times New Roman" w:eastAsia="宋体" w:cs="宋体"/>
                <w:sz w:val="32"/>
                <w:szCs w:val="32"/>
              </w:rPr>
              <w:t>、一般公共预算基本支出表</w:t>
            </w:r>
            <w:r>
              <w:rPr>
                <w:rFonts w:ascii="宋体" w:hAnsi="Times New Roman" w:eastAsia="宋体" w:cs="宋体"/>
                <w:sz w:val="32"/>
                <w:szCs w:val="32"/>
              </w:rPr>
              <w:t>-</w:t>
            </w:r>
            <w:r>
              <w:rPr>
                <w:rFonts w:hint="eastAsia" w:ascii="宋体" w:hAnsi="Times New Roman" w:eastAsia="宋体" w:cs="宋体"/>
                <w:sz w:val="32"/>
                <w:szCs w:val="32"/>
              </w:rPr>
              <w:t>人员经费（工资福利支出）（按部门预算经济分类）</w:t>
            </w:r>
          </w:p>
        </w:tc>
      </w:tr>
      <w:tr>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宋体" w:hAnsi="Times New Roman" w:eastAsia="宋体" w:cs="宋体"/>
                <w:sz w:val="32"/>
                <w:szCs w:val="32"/>
              </w:rPr>
            </w:pPr>
            <w:r>
              <w:rPr>
                <w:rFonts w:ascii="宋体" w:hAnsi="Times New Roman" w:eastAsia="宋体" w:cs="宋体"/>
                <w:sz w:val="32"/>
                <w:szCs w:val="32"/>
              </w:rPr>
              <w:t>10</w:t>
            </w:r>
            <w:r>
              <w:rPr>
                <w:rFonts w:hint="eastAsia" w:ascii="宋体" w:hAnsi="Times New Roman" w:eastAsia="宋体" w:cs="宋体"/>
                <w:sz w:val="32"/>
                <w:szCs w:val="32"/>
              </w:rPr>
              <w:t>、一般公共预算基本支出表</w:t>
            </w:r>
            <w:r>
              <w:rPr>
                <w:rFonts w:ascii="宋体" w:hAnsi="Times New Roman" w:eastAsia="宋体" w:cs="宋体"/>
                <w:sz w:val="32"/>
                <w:szCs w:val="32"/>
              </w:rPr>
              <w:t>-</w:t>
            </w:r>
            <w:r>
              <w:rPr>
                <w:rFonts w:hint="eastAsia" w:ascii="宋体" w:hAnsi="Times New Roman" w:eastAsia="宋体" w:cs="宋体"/>
                <w:sz w:val="32"/>
                <w:szCs w:val="32"/>
              </w:rPr>
              <w:t>人员经费（对个人和家庭的补助）（按政府预算经济分类）</w:t>
            </w:r>
          </w:p>
        </w:tc>
      </w:tr>
      <w:tr>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宋体" w:hAnsi="Times New Roman" w:eastAsia="宋体" w:cs="宋体"/>
                <w:sz w:val="32"/>
                <w:szCs w:val="32"/>
              </w:rPr>
            </w:pPr>
            <w:r>
              <w:rPr>
                <w:rFonts w:ascii="宋体" w:hAnsi="Times New Roman" w:eastAsia="宋体" w:cs="宋体"/>
                <w:sz w:val="32"/>
                <w:szCs w:val="32"/>
              </w:rPr>
              <w:t>11</w:t>
            </w:r>
            <w:r>
              <w:rPr>
                <w:rFonts w:hint="eastAsia" w:ascii="宋体" w:hAnsi="Times New Roman" w:eastAsia="宋体" w:cs="宋体"/>
                <w:sz w:val="32"/>
                <w:szCs w:val="32"/>
              </w:rPr>
              <w:t>、一般公共预算基本支出表</w:t>
            </w:r>
            <w:r>
              <w:rPr>
                <w:rFonts w:ascii="宋体" w:hAnsi="Times New Roman" w:eastAsia="宋体" w:cs="宋体"/>
                <w:sz w:val="32"/>
                <w:szCs w:val="32"/>
              </w:rPr>
              <w:t>-</w:t>
            </w:r>
            <w:r>
              <w:rPr>
                <w:rFonts w:hint="eastAsia" w:ascii="宋体" w:hAnsi="Times New Roman" w:eastAsia="宋体" w:cs="宋体"/>
                <w:sz w:val="32"/>
                <w:szCs w:val="32"/>
              </w:rPr>
              <w:t>人员经费（对个人和家庭的补助）（按部门预算经济分类）</w:t>
            </w:r>
          </w:p>
        </w:tc>
      </w:tr>
      <w:tr>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宋体" w:hAnsi="Times New Roman" w:eastAsia="宋体" w:cs="宋体"/>
                <w:sz w:val="32"/>
                <w:szCs w:val="32"/>
              </w:rPr>
            </w:pPr>
            <w:r>
              <w:rPr>
                <w:rFonts w:ascii="宋体" w:hAnsi="Times New Roman" w:eastAsia="宋体" w:cs="宋体"/>
                <w:sz w:val="32"/>
                <w:szCs w:val="32"/>
              </w:rPr>
              <w:t>12</w:t>
            </w:r>
            <w:r>
              <w:rPr>
                <w:rFonts w:hint="eastAsia" w:ascii="宋体" w:hAnsi="Times New Roman" w:eastAsia="宋体" w:cs="宋体"/>
                <w:sz w:val="32"/>
                <w:szCs w:val="32"/>
              </w:rPr>
              <w:t>、一般公共预算基本支出表</w:t>
            </w:r>
            <w:r>
              <w:rPr>
                <w:rFonts w:ascii="宋体" w:hAnsi="Times New Roman" w:eastAsia="宋体" w:cs="宋体"/>
                <w:sz w:val="32"/>
                <w:szCs w:val="32"/>
              </w:rPr>
              <w:t>-</w:t>
            </w:r>
            <w:r>
              <w:rPr>
                <w:rFonts w:hint="eastAsia" w:ascii="宋体" w:hAnsi="Times New Roman" w:eastAsia="宋体" w:cs="宋体"/>
                <w:sz w:val="32"/>
                <w:szCs w:val="32"/>
              </w:rPr>
              <w:t>公用经费（商品和服务支出）（按政府预算经济分类）</w:t>
            </w:r>
          </w:p>
        </w:tc>
      </w:tr>
      <w:tr>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宋体" w:hAnsi="Times New Roman" w:eastAsia="宋体" w:cs="宋体"/>
                <w:sz w:val="32"/>
                <w:szCs w:val="32"/>
              </w:rPr>
            </w:pPr>
            <w:r>
              <w:rPr>
                <w:rFonts w:ascii="宋体" w:hAnsi="Times New Roman" w:eastAsia="宋体" w:cs="宋体"/>
                <w:sz w:val="32"/>
                <w:szCs w:val="32"/>
              </w:rPr>
              <w:t>13</w:t>
            </w:r>
            <w:r>
              <w:rPr>
                <w:rFonts w:hint="eastAsia" w:ascii="宋体" w:hAnsi="Times New Roman" w:eastAsia="宋体" w:cs="宋体"/>
                <w:sz w:val="32"/>
                <w:szCs w:val="32"/>
              </w:rPr>
              <w:t>、一般公共预算基本支出表</w:t>
            </w:r>
            <w:r>
              <w:rPr>
                <w:rFonts w:ascii="宋体" w:hAnsi="Times New Roman" w:eastAsia="宋体" w:cs="宋体"/>
                <w:sz w:val="32"/>
                <w:szCs w:val="32"/>
              </w:rPr>
              <w:t>-</w:t>
            </w:r>
            <w:r>
              <w:rPr>
                <w:rFonts w:hint="eastAsia" w:ascii="宋体" w:hAnsi="Times New Roman" w:eastAsia="宋体" w:cs="宋体"/>
                <w:sz w:val="32"/>
                <w:szCs w:val="32"/>
              </w:rPr>
              <w:t>公用经费（商品和服务支出）（按部门预算经济分类）</w:t>
            </w:r>
          </w:p>
        </w:tc>
      </w:tr>
      <w:tr>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宋体" w:hAnsi="Times New Roman" w:eastAsia="宋体" w:cs="宋体"/>
                <w:sz w:val="32"/>
                <w:szCs w:val="32"/>
              </w:rPr>
            </w:pPr>
            <w:r>
              <w:rPr>
                <w:rFonts w:ascii="宋体" w:hAnsi="Times New Roman" w:eastAsia="宋体" w:cs="宋体"/>
                <w:sz w:val="32"/>
                <w:szCs w:val="32"/>
              </w:rPr>
              <w:t>14</w:t>
            </w:r>
            <w:r>
              <w:rPr>
                <w:rFonts w:hint="eastAsia" w:ascii="宋体" w:hAnsi="Times New Roman" w:eastAsia="宋体" w:cs="宋体"/>
                <w:sz w:val="32"/>
                <w:szCs w:val="32"/>
              </w:rPr>
              <w:t>、一般公共预算“三公”经费支出表</w:t>
            </w:r>
          </w:p>
        </w:tc>
      </w:tr>
      <w:tr>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宋体" w:hAnsi="Times New Roman" w:eastAsia="宋体" w:cs="宋体"/>
                <w:sz w:val="32"/>
                <w:szCs w:val="32"/>
              </w:rPr>
            </w:pPr>
            <w:r>
              <w:rPr>
                <w:rFonts w:ascii="宋体" w:hAnsi="Times New Roman" w:eastAsia="宋体" w:cs="宋体"/>
                <w:sz w:val="32"/>
                <w:szCs w:val="32"/>
              </w:rPr>
              <w:t>15</w:t>
            </w:r>
            <w:r>
              <w:rPr>
                <w:rFonts w:hint="eastAsia" w:ascii="宋体" w:hAnsi="Times New Roman" w:eastAsia="宋体" w:cs="宋体"/>
                <w:sz w:val="32"/>
                <w:szCs w:val="32"/>
              </w:rPr>
              <w:t>、政府性基金预算支出表</w:t>
            </w:r>
          </w:p>
        </w:tc>
      </w:tr>
      <w:tr>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宋体" w:hAnsi="Times New Roman" w:eastAsia="宋体" w:cs="宋体"/>
                <w:sz w:val="32"/>
                <w:szCs w:val="32"/>
              </w:rPr>
            </w:pPr>
            <w:r>
              <w:rPr>
                <w:rFonts w:ascii="宋体" w:hAnsi="Times New Roman" w:eastAsia="宋体" w:cs="宋体"/>
                <w:sz w:val="32"/>
                <w:szCs w:val="32"/>
              </w:rPr>
              <w:t>16</w:t>
            </w:r>
            <w:r>
              <w:rPr>
                <w:rFonts w:hint="eastAsia" w:ascii="宋体" w:hAnsi="Times New Roman" w:eastAsia="宋体" w:cs="宋体"/>
                <w:sz w:val="32"/>
                <w:szCs w:val="32"/>
              </w:rPr>
              <w:t>、政府性基金预算支出分类汇总表（按政府预算经济分类）</w:t>
            </w:r>
          </w:p>
        </w:tc>
      </w:tr>
      <w:tr>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宋体" w:hAnsi="Times New Roman" w:eastAsia="宋体" w:cs="宋体"/>
                <w:sz w:val="32"/>
                <w:szCs w:val="32"/>
              </w:rPr>
            </w:pPr>
            <w:r>
              <w:rPr>
                <w:rFonts w:ascii="宋体" w:hAnsi="Times New Roman" w:eastAsia="宋体" w:cs="宋体"/>
                <w:sz w:val="32"/>
                <w:szCs w:val="32"/>
              </w:rPr>
              <w:t>17</w:t>
            </w:r>
            <w:r>
              <w:rPr>
                <w:rFonts w:hint="eastAsia" w:ascii="宋体" w:hAnsi="Times New Roman" w:eastAsia="宋体" w:cs="宋体"/>
                <w:sz w:val="32"/>
                <w:szCs w:val="32"/>
              </w:rPr>
              <w:t>、政府性基金预算支出分类汇总表（按部门预算经济分类）</w:t>
            </w:r>
          </w:p>
        </w:tc>
      </w:tr>
      <w:tr>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宋体" w:hAnsi="Times New Roman" w:eastAsia="宋体" w:cs="宋体"/>
                <w:sz w:val="32"/>
                <w:szCs w:val="32"/>
              </w:rPr>
            </w:pPr>
            <w:r>
              <w:rPr>
                <w:rFonts w:ascii="宋体" w:hAnsi="Times New Roman" w:eastAsia="宋体" w:cs="宋体"/>
                <w:sz w:val="32"/>
                <w:szCs w:val="32"/>
              </w:rPr>
              <w:t>18</w:t>
            </w:r>
            <w:r>
              <w:rPr>
                <w:rFonts w:hint="eastAsia" w:ascii="宋体" w:hAnsi="Times New Roman" w:eastAsia="宋体" w:cs="宋体"/>
                <w:sz w:val="32"/>
                <w:szCs w:val="32"/>
              </w:rPr>
              <w:t>、国有资本经营预算支出表</w:t>
            </w:r>
          </w:p>
        </w:tc>
      </w:tr>
      <w:tr>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宋体" w:hAnsi="Times New Roman" w:eastAsia="宋体" w:cs="宋体"/>
                <w:sz w:val="32"/>
                <w:szCs w:val="32"/>
              </w:rPr>
            </w:pPr>
            <w:r>
              <w:rPr>
                <w:rFonts w:ascii="宋体" w:hAnsi="Times New Roman" w:eastAsia="宋体" w:cs="宋体"/>
                <w:sz w:val="32"/>
                <w:szCs w:val="32"/>
              </w:rPr>
              <w:t>19</w:t>
            </w:r>
            <w:r>
              <w:rPr>
                <w:rFonts w:hint="eastAsia" w:ascii="宋体" w:hAnsi="Times New Roman" w:eastAsia="宋体" w:cs="宋体"/>
                <w:sz w:val="32"/>
                <w:szCs w:val="32"/>
              </w:rPr>
              <w:t>、财政专户管理资金预算支出表</w:t>
            </w:r>
          </w:p>
        </w:tc>
      </w:tr>
      <w:tr>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宋体" w:hAnsi="Times New Roman" w:eastAsia="宋体" w:cs="宋体"/>
                <w:sz w:val="32"/>
                <w:szCs w:val="32"/>
              </w:rPr>
            </w:pPr>
            <w:r>
              <w:rPr>
                <w:rFonts w:ascii="宋体" w:hAnsi="Times New Roman" w:eastAsia="宋体" w:cs="宋体"/>
                <w:sz w:val="32"/>
                <w:szCs w:val="32"/>
              </w:rPr>
              <w:t>20</w:t>
            </w:r>
            <w:r>
              <w:rPr>
                <w:rFonts w:hint="eastAsia" w:ascii="宋体" w:hAnsi="Times New Roman" w:eastAsia="宋体" w:cs="宋体"/>
                <w:sz w:val="32"/>
                <w:szCs w:val="32"/>
              </w:rPr>
              <w:t>、专项资金预算汇总表</w:t>
            </w:r>
          </w:p>
        </w:tc>
      </w:tr>
      <w:tr>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宋体" w:hAnsi="Times New Roman" w:eastAsia="宋体" w:cs="宋体"/>
                <w:sz w:val="32"/>
                <w:szCs w:val="32"/>
              </w:rPr>
            </w:pPr>
            <w:r>
              <w:rPr>
                <w:rFonts w:ascii="宋体" w:hAnsi="Times New Roman" w:eastAsia="宋体" w:cs="宋体"/>
                <w:sz w:val="32"/>
                <w:szCs w:val="32"/>
              </w:rPr>
              <w:t>21</w:t>
            </w:r>
            <w:r>
              <w:rPr>
                <w:rFonts w:hint="eastAsia" w:ascii="宋体" w:hAnsi="Times New Roman" w:eastAsia="宋体" w:cs="宋体"/>
                <w:sz w:val="32"/>
                <w:szCs w:val="32"/>
              </w:rPr>
              <w:t>、项目支出绩效目标表</w:t>
            </w:r>
          </w:p>
        </w:tc>
      </w:tr>
      <w:tr>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宋体" w:hAnsi="Times New Roman" w:eastAsia="宋体" w:cs="宋体"/>
                <w:sz w:val="32"/>
                <w:szCs w:val="32"/>
              </w:rPr>
            </w:pPr>
            <w:r>
              <w:rPr>
                <w:rFonts w:ascii="宋体" w:hAnsi="Times New Roman" w:eastAsia="宋体" w:cs="宋体"/>
                <w:sz w:val="32"/>
                <w:szCs w:val="32"/>
              </w:rPr>
              <w:t>22</w:t>
            </w:r>
            <w:r>
              <w:rPr>
                <w:rFonts w:hint="eastAsia" w:ascii="宋体" w:hAnsi="Times New Roman" w:eastAsia="宋体" w:cs="宋体"/>
                <w:sz w:val="32"/>
                <w:szCs w:val="32"/>
              </w:rPr>
              <w:t>、单位整体支出绩效目标表</w:t>
            </w:r>
          </w:p>
        </w:tc>
      </w:tr>
      <w:tr>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宋体" w:hAnsi="Times New Roman" w:eastAsia="宋体" w:cs="宋体"/>
                <w:sz w:val="32"/>
                <w:szCs w:val="32"/>
              </w:rPr>
            </w:pPr>
            <w:r>
              <w:rPr>
                <w:rFonts w:ascii="宋体" w:hAnsi="Times New Roman" w:eastAsia="宋体" w:cs="宋体"/>
                <w:sz w:val="32"/>
                <w:szCs w:val="32"/>
              </w:rPr>
              <w:t>23</w:t>
            </w:r>
            <w:r>
              <w:rPr>
                <w:rFonts w:hint="eastAsia" w:ascii="宋体" w:hAnsi="Times New Roman" w:eastAsia="宋体" w:cs="宋体"/>
                <w:sz w:val="32"/>
                <w:szCs w:val="32"/>
              </w:rPr>
              <w:t>、一般公共预算基本支出表</w:t>
            </w:r>
          </w:p>
        </w:tc>
      </w:tr>
      <w:tr>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宋体" w:hAnsi="Times New Roman" w:eastAsia="宋体" w:cs="宋体"/>
                <w:color w:val="FF0000"/>
                <w:sz w:val="32"/>
                <w:szCs w:val="32"/>
              </w:rPr>
            </w:pPr>
            <w:r>
              <w:rPr>
                <w:rFonts w:hint="eastAsia" w:ascii="宋体" w:hAnsi="Times New Roman" w:eastAsia="宋体" w:cs="宋体"/>
                <w:b/>
                <w:bCs/>
                <w:color w:val="FF0000"/>
                <w:sz w:val="32"/>
                <w:szCs w:val="32"/>
              </w:rPr>
              <w:t>注：以上单位预算公开报表中，空表表示本单位无相关收支情况。</w:t>
            </w:r>
          </w:p>
        </w:tc>
      </w:tr>
    </w:tbl>
    <w:p/>
    <w:sectPr>
      <w:pgSz w:w="18708" w:h="15840"/>
      <w:pgMar w:top="388" w:right="1080" w:bottom="388" w:left="108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Cambria">
    <w:altName w:val="FreeSerif"/>
    <w:panose1 w:val="02040503050406030204"/>
    <w:charset w:val="00"/>
    <w:family w:val="roman"/>
    <w:pitch w:val="default"/>
    <w:sig w:usb0="00000000" w:usb1="00000000" w:usb2="00000000" w:usb3="00000000" w:csb0="2000019F" w:csb1="00000000"/>
  </w:font>
  <w:font w:name="微软雅黑">
    <w:altName w:val="黑体"/>
    <w:panose1 w:val="020B0503020204020204"/>
    <w:charset w:val="86"/>
    <w:family w:val="swiss"/>
    <w:pitch w:val="default"/>
    <w:sig w:usb0="00000000" w:usb1="00000000" w:usb2="00000016" w:usb3="00000000" w:csb0="0004001F" w:csb1="00000000"/>
  </w:font>
  <w:font w:name="Dialog">
    <w:altName w:val="Nimbus Roman No9 L"/>
    <w:panose1 w:val="00000000000000000000"/>
    <w:charset w:val="86"/>
    <w:family w:val="roman"/>
    <w:pitch w:val="default"/>
    <w:sig w:usb0="00000000" w:usb1="00000000" w:usb2="00000010" w:usb3="00000000" w:csb0="00040000" w:csb1="00000000"/>
  </w:font>
  <w:font w:name="方正书宋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方正宋体S-超大字符集">
    <w:panose1 w:val="02000000000000000000"/>
    <w:charset w:val="86"/>
    <w:family w:val="auto"/>
    <w:pitch w:val="default"/>
    <w:sig w:usb0="00000001" w:usb1="08000000" w:usb2="00000000" w:usb3="00000000" w:csb0="00040000" w:csb1="00000000"/>
  </w:font>
  <w:font w:name="FreeSerif">
    <w:panose1 w:val="02020603050405020304"/>
    <w:charset w:val="00"/>
    <w:family w:val="auto"/>
    <w:pitch w:val="default"/>
    <w:sig w:usb0="E59FAFFF" w:usb1="C200FDFF" w:usb2="43501B29" w:usb3="04000043" w:csb0="6001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true"/>
  <w:bordersDoNotSurroundFooter w:val="true"/>
  <w:documentProtection w:enforcement="0"/>
  <w:defaultTabStop w:val="720"/>
  <w:drawingGridHorizontalSpacing w:val="120"/>
  <w:drawingGridVerticalSpacing w:val="120"/>
  <w:displayHorizontalDrawingGridEvery w:val="0"/>
  <w:displayVerticalDrawingGridEvery w:val="3"/>
  <w:doNotUseMarginsForDrawingGridOrigin w:val="true"/>
  <w:drawingGridHorizontalOrigin w:val="1800"/>
  <w:drawingGridVerticalOrigin w:val="1440"/>
  <w:doNotShadeFormData w:val="true"/>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AA02FF"/>
    <w:rsid w:val="00393FCE"/>
    <w:rsid w:val="00AA02FF"/>
    <w:rsid w:val="08445E66"/>
    <w:rsid w:val="1CBA90E3"/>
    <w:rsid w:val="2221328A"/>
    <w:rsid w:val="7FFFEA55"/>
    <w:rsid w:val="D7DFF73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99" w:semiHidden="0" w:name="Normal"/>
    <w:lsdException w:qFormat="1" w:unhideWhenUsed="0" w:uiPriority="9" w:semiHidden="0" w:name="heading 1"/>
    <w:lsdException w:qFormat="1" w:unhideWhenUsed="0" w:uiPriority="99" w:semiHidden="0" w:name="heading 2"/>
    <w:lsdException w:qFormat="1" w:unhideWhenUsed="0" w:uiPriority="9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99"/>
    <w:pPr>
      <w:widowControl w:val="0"/>
      <w:autoSpaceDE w:val="0"/>
      <w:autoSpaceDN w:val="0"/>
      <w:adjustRightInd w:val="0"/>
    </w:pPr>
    <w:rPr>
      <w:rFonts w:ascii="Arial" w:hAnsi="Arial" w:cs="Arial" w:eastAsiaTheme="minorEastAsia"/>
      <w:color w:val="000000"/>
      <w:kern w:val="0"/>
      <w:sz w:val="24"/>
      <w:szCs w:val="24"/>
      <w:lang w:val="en-US" w:eastAsia="zh-CN" w:bidi="ar-SA"/>
    </w:rPr>
  </w:style>
  <w:style w:type="paragraph" w:styleId="2">
    <w:name w:val="heading 1"/>
    <w:basedOn w:val="1"/>
    <w:next w:val="1"/>
    <w:link w:val="9"/>
    <w:qFormat/>
    <w:uiPriority w:val="9"/>
    <w:pPr>
      <w:outlineLvl w:val="0"/>
    </w:pPr>
    <w:rPr>
      <w:b/>
      <w:bCs/>
      <w:sz w:val="32"/>
      <w:szCs w:val="32"/>
    </w:rPr>
  </w:style>
  <w:style w:type="paragraph" w:styleId="3">
    <w:name w:val="heading 2"/>
    <w:basedOn w:val="1"/>
    <w:next w:val="1"/>
    <w:link w:val="10"/>
    <w:qFormat/>
    <w:uiPriority w:val="99"/>
    <w:pPr>
      <w:outlineLvl w:val="1"/>
    </w:pPr>
    <w:rPr>
      <w:b/>
      <w:bCs/>
      <w:i/>
      <w:iCs/>
      <w:sz w:val="28"/>
      <w:szCs w:val="28"/>
    </w:rPr>
  </w:style>
  <w:style w:type="paragraph" w:styleId="4">
    <w:name w:val="heading 3"/>
    <w:basedOn w:val="1"/>
    <w:next w:val="1"/>
    <w:link w:val="11"/>
    <w:qFormat/>
    <w:uiPriority w:val="99"/>
    <w:pPr>
      <w:outlineLvl w:val="2"/>
    </w:pPr>
    <w:rPr>
      <w:b/>
      <w:bCs/>
      <w:sz w:val="26"/>
      <w:szCs w:val="26"/>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5">
    <w:name w:val="footer"/>
    <w:basedOn w:val="1"/>
    <w:link w:val="13"/>
    <w:semiHidden/>
    <w:unhideWhenUsed/>
    <w:qFormat/>
    <w:uiPriority w:val="99"/>
    <w:pPr>
      <w:tabs>
        <w:tab w:val="center" w:pos="4153"/>
        <w:tab w:val="right" w:pos="8306"/>
      </w:tabs>
      <w:snapToGrid w:val="0"/>
    </w:pPr>
    <w:rPr>
      <w:sz w:val="18"/>
      <w:szCs w:val="18"/>
    </w:rPr>
  </w:style>
  <w:style w:type="paragraph" w:styleId="6">
    <w:name w:val="header"/>
    <w:basedOn w:val="1"/>
    <w:link w:val="12"/>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9">
    <w:name w:val="标题 1 Char"/>
    <w:basedOn w:val="8"/>
    <w:link w:val="2"/>
    <w:qFormat/>
    <w:uiPriority w:val="9"/>
    <w:rPr>
      <w:b/>
      <w:bCs/>
      <w:kern w:val="44"/>
      <w:sz w:val="44"/>
      <w:szCs w:val="44"/>
    </w:rPr>
  </w:style>
  <w:style w:type="character" w:customStyle="1" w:styleId="10">
    <w:name w:val="标题 2 Char"/>
    <w:basedOn w:val="8"/>
    <w:link w:val="3"/>
    <w:semiHidden/>
    <w:qFormat/>
    <w:uiPriority w:val="9"/>
    <w:rPr>
      <w:rFonts w:asciiTheme="majorHAnsi" w:hAnsiTheme="majorHAnsi" w:eastAsiaTheme="majorEastAsia" w:cstheme="majorBidi"/>
      <w:b/>
      <w:bCs/>
      <w:sz w:val="32"/>
      <w:szCs w:val="32"/>
    </w:rPr>
  </w:style>
  <w:style w:type="character" w:customStyle="1" w:styleId="11">
    <w:name w:val="标题 3 Char"/>
    <w:basedOn w:val="8"/>
    <w:link w:val="4"/>
    <w:semiHidden/>
    <w:qFormat/>
    <w:uiPriority w:val="9"/>
    <w:rPr>
      <w:b/>
      <w:bCs/>
      <w:sz w:val="32"/>
      <w:szCs w:val="32"/>
    </w:rPr>
  </w:style>
  <w:style w:type="character" w:customStyle="1" w:styleId="12">
    <w:name w:val="页眉 Char"/>
    <w:basedOn w:val="8"/>
    <w:link w:val="6"/>
    <w:semiHidden/>
    <w:qFormat/>
    <w:uiPriority w:val="99"/>
    <w:rPr>
      <w:rFonts w:ascii="Arial" w:hAnsi="Arial" w:cs="Arial"/>
      <w:color w:val="000000"/>
      <w:kern w:val="0"/>
      <w:sz w:val="18"/>
      <w:szCs w:val="18"/>
    </w:rPr>
  </w:style>
  <w:style w:type="character" w:customStyle="1" w:styleId="13">
    <w:name w:val="页脚 Char"/>
    <w:basedOn w:val="8"/>
    <w:link w:val="5"/>
    <w:semiHidden/>
    <w:qFormat/>
    <w:uiPriority w:val="99"/>
    <w:rPr>
      <w:rFonts w:ascii="Arial" w:hAnsi="Arial" w:cs="Arial"/>
      <w:color w:val="000000"/>
      <w:kern w:val="0"/>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3309</Words>
  <Characters>3653</Characters>
  <Lines>27</Lines>
  <Paragraphs>7</Paragraphs>
  <TotalTime>7</TotalTime>
  <ScaleCrop>false</ScaleCrop>
  <LinksUpToDate>false</LinksUpToDate>
  <CharactersWithSpaces>3740</CharactersWithSpaces>
  <Application>WPS Office_11.8.2.10386_F1E327BC-269C-435d-A152-05C5408002CA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2013-01-01T06:00:00Z</dcterms:created>
  <dc:creator>PC</dc:creator>
  <cp:lastModifiedBy>yyadmin</cp:lastModifiedBy>
  <dcterms:modified xsi:type="dcterms:W3CDTF">2026-04-14T14:46:33Z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eyJoZGlkIjoiMGI4NWZmOGRjYjgyMzBkNjY4OGE4ZThkOWE2MDMyOTYiLCJ1c2VySWQiOiIxMDEwMDg0ODM1In0=</vt:lpwstr>
  </property>
  <property fmtid="{D5CDD505-2E9C-101B-9397-08002B2CF9AE}" pid="3" name="KSOProductBuildVer">
    <vt:lpwstr>2052-11.8.2.10386</vt:lpwstr>
  </property>
  <property fmtid="{D5CDD505-2E9C-101B-9397-08002B2CF9AE}" pid="4" name="ICV">
    <vt:lpwstr>8E81FB9175F748E49125647B37C2073A_12</vt:lpwstr>
  </property>
</Properties>
</file>