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Style w:val="8"/>
        <w:tblW w:w="15306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1110" w:lineRule="exact"/>
              <w:ind w:left="20"/>
              <w:jc w:val="center"/>
              <w:rPr>
                <w:rFonts w:ascii="微软雅黑" w:hAnsi="Times New Roman" w:eastAsia="微软雅黑" w:cs="微软雅黑"/>
                <w:b/>
                <w:bCs/>
                <w:sz w:val="84"/>
                <w:szCs w:val="84"/>
              </w:rPr>
            </w:pPr>
            <w:r>
              <w:rPr>
                <w:rFonts w:hint="eastAsia" w:ascii="微软雅黑" w:hAnsi="Times New Roman" w:eastAsia="微软雅黑" w:cs="微软雅黑"/>
                <w:b/>
                <w:bCs/>
                <w:sz w:val="84"/>
                <w:szCs w:val="84"/>
              </w:rPr>
              <w:t>岳阳市交通运输局</w:t>
            </w:r>
            <w:r>
              <w:rPr>
                <w:rFonts w:ascii="微软雅黑" w:hAnsi="Times New Roman" w:eastAsia="微软雅黑" w:cs="微软雅黑"/>
                <w:b/>
                <w:bCs/>
                <w:sz w:val="84"/>
                <w:szCs w:val="84"/>
              </w:rPr>
              <w:t>2026</w:t>
            </w:r>
            <w:r>
              <w:rPr>
                <w:rFonts w:hint="eastAsia" w:ascii="微软雅黑" w:hAnsi="Times New Roman" w:eastAsia="微软雅黑" w:cs="微软雅黑"/>
                <w:b/>
                <w:bCs/>
                <w:sz w:val="84"/>
                <w:szCs w:val="84"/>
              </w:rPr>
              <w:t>年度</w:t>
            </w:r>
          </w:p>
          <w:p>
            <w:pPr>
              <w:spacing w:line="1110" w:lineRule="exact"/>
              <w:ind w:left="20"/>
              <w:jc w:val="center"/>
              <w:rPr>
                <w:rFonts w:ascii="微软雅黑" w:hAnsi="Times New Roman" w:eastAsia="微软雅黑" w:cs="微软雅黑"/>
                <w:sz w:val="84"/>
                <w:szCs w:val="84"/>
              </w:rPr>
            </w:pPr>
            <w:r>
              <w:rPr>
                <w:rFonts w:hint="eastAsia" w:ascii="微软雅黑" w:hAnsi="Times New Roman" w:eastAsia="微软雅黑" w:cs="微软雅黑"/>
                <w:b/>
                <w:bCs/>
                <w:sz w:val="84"/>
                <w:szCs w:val="84"/>
              </w:rPr>
              <w:t>部门预算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525" w:lineRule="exact"/>
              <w:ind w:left="20"/>
              <w:jc w:val="center"/>
              <w:rPr>
                <w:rFonts w:ascii="Dialog" w:hAnsi="Times New Roman" w:eastAsia="Dialog" w:cs="Dialog"/>
                <w:sz w:val="44"/>
                <w:szCs w:val="44"/>
              </w:rPr>
            </w:pPr>
            <w:r>
              <w:rPr>
                <w:rFonts w:hint="eastAsia" w:ascii="Dialog" w:hAnsi="Times New Roman" w:eastAsia="Dialog" w:cs="Dialog"/>
                <w:sz w:val="44"/>
                <w:szCs w:val="44"/>
              </w:rPr>
              <w:t>目录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第一部分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第二部分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年部门预算公开表格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、收支总表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、收入总表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3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、支出总表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4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、支出预算分类汇总表（按政府预算经济分类）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、支出预算分类汇总表（按部门预算经济分类）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、财政拨款收支总表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7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8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人员经费（工资福利支出）（按政府预算经济分类）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9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人员经费（工资福利支出）（按部门预算经济分类）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10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人员经费（对个人和家庭的补助）（按政府预算经济分类）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11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人员经费（对个人和家庭的补助）（按部门预算经济分类）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12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公用经费（商品和服务支出）（按政府预算经济分类）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13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>-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公用经费（商品和服务支出）（按部门预算经济分类）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14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、一般公共预算“三公”经费支出表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15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、政府性基金预算支出表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、政府性基金预算支出分类汇总表（按政府预算经济分类）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17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、政府性基金预算支出分类汇总表（按部门预算经济分类）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18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、国有资本经营预算支出表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19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、财政专户管理资金预算支出表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20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、专项资金预算汇总表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21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22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、部门整体支出绩效目标表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>23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、一般公共预算基本支出表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color w:val="FF0000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color w:val="FF0000"/>
                <w:sz w:val="32"/>
                <w:szCs w:val="32"/>
              </w:rPr>
              <w:t>注：以上部门预算公开报表中，空表表示本部门无相关收支情况。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第一部分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一、部门基本概况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（一）职能职责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 xml:space="preserve"> 1、推进全市综合交通运输体系建设,统筹规划全市公路、水路、民航、铁路和邮政行业发展,优化交通运输资源配置,促进交通运输方式相互衔接融合。</w:t>
            </w:r>
          </w:p>
          <w:p>
            <w:pPr>
              <w:pStyle w:val="5"/>
              <w:kinsoku w:val="0"/>
              <w:overflowPunct w:val="0"/>
              <w:snapToGrid w:val="0"/>
              <w:spacing w:line="560" w:lineRule="exact"/>
              <w:ind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2、负责组织拟订监督实施全市公路、水路等行业规划、政策和标准;负责交通运输有关地方性法规、规章起草和规范性文件起草或制定;参与拟定全市铁路、轨道交通、民航、通用航空等发展战略和规划,拟定有关政策并监督实施;承担协调中央、省垂直管理的铁路、高速公路、水路、邮政等单位涉及地方的相关工作;指导全市公路、水路、铁路行业有关体改革工作。</w:t>
            </w:r>
          </w:p>
          <w:p>
            <w:pPr>
              <w:pStyle w:val="5"/>
              <w:kinsoku w:val="0"/>
              <w:overflowPunct w:val="0"/>
              <w:snapToGrid w:val="0"/>
              <w:spacing w:line="560" w:lineRule="exact"/>
              <w:ind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3、负责全市道路、城市公交、出租汽车、水路、铁路、民航等运输市场的监督、管理、指导、协调,维护市场经营秩序,参与制定交通行业运价和收费标准。</w:t>
            </w:r>
          </w:p>
          <w:p>
            <w:pPr>
              <w:pStyle w:val="5"/>
              <w:kinsoku w:val="0"/>
              <w:overflowPunct w:val="0"/>
              <w:snapToGrid w:val="0"/>
              <w:spacing w:line="560" w:lineRule="exact"/>
              <w:ind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4、负责权限内水上交通通航秩序和通航环境,划定或调整禁航区、交通管制区、港区外锚地、停泊区和安全作业区,维护水上交通秩序;负责船员考试发证、船舶污染防治、船舶 检验和渔船检验等行业监督管理;指导全市水上交通安全监管工作。</w:t>
            </w:r>
          </w:p>
          <w:p>
            <w:pPr>
              <w:pStyle w:val="5"/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5、指导、监督、协调全市交通行业安全生产和应急管理工作;按权限组织或参加行业交通事故调查处理;按规定组织协调全市重点物资和紧急客货运输;负责全市交通线路网运行检测和协调;承担全市国防交通战备工作。6、负责提出全市交通领域固定资产投资规模和方向、市级财政性资金安排建议;负责权限内全市交通固定资产投资项目审批、核准;负责交通运输预算资金的申请、拨付和监管。负责权限内公路、港口、桥梁、渡口、航道、隧道的行业管理。</w:t>
            </w:r>
          </w:p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2" w:firstLineChars="200"/>
              <w:jc w:val="both"/>
              <w:rPr>
                <w:rFonts w:hint="default" w:ascii="楷体_GB2312" w:hAnsi="楷体_GB2312" w:eastAsia="楷体_GB2312"/>
                <w:b/>
                <w:sz w:val="32"/>
                <w:szCs w:val="24"/>
                <w:lang w:eastAsia="zh-CN"/>
              </w:rPr>
            </w:pPr>
            <w:r>
              <w:rPr>
                <w:rFonts w:hint="default" w:ascii="楷体_GB2312" w:hAnsi="楷体_GB2312" w:eastAsia="楷体_GB2312"/>
                <w:b/>
                <w:sz w:val="32"/>
                <w:szCs w:val="24"/>
                <w:lang w:eastAsia="zh-CN"/>
              </w:rPr>
              <w:t>（二）机构设置</w:t>
            </w:r>
          </w:p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根据编委核定，我局内设科室21个，全部纳入2025年部门预算编制范围。</w:t>
            </w:r>
          </w:p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内设科室分别是：办公室（信访科）、综合规划科、基本建设科、运输管理科、公交管理科、物流管理科、港航管理科、船舶船员管理科、公路管理养护科、农村公路科、铁路和民航管理科、法制科、行政审批科、安全监督科、交通战备科(市交通战备办公室)、审计科、人事科、财务科、机关党委、机关纪委、离退休人员管理服务科。</w:t>
            </w:r>
          </w:p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局机关行政编制66名。设局长1名,副局长4名,总工程师1名;正科级领导职数23名(含机关党委常务副书记、机关纪委书记、交通运输工会专职副主席、离退休人员管理服务科科长各1名),副科级领导职数26名。</w:t>
            </w:r>
          </w:p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机关后勤服务事业编制2名,人员只出不进,编制出一减一。</w:t>
            </w:r>
          </w:p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二、部门预算构成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本部门预算为汇总预算，纳入编制范围的预算单位包括：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1、岳阳市交通运输局本级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pStyle w:val="5"/>
              <w:numPr>
                <w:ilvl w:val="0"/>
                <w:numId w:val="0"/>
              </w:numPr>
              <w:kinsoku w:val="0"/>
              <w:overflowPunct w:val="0"/>
              <w:snapToGrid w:val="0"/>
              <w:spacing w:line="560" w:lineRule="exact"/>
              <w:ind w:left="0" w:firstLine="640" w:firstLineChars="200"/>
              <w:jc w:val="both"/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2、岳阳市公路建设和养护中心、岳阳市洞庭湖大桥养护中心、岳阳市交通运输综合行政执法支队、岳阳市交通质量和安全监督站、岳阳市道路运输服务中心、岳阳市水运事务中心。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三、部门收支总体情况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年没有政府性基金预算拨款、国有资本经营预算收入和纳入专户管理的非税收入拨款收入，也没有使用政府性基金预算拨款、国有资本经营预算收入和纳入专户管理的非税收入拨款安排的支出，所以公开的附件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表均为空。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（一）收入预算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包括一般公共预算、政府性基金、国有资本经营预算等财政拨款收入，以及经营收入、事业收入等单位资金。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年度本部门收入预算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29639.68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万元，其中，一般公共预算拨款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28848.53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万元，政府性基金预算资金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为空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，国有资本经营预算资金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为空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，财政专户管理资金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为空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，上级补助收入资金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万元，事业单位经营收入资金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万元，上年结转结余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(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2)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年收入较去年增加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1554.09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万元，上升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5.53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，主要是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因为局本级成立新的正科级单位财政未独立核算增加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21人，人员经费增加308.28万元，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市公路建设和养护中心</w:t>
            </w:r>
            <w:r>
              <w:rPr>
                <w:rFonts w:hint="eastAsia" w:ascii="SimSun" w:hAnsi="SimSun" w:eastAsia="SimSun"/>
                <w:color w:val="auto"/>
                <w:sz w:val="32"/>
                <w:szCs w:val="24"/>
                <w:lang w:eastAsia="zh-CN"/>
              </w:rPr>
              <w:t>新进人员大于退休人员，导致预算人员增加。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市交通运输综合行政执法支队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工资福利政策调整人员类项目收入增加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604.62万元，特定运转类项目增加11万元，市水运事务中心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公共预算拨款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80.72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（二）支出预算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年本部门支出预算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29639.68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社会保障和就业支出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2610.44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卫生健康支出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753.79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交通运输支出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24624.31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住房保障支出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1651.14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万元，支出较去年增加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1554.09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万元，上升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5.53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，主要是因为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局本级成立新的正科级单位财政未独立核算增加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21人，人员经费增加308.28万元，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市公路建设和养护中心</w:t>
            </w:r>
            <w:r>
              <w:rPr>
                <w:rFonts w:hint="eastAsia" w:ascii="SimSun" w:hAnsi="SimSun" w:eastAsia="SimSun"/>
                <w:color w:val="auto"/>
                <w:sz w:val="32"/>
                <w:szCs w:val="24"/>
                <w:lang w:eastAsia="zh-CN"/>
              </w:rPr>
              <w:t>新进人员大于退休人员，导致预算人员增加。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市交通运输综合行政执法支队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工资福利政策调整人员类项目收入增加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604.62万元，特定运转类项目增加11万元，市水运事务中心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公共预算拨款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80.72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四、一般公共预算拨款支出预算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年一般公共预算拨款支出预算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28848.53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社会保障和就业支出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2610.44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9.05%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卫生健康支出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753.79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2.61%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交通运输支出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23833.16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82.61%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住房保障支出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1651.14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万元，占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5.72%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；具体安排情况如下：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（一）基本支出：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年基本支出年初预算数为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27444.78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（二）项目支出：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年项目支出年初预算数为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1403.75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），是指部门为完成特定行政工作任务或事业发展目标而发生的支出，包括有关业务工作经费、运行维护经费、其他事业发展资金等。其中：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办案费专项支出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>交通运输办案工作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年大桥安全应急运维专项支出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万元，主要用于大桥安全应急运维专项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年大桥保险专项支出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32.00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万元，主要用于大桥保险专项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年大桥电费专项支出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45.60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万元，主要用于大桥电费专项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年大桥防雷专项支出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万元，主要用于大桥防雷专项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年大桥日常养护专项支出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58.00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万元，主要用于大桥日常养护专项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年非税执收经费专项支出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8.00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万元，主要用于非税执收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年工程项目质量监督工作经费专项支出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15.00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万元，主要用于工程项目质量监督工作方面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年工勤人员补助专项支出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90.00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万元，主要用于工勤人员补助专项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年离休干部无固定收入家属生活补助专项支出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9.00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万元，主要用于离休干部无固定收入家属生活方面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年网络信息专项专项支出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35.00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万元，主要用于网络信息专项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年湘北大道配套设施维护和道路保洁经费专项支出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万元，主要用于湘北大道配套设施维护和道路保洁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年学院路维护工程专项支出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187.50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万元，主要用于学院路维护工程专项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水上公安执勤室专项经费专项支出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18.56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万元，主要用于水上公安执勤室专项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治理超限超载工作经费专项支出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24.00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治理超限超载工作经费专项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,G107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新开中心养护站建设项目专项支出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40.00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G107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新开中心养护站建设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安全管理、污染防治经费专项支出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105.00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万元，主要用于安全管理、污染防治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专项工作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道路安全监管（铁路安全监管及沿线环境综合整治）专项支出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万元，主要用于道路安全监管（铁路安全监管及沿线环境综合整治）专项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非税征管经费专项支出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18.75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万元，主要用于非税征管专项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国省道安全隐患整治费用专项支出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93.30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万元，主要用于国省道安全隐患整治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交通专项工作经费专项支出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52.80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万元，主要用于交通专项工作方面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交通综合执法工作经费专项支出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98.24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万元，主要用于交通综合执法工作方面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,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临湖公路（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G107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岳阳段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K0+000-K32+440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）综合养护专项支出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380.00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万元，主要用于临湖公路（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G107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岳阳段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K0+000-K32+440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）综合养护专项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方面。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五、政府性基金预算支出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3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年度本部门无政府性基金安排的支出，所以公开的附件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15-17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（政府性基金预算）为空。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六、其他重要事项的情况说明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（一）机关运行经费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hint="eastAsia" w:ascii="Dialog" w:hAnsi="Times New Roman" w:eastAsia="宋体" w:cs="Dialog"/>
                <w:sz w:val="32"/>
                <w:szCs w:val="32"/>
                <w:lang w:eastAsia="zh-CN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年机关运行经费当年一般公共预算拨款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1608.07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），比上一年减少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1245.51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万元，下降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43.65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，主要原因是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落实“过紧日子”要求，减少一切不必要开支。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（二）“三公”经费预算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 w:firstLine="640"/>
              <w:rPr>
                <w:rFonts w:hint="default" w:ascii="宋体" w:hAnsi="Times New Roman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年“三公”经费预算数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551.00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），其中，公务接待费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14.60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万元，因公出国（境）费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0.00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万元，公务用车购置及运行费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536.40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万元（其中，公务用车购置费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188.40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万元，公务用车运行费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348.00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万元）。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年三公经费预算较上年增加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332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万元，上升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151.6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，主要原因是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市公路建设和养护中心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2025年9月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新增执法车辆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10台，市交通运输综合行政执法支队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拟新购置执法用车6台，市水运事务中心拟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新增生产性用车1辆。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（三）一般性支出情况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年会议费预算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8.40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万元（数据来源见表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会议费、培训费），拟召开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次会议，人数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1350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人，</w:t>
            </w:r>
            <w:r>
              <w:rPr>
                <w:rFonts w:hint="eastAsia" w:ascii="仿宋_GB2312" w:hAnsi="仿宋_GB2312" w:eastAsia="仿宋_GB2312"/>
                <w:spacing w:val="-2"/>
                <w:sz w:val="32"/>
                <w:szCs w:val="24"/>
              </w:rPr>
              <w:t>内容为交通运输工作相关会议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；培训费预算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27.50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万元，拟开展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次培训，人数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1293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人，内容为</w:t>
            </w:r>
            <w:r>
              <w:rPr>
                <w:rFonts w:hint="eastAsia" w:ascii="仿宋_GB2312" w:hAnsi="仿宋_GB2312" w:eastAsia="仿宋_GB2312"/>
                <w:sz w:val="32"/>
                <w:szCs w:val="24"/>
              </w:rPr>
              <w:t>交通运输工作相关培训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年度本部门未计划安排会议、培训，未计划举办节庆、晚会、论坛、赛事活动。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（四）委托业务费情况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年本级等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家行政事业单位委托业务费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93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万元，比上年预算增加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88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万元，上升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1760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%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，主要原因是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2026年咨询费科目取消，预算放入委托业务费。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（五）政府采购情况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年政府采购预算总额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1790.47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万元，其中工程类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397.5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万元，货物类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162.75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万元，服务类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1230.22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（六）国有资产占有使用及新增资产配置情况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截至上年底，本部门共有车辆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83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辆，其中领导干部用车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辆，一般公务用车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49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辆，其他用车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33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辆。单位价值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万元以上通用设备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台，单位价值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万元以上专用设备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台。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</w:t>
            </w:r>
          </w:p>
          <w:p>
            <w:pPr>
              <w:spacing w:beforeLines="0" w:afterLines="0" w:line="375" w:lineRule="exact"/>
              <w:ind w:left="20"/>
              <w:rPr>
                <w:rFonts w:hint="eastAsia" w:ascii="宋体" w:hAnsi="宋体"/>
                <w:sz w:val="32"/>
                <w:szCs w:val="24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年拟报废处置车辆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辆，其中：报废处置领导干部用车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辆，报废处置一般公务用车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辆，报废处置其他用车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辆，报废处置单位价值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万元以上通用设备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台，报废处置单位价值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万元以上通用设备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台。拟新增配置车辆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辆，其中领导干部用车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辆，一般公务用车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辆，其他用车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辆，主要用于</w:t>
            </w:r>
            <w:r>
              <w:rPr>
                <w:rFonts w:hint="eastAsia" w:ascii="宋体" w:hAnsi="宋体"/>
                <w:sz w:val="32"/>
                <w:szCs w:val="24"/>
              </w:rPr>
              <w:t>主要用于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日常交通运输综合行政执法工作和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eastAsia="zh-CN"/>
              </w:rPr>
              <w:t>船舶检验航道安全检查等</w:t>
            </w:r>
            <w:r>
              <w:rPr>
                <w:rFonts w:hint="eastAsia" w:ascii="宋体" w:hAnsi="宋体"/>
                <w:sz w:val="32"/>
                <w:szCs w:val="24"/>
              </w:rPr>
              <w:t>，资金来源为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一般公共预算拨款</w:t>
            </w:r>
            <w:r>
              <w:rPr>
                <w:rFonts w:hint="eastAsia" w:ascii="宋体" w:hAnsi="宋体"/>
                <w:sz w:val="32"/>
                <w:szCs w:val="24"/>
              </w:rPr>
              <w:t>。</w:t>
            </w:r>
          </w:p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。</w:t>
            </w:r>
          </w:p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年拟新增配备领导干部用车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辆，一般公务用车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辆，其他用车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辆，新增配备单位价值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50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万元以上通用设备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台，单位价值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100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万元以上专用设备</w:t>
            </w:r>
            <w:r>
              <w:rPr>
                <w:rFonts w:hint="eastAsia" w:ascii="宋体" w:hAnsi="Times New Roman" w:eastAsia="宋体" w:cs="宋体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台。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（七）预算绩效目标说明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  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本部门所有支出实行绩效目标管理。纳入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2026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年部门整体支出绩效目标的金额为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28848.53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万元，其中，基本支出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27444.78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万元，项目支出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1403.75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万元，详见文尾附表中部门预算公开表格的表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21-22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七、名词解释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 xml:space="preserve">  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第二部分</w:t>
            </w:r>
            <w:r>
              <w:rPr>
                <w:rFonts w:ascii="Dialog" w:hAnsi="Times New Roman" w:eastAsia="Dialog" w:cs="Dialog"/>
                <w:sz w:val="32"/>
                <w:szCs w:val="32"/>
              </w:rPr>
              <w:t xml:space="preserve">  2026</w:t>
            </w:r>
            <w:r>
              <w:rPr>
                <w:rFonts w:hint="eastAsia" w:ascii="Dialog" w:hAnsi="Times New Roman" w:eastAsia="Dialog" w:cs="Dialog"/>
                <w:sz w:val="32"/>
                <w:szCs w:val="32"/>
              </w:rPr>
              <w:t>年部门预算公开表格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、收支总表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Dialog" w:hAnsi="Times New Roman" w:eastAsia="Dialog" w:cs="Dialog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、收入总表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、支出总表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、支出预算分类汇总表（按政府预算经济分类）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、支出预算分类汇总表（按部门预算经济分类）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、财政拨款收支总表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人员经费（工资福利支出）（按政府预算经济分类）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人员经费（工资福利支出）（按部门预算经济分类）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人员经费（对个人和家庭的补助）（按政府预算经济分类）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人员经费（对个人和家庭的补助）（按部门预算经济分类）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公用经费（商品和服务支出）（按政府预算经济分类）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  <w:r>
              <w:rPr>
                <w:rFonts w:ascii="宋体" w:hAnsi="Times New Roman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公用经费（商品和服务支出）（按部门预算经济分类）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14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、一般公共预算“三公”经费支出表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15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、政府性基金预算支出表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16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、政府性基金预算支出分类汇总表（按政府预算经济分类）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17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、政府性基金预算支出分类汇总表（按部门预算经济分类）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18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、国有资本经营预算支出表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19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、财政专户管理资金预算支出表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20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、专项资金预算汇总表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21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、项目支出绩效目标表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22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、部门整体支出绩效目标表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ascii="宋体" w:hAnsi="Times New Roman" w:eastAsia="宋体" w:cs="宋体"/>
                <w:sz w:val="32"/>
                <w:szCs w:val="32"/>
              </w:rPr>
              <w:t>23</w:t>
            </w: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、一般公共预算基本支出表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FF0000"/>
                <w:sz w:val="32"/>
                <w:szCs w:val="32"/>
              </w:rPr>
              <w:t>注：以上部门预算公开报表中，空表表示本部门无相关收支情况。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spacing w:line="375" w:lineRule="exact"/>
              <w:ind w:left="20"/>
              <w:rPr>
                <w:rFonts w:ascii="宋体" w:hAnsi="Times New Roman" w:eastAsia="宋体" w:cs="宋体"/>
                <w:color w:val="FF0000"/>
                <w:sz w:val="32"/>
                <w:szCs w:val="32"/>
              </w:rPr>
            </w:pPr>
          </w:p>
        </w:tc>
      </w:tr>
    </w:tbl>
    <w:p/>
    <w:sectPr>
      <w:pgSz w:w="18708" w:h="15840"/>
      <w:pgMar w:top="388" w:right="1080" w:bottom="388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ialog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imSun">
    <w:panose1 w:val="02010600030101010101"/>
    <w:charset w:val="86"/>
    <w:family w:val="roman"/>
    <w:pitch w:val="default"/>
    <w:sig w:usb0="00000003" w:usb1="080E0000" w:usb2="00000000" w:usb3="00000000" w:csb0="00040001" w:csb1="00000000"/>
  </w:font>
  <w:font w:name="微软雅黑">
    <w:altName w:val="黑体"/>
    <w:panose1 w:val="020B0503020204020204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true"/>
  <w:drawingGridHorizontalOrigin w:val="1800"/>
  <w:drawingGridVerticalOrigin w:val="1440"/>
  <w:doNotShadeFormData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78F0"/>
    <w:rsid w:val="005378F0"/>
    <w:rsid w:val="009040F5"/>
    <w:rsid w:val="4771730B"/>
    <w:rsid w:val="5BE5AECD"/>
    <w:rsid w:val="67EF38CD"/>
    <w:rsid w:val="6FA304FF"/>
    <w:rsid w:val="773F2587"/>
    <w:rsid w:val="77FFCF38"/>
    <w:rsid w:val="7F7B143E"/>
    <w:rsid w:val="B4F7AC5A"/>
    <w:rsid w:val="BB7F956C"/>
    <w:rsid w:val="BDF7EDD0"/>
    <w:rsid w:val="D5739727"/>
    <w:rsid w:val="EDF9357D"/>
    <w:rsid w:val="EF2D86B5"/>
    <w:rsid w:val="EFC7EE9F"/>
    <w:rsid w:val="EFEB6976"/>
    <w:rsid w:val="FD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1"/>
    <w:qFormat/>
    <w:uiPriority w:val="99"/>
    <w:pPr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2"/>
    <w:qFormat/>
    <w:uiPriority w:val="99"/>
    <w:pPr>
      <w:outlineLvl w:val="2"/>
    </w:pPr>
    <w:rPr>
      <w:b/>
      <w:bCs/>
      <w:sz w:val="26"/>
      <w:szCs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1"/>
    <w:pPr>
      <w:ind w:left="115"/>
    </w:pPr>
    <w:rPr>
      <w:rFonts w:hint="eastAsia"/>
      <w:sz w:val="30"/>
      <w:szCs w:val="24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3 Char"/>
    <w:basedOn w:val="9"/>
    <w:link w:val="4"/>
    <w:semiHidden/>
    <w:qFormat/>
    <w:uiPriority w:val="9"/>
    <w:rPr>
      <w:b/>
      <w:bCs/>
      <w:sz w:val="32"/>
      <w:szCs w:val="32"/>
    </w:rPr>
  </w:style>
  <w:style w:type="character" w:customStyle="1" w:styleId="13">
    <w:name w:val="页眉 Char"/>
    <w:basedOn w:val="9"/>
    <w:link w:val="7"/>
    <w:semiHidden/>
    <w:qFormat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14">
    <w:name w:val="页脚 Char"/>
    <w:basedOn w:val="9"/>
    <w:link w:val="6"/>
    <w:semiHidden/>
    <w:qFormat/>
    <w:uiPriority w:val="99"/>
    <w:rPr>
      <w:rFonts w:ascii="Arial" w:hAnsi="Arial" w:cs="Arial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722</Words>
  <Characters>4118</Characters>
  <Lines>34</Lines>
  <Paragraphs>9</Paragraphs>
  <TotalTime>13</TotalTime>
  <ScaleCrop>false</ScaleCrop>
  <LinksUpToDate>false</LinksUpToDate>
  <CharactersWithSpaces>4831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2026-04-14T14:49:00Z</dcterms:created>
  <dc:creator>Windows User</dc:creator>
  <cp:lastModifiedBy>xjkp</cp:lastModifiedBy>
  <dcterms:modified xsi:type="dcterms:W3CDTF">2026-04-17T15:01:25Z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