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477" w:rightChars="-149"/>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400" w:lineRule="exact"/>
        <w:ind w:right="-477" w:rightChars="-149"/>
        <w:jc w:val="center"/>
        <w:textAlignment w:val="auto"/>
        <w:rPr>
          <w:rFonts w:hint="default" w:ascii="Times New Roman" w:hAnsi="Times New Roman" w:eastAsia="方正小标宋简体" w:cs="Times New Roman"/>
          <w:sz w:val="36"/>
          <w:szCs w:val="36"/>
          <w:highlight w:val="none"/>
        </w:rPr>
      </w:pPr>
      <w:r>
        <w:rPr>
          <w:rFonts w:hint="eastAsia" w:ascii="Times New Roman" w:hAnsi="Times New Roman" w:eastAsia="方正小标宋简体" w:cs="Times New Roman"/>
          <w:sz w:val="36"/>
          <w:szCs w:val="36"/>
          <w:highlight w:val="none"/>
          <w:lang w:val="en-US" w:eastAsia="zh-CN"/>
        </w:rPr>
        <w:t>2026</w:t>
      </w:r>
      <w:r>
        <w:rPr>
          <w:rFonts w:hint="default" w:ascii="Times New Roman" w:hAnsi="Times New Roman" w:eastAsia="方正小标宋简体" w:cs="Times New Roman"/>
          <w:sz w:val="36"/>
          <w:szCs w:val="36"/>
          <w:highlight w:val="none"/>
        </w:rPr>
        <w:t>年度湖南省自然科学基金区域（岳阳</w:t>
      </w:r>
      <w:r>
        <w:rPr>
          <w:rFonts w:hint="eastAsia" w:ascii="Times New Roman" w:hAnsi="Times New Roman" w:eastAsia="方正小标宋简体" w:cs="Times New Roman"/>
          <w:sz w:val="36"/>
          <w:szCs w:val="36"/>
          <w:highlight w:val="none"/>
          <w:lang w:val="en-US" w:eastAsia="zh-CN"/>
        </w:rPr>
        <w:t>市</w:t>
      </w:r>
      <w:r>
        <w:rPr>
          <w:rFonts w:hint="default" w:ascii="Times New Roman" w:hAnsi="Times New Roman" w:eastAsia="方正小标宋简体" w:cs="Times New Roman"/>
          <w:sz w:val="36"/>
          <w:szCs w:val="36"/>
          <w:highlight w:val="none"/>
        </w:rPr>
        <w:t>）</w:t>
      </w:r>
      <w:r>
        <w:rPr>
          <w:rFonts w:hint="eastAsia" w:ascii="Times New Roman" w:hAnsi="Times New Roman" w:eastAsia="方正小标宋简体" w:cs="Times New Roman"/>
          <w:sz w:val="36"/>
          <w:szCs w:val="36"/>
          <w:highlight w:val="none"/>
        </w:rPr>
        <w:t>联合基金项目结题验收</w:t>
      </w:r>
      <w:r>
        <w:rPr>
          <w:rFonts w:hint="eastAsia" w:ascii="Times New Roman" w:hAnsi="Times New Roman" w:eastAsia="方正小标宋简体" w:cs="Times New Roman"/>
          <w:sz w:val="36"/>
          <w:szCs w:val="36"/>
          <w:highlight w:val="none"/>
          <w:lang w:val="en-US" w:eastAsia="zh-CN"/>
        </w:rPr>
        <w:t>汇总表</w:t>
      </w:r>
    </w:p>
    <w:tbl>
      <w:tblPr>
        <w:tblStyle w:val="6"/>
        <w:tblW w:w="14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850"/>
        <w:gridCol w:w="8211"/>
        <w:gridCol w:w="1680"/>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序号</w:t>
            </w:r>
          </w:p>
        </w:tc>
        <w:tc>
          <w:tcPr>
            <w:tcW w:w="18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项目编号</w:t>
            </w:r>
          </w:p>
        </w:tc>
        <w:tc>
          <w:tcPr>
            <w:tcW w:w="82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项目名称</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项目负责人</w:t>
            </w:r>
          </w:p>
        </w:tc>
        <w:tc>
          <w:tcPr>
            <w:tcW w:w="14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8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2023JJ50042</w:t>
            </w:r>
          </w:p>
        </w:tc>
        <w:tc>
          <w:tcPr>
            <w:tcW w:w="82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激光仿生结构自润滑砂轮设计制备与减阻减摩耦合磨削机理研究</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丁跃浇</w:t>
            </w:r>
          </w:p>
        </w:tc>
        <w:tc>
          <w:tcPr>
            <w:tcW w:w="14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8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2023JJ50044</w:t>
            </w:r>
          </w:p>
        </w:tc>
        <w:tc>
          <w:tcPr>
            <w:tcW w:w="82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板坯连铸电磁制动系统的研究和设计</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阳清</w:t>
            </w:r>
          </w:p>
        </w:tc>
        <w:tc>
          <w:tcPr>
            <w:tcW w:w="14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18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2023JJ50047</w:t>
            </w:r>
          </w:p>
        </w:tc>
        <w:tc>
          <w:tcPr>
            <w:tcW w:w="82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多平台协同任务规划智能耦合决策方法</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李武</w:t>
            </w:r>
          </w:p>
        </w:tc>
        <w:tc>
          <w:tcPr>
            <w:tcW w:w="14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18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2023JJ50048</w:t>
            </w:r>
          </w:p>
        </w:tc>
        <w:tc>
          <w:tcPr>
            <w:tcW w:w="82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基于单亲遗传算法的应急物流多车辆多无人机协同配送路径优化研究</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李正标</w:t>
            </w:r>
          </w:p>
        </w:tc>
        <w:tc>
          <w:tcPr>
            <w:tcW w:w="14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18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2023JJ50283</w:t>
            </w:r>
          </w:p>
        </w:tc>
        <w:tc>
          <w:tcPr>
            <w:tcW w:w="82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基于微纳结构调控Ga2O3/GaN异质结日盲紫外光电探测器研究</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唐锐钒</w:t>
            </w:r>
          </w:p>
        </w:tc>
        <w:tc>
          <w:tcPr>
            <w:tcW w:w="14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18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2023JJ50284</w:t>
            </w:r>
          </w:p>
        </w:tc>
        <w:tc>
          <w:tcPr>
            <w:tcW w:w="82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共同富裕视域下湖南养老服务供给动力、模式及路径研究</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罗丽</w:t>
            </w:r>
          </w:p>
        </w:tc>
        <w:tc>
          <w:tcPr>
            <w:tcW w:w="14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1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2023JJ50285</w:t>
            </w:r>
          </w:p>
        </w:tc>
        <w:tc>
          <w:tcPr>
            <w:tcW w:w="82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儿童期创伤经历者应激敏感效应的神经机制研究</w:t>
            </w:r>
          </w:p>
        </w:tc>
        <w:tc>
          <w:tcPr>
            <w:tcW w:w="16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钟雪</w:t>
            </w:r>
          </w:p>
        </w:tc>
        <w:tc>
          <w:tcPr>
            <w:tcW w:w="14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w:t>
            </w:r>
          </w:p>
        </w:tc>
        <w:tc>
          <w:tcPr>
            <w:tcW w:w="1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2023JJ50286</w:t>
            </w:r>
          </w:p>
        </w:tc>
        <w:tc>
          <w:tcPr>
            <w:tcW w:w="82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基于mTOR信号通路研究Apt/CTD-STS/MOFs纳米给药系统的靶向协同抗肝肿瘤作用</w:t>
            </w:r>
          </w:p>
        </w:tc>
        <w:tc>
          <w:tcPr>
            <w:tcW w:w="16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张晓青</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p>
        </w:tc>
        <w:tc>
          <w:tcPr>
            <w:tcW w:w="14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w:t>
            </w:r>
          </w:p>
        </w:tc>
        <w:tc>
          <w:tcPr>
            <w:tcW w:w="1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2023JJ50287</w:t>
            </w:r>
          </w:p>
        </w:tc>
        <w:tc>
          <w:tcPr>
            <w:tcW w:w="82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Cu基阳极纳米催化剂的结构设计，可控制备及其在直接甲醇燃料电池中的应用研究</w:t>
            </w:r>
          </w:p>
        </w:tc>
        <w:tc>
          <w:tcPr>
            <w:tcW w:w="16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易兰花</w:t>
            </w:r>
          </w:p>
        </w:tc>
        <w:tc>
          <w:tcPr>
            <w:tcW w:w="14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6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w:t>
            </w:r>
          </w:p>
        </w:tc>
        <w:tc>
          <w:tcPr>
            <w:tcW w:w="1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2023JJ50288</w:t>
            </w:r>
          </w:p>
        </w:tc>
        <w:tc>
          <w:tcPr>
            <w:tcW w:w="82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淫羊藿苷抑制间质细胞焦亡改善肥胖小鼠睾酮合成障碍的分子机制</w:t>
            </w:r>
          </w:p>
        </w:tc>
        <w:tc>
          <w:tcPr>
            <w:tcW w:w="16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涂剑</w:t>
            </w:r>
          </w:p>
        </w:tc>
        <w:tc>
          <w:tcPr>
            <w:tcW w:w="14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合格</w:t>
            </w:r>
          </w:p>
        </w:tc>
      </w:tr>
    </w:tbl>
    <w:p>
      <w:pPr>
        <w:rPr>
          <w:rFonts w:hint="default"/>
          <w:lang w:val="en-US" w:eastAsia="zh-CN"/>
        </w:rPr>
      </w:pPr>
      <w:r>
        <w:rPr>
          <w:rFonts w:hint="default"/>
          <w:lang w:val="en-US" w:eastAsia="zh-CN"/>
        </w:rPr>
        <w:br w:type="page"/>
      </w:r>
    </w:p>
    <w:tbl>
      <w:tblPr>
        <w:tblStyle w:val="6"/>
        <w:tblpPr w:leftFromText="180" w:rightFromText="180" w:vertAnchor="text" w:horzAnchor="page" w:tblpX="1431" w:tblpY="3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820"/>
        <w:gridCol w:w="7780"/>
        <w:gridCol w:w="194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Align w:val="center"/>
          </w:tcPr>
          <w:p>
            <w:pPr>
              <w:spacing w:line="560" w:lineRule="atLeas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序号</w:t>
            </w:r>
          </w:p>
        </w:tc>
        <w:tc>
          <w:tcPr>
            <w:tcW w:w="1820" w:type="dxa"/>
            <w:vAlign w:val="center"/>
          </w:tcPr>
          <w:p>
            <w:pPr>
              <w:spacing w:line="560" w:lineRule="atLeas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项目编号</w:t>
            </w:r>
          </w:p>
        </w:tc>
        <w:tc>
          <w:tcPr>
            <w:tcW w:w="7780" w:type="dxa"/>
            <w:vAlign w:val="center"/>
          </w:tcPr>
          <w:p>
            <w:pPr>
              <w:spacing w:line="560" w:lineRule="atLeas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项目名称</w:t>
            </w:r>
          </w:p>
        </w:tc>
        <w:tc>
          <w:tcPr>
            <w:tcW w:w="1940" w:type="dxa"/>
            <w:vAlign w:val="center"/>
          </w:tcPr>
          <w:p>
            <w:pPr>
              <w:spacing w:line="560" w:lineRule="atLeas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项目负责人</w:t>
            </w:r>
          </w:p>
        </w:tc>
        <w:tc>
          <w:tcPr>
            <w:tcW w:w="1600" w:type="dxa"/>
            <w:vAlign w:val="center"/>
          </w:tcPr>
          <w:p>
            <w:pPr>
              <w:spacing w:line="560" w:lineRule="atLeas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11</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2023JJ50289</w:t>
            </w:r>
          </w:p>
        </w:tc>
        <w:tc>
          <w:tcPr>
            <w:tcW w:w="778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基于蛋白组学研究红景天苷对心肌细胞缺氧的干预效果和机制探索</w:t>
            </w:r>
          </w:p>
        </w:tc>
        <w:tc>
          <w:tcPr>
            <w:tcW w:w="194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林新平</w:t>
            </w:r>
          </w:p>
        </w:tc>
        <w:tc>
          <w:tcPr>
            <w:tcW w:w="160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12</w:t>
            </w:r>
          </w:p>
        </w:tc>
        <w:tc>
          <w:tcPr>
            <w:tcW w:w="18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2023JJ50291</w:t>
            </w:r>
          </w:p>
        </w:tc>
        <w:tc>
          <w:tcPr>
            <w:tcW w:w="7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基于石墨烯淬灭量子点的原理构建高效快速便捷式肠道病毒临床检测系统预防手足口病</w:t>
            </w:r>
          </w:p>
        </w:tc>
        <w:tc>
          <w:tcPr>
            <w:tcW w:w="1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张文茂</w:t>
            </w: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shd w:val="clear" w:color="auto" w:fill="auto"/>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13</w:t>
            </w:r>
          </w:p>
        </w:tc>
        <w:tc>
          <w:tcPr>
            <w:tcW w:w="1820" w:type="dxa"/>
            <w:shd w:val="clear" w:color="auto" w:fill="auto"/>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2023JJ50292</w:t>
            </w:r>
          </w:p>
        </w:tc>
        <w:tc>
          <w:tcPr>
            <w:tcW w:w="7780" w:type="dxa"/>
            <w:shd w:val="clear" w:color="auto" w:fill="auto"/>
            <w:vAlign w:val="center"/>
          </w:tcPr>
          <w:p>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芦笋性别决定基因分子标记的开发及超雄株筛选利用</w:t>
            </w:r>
          </w:p>
        </w:tc>
        <w:tc>
          <w:tcPr>
            <w:tcW w:w="1940" w:type="dxa"/>
            <w:shd w:val="clear" w:color="auto" w:fill="auto"/>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刘奇颀</w:t>
            </w:r>
          </w:p>
        </w:tc>
        <w:tc>
          <w:tcPr>
            <w:tcW w:w="1600" w:type="dxa"/>
            <w:shd w:val="clear" w:color="auto" w:fill="auto"/>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14</w:t>
            </w:r>
          </w:p>
        </w:tc>
        <w:tc>
          <w:tcPr>
            <w:tcW w:w="18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2023JJ50293</w:t>
            </w:r>
          </w:p>
        </w:tc>
        <w:tc>
          <w:tcPr>
            <w:tcW w:w="7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可溶性TIM-3通过CEACAM1调控NK细胞功能参与肝癌进展的机制研究</w:t>
            </w:r>
            <w:r>
              <w:rPr>
                <w:rFonts w:hint="eastAsia" w:ascii="仿宋" w:hAnsi="仿宋" w:eastAsia="仿宋" w:cs="仿宋"/>
                <w:sz w:val="28"/>
                <w:szCs w:val="28"/>
                <w:vertAlign w:val="baseline"/>
                <w:lang w:val="en-US" w:eastAsia="zh-CN"/>
              </w:rPr>
              <w:tab/>
            </w:r>
          </w:p>
        </w:tc>
        <w:tc>
          <w:tcPr>
            <w:tcW w:w="1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许勇</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shd w:val="clear" w:color="auto" w:fill="auto"/>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w:t>
            </w:r>
          </w:p>
        </w:tc>
        <w:tc>
          <w:tcPr>
            <w:tcW w:w="1820" w:type="dxa"/>
            <w:shd w:val="clear" w:color="auto" w:fill="auto"/>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2023JJ50294</w:t>
            </w:r>
          </w:p>
        </w:tc>
        <w:tc>
          <w:tcPr>
            <w:tcW w:w="7780" w:type="dxa"/>
            <w:shd w:val="clear" w:color="auto" w:fill="auto"/>
            <w:vAlign w:val="center"/>
          </w:tcPr>
          <w:p>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LSH调控巨噬细胞铁死亡影响肺癌微环境的研究</w:t>
            </w:r>
          </w:p>
        </w:tc>
        <w:tc>
          <w:tcPr>
            <w:tcW w:w="1940" w:type="dxa"/>
            <w:shd w:val="clear" w:color="auto" w:fill="auto"/>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高亚</w:t>
            </w:r>
          </w:p>
        </w:tc>
        <w:tc>
          <w:tcPr>
            <w:tcW w:w="1600" w:type="dxa"/>
            <w:shd w:val="clear" w:color="auto" w:fill="auto"/>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shd w:val="clear" w:color="auto" w:fill="auto"/>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16</w:t>
            </w:r>
          </w:p>
        </w:tc>
        <w:tc>
          <w:tcPr>
            <w:tcW w:w="1820" w:type="dxa"/>
            <w:shd w:val="clear" w:color="auto" w:fill="auto"/>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2023JJ50295</w:t>
            </w:r>
          </w:p>
        </w:tc>
        <w:tc>
          <w:tcPr>
            <w:tcW w:w="7780" w:type="dxa"/>
            <w:shd w:val="clear" w:color="auto" w:fill="auto"/>
            <w:vAlign w:val="center"/>
          </w:tcPr>
          <w:p>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转录因子相互作用调控三阴性乳腺癌干细胞的机制研究</w:t>
            </w:r>
          </w:p>
        </w:tc>
        <w:tc>
          <w:tcPr>
            <w:tcW w:w="1940" w:type="dxa"/>
            <w:shd w:val="clear" w:color="auto" w:fill="auto"/>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李尚富</w:t>
            </w:r>
          </w:p>
        </w:tc>
        <w:tc>
          <w:tcPr>
            <w:tcW w:w="1600" w:type="dxa"/>
            <w:shd w:val="clear" w:color="auto" w:fill="auto"/>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17</w:t>
            </w:r>
          </w:p>
        </w:tc>
        <w:tc>
          <w:tcPr>
            <w:tcW w:w="18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2023JJ50296</w:t>
            </w:r>
          </w:p>
        </w:tc>
        <w:tc>
          <w:tcPr>
            <w:tcW w:w="7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LINC00342/miR-19a-3p/CYP19A1在乳腺癌内分泌治疗耐药的机制研究</w:t>
            </w:r>
          </w:p>
        </w:tc>
        <w:tc>
          <w:tcPr>
            <w:tcW w:w="1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杨忠义</w:t>
            </w: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18</w:t>
            </w:r>
          </w:p>
        </w:tc>
        <w:tc>
          <w:tcPr>
            <w:tcW w:w="18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2023JJ50297</w:t>
            </w:r>
          </w:p>
        </w:tc>
        <w:tc>
          <w:tcPr>
            <w:tcW w:w="7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PTC-209 抑制 WNT信号通路在结肠癌增殖转移分子机制的应用</w:t>
            </w:r>
          </w:p>
        </w:tc>
        <w:tc>
          <w:tcPr>
            <w:tcW w:w="1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周传意</w:t>
            </w: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19</w:t>
            </w:r>
          </w:p>
        </w:tc>
        <w:tc>
          <w:tcPr>
            <w:tcW w:w="18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2023JJ50300</w:t>
            </w:r>
          </w:p>
        </w:tc>
        <w:tc>
          <w:tcPr>
            <w:tcW w:w="7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CTRP9干预左星状神经节对大鼠心梗后心室重构和室性心律失常的影响</w:t>
            </w:r>
          </w:p>
        </w:tc>
        <w:tc>
          <w:tcPr>
            <w:tcW w:w="1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刘明鑫</w:t>
            </w:r>
          </w:p>
        </w:tc>
        <w:tc>
          <w:tcPr>
            <w:tcW w:w="16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合格</w:t>
            </w:r>
          </w:p>
        </w:tc>
      </w:tr>
    </w:tbl>
    <w:p>
      <w:pPr>
        <w:rPr>
          <w:rFonts w:hint="default"/>
          <w:lang w:val="en-US" w:eastAsia="zh-CN"/>
        </w:rPr>
      </w:pPr>
    </w:p>
    <w:p>
      <w:pPr>
        <w:rPr>
          <w:rFonts w:hint="default"/>
          <w:lang w:val="en-US" w:eastAsia="zh-CN"/>
        </w:rPr>
      </w:pPr>
      <w:r>
        <w:rPr>
          <w:rFonts w:hint="default"/>
          <w:lang w:val="en-US" w:eastAsia="zh-CN"/>
        </w:rPr>
        <w:br w:type="page"/>
      </w:r>
    </w:p>
    <w:tbl>
      <w:tblPr>
        <w:tblStyle w:val="6"/>
        <w:tblpPr w:leftFromText="180" w:rightFromText="180" w:vertAnchor="text" w:horzAnchor="page" w:tblpX="1431" w:tblpY="3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820"/>
        <w:gridCol w:w="7770"/>
        <w:gridCol w:w="1920"/>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vAlign w:val="center"/>
          </w:tcPr>
          <w:p>
            <w:pPr>
              <w:spacing w:line="560" w:lineRule="atLeas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序号</w:t>
            </w:r>
          </w:p>
        </w:tc>
        <w:tc>
          <w:tcPr>
            <w:tcW w:w="1820" w:type="dxa"/>
            <w:vAlign w:val="center"/>
          </w:tcPr>
          <w:p>
            <w:pPr>
              <w:spacing w:line="560" w:lineRule="atLeas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项目编号</w:t>
            </w:r>
          </w:p>
        </w:tc>
        <w:tc>
          <w:tcPr>
            <w:tcW w:w="7770" w:type="dxa"/>
            <w:vAlign w:val="center"/>
          </w:tcPr>
          <w:p>
            <w:pPr>
              <w:spacing w:line="560" w:lineRule="atLeas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项目名称</w:t>
            </w:r>
          </w:p>
        </w:tc>
        <w:tc>
          <w:tcPr>
            <w:tcW w:w="1920" w:type="dxa"/>
            <w:vAlign w:val="center"/>
          </w:tcPr>
          <w:p>
            <w:pPr>
              <w:spacing w:line="560" w:lineRule="atLeas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项目负责人</w:t>
            </w:r>
          </w:p>
        </w:tc>
        <w:tc>
          <w:tcPr>
            <w:tcW w:w="1630" w:type="dxa"/>
            <w:vAlign w:val="center"/>
          </w:tcPr>
          <w:p>
            <w:pPr>
              <w:spacing w:line="560" w:lineRule="atLeas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2023JJ50301</w:t>
            </w:r>
          </w:p>
        </w:tc>
        <w:tc>
          <w:tcPr>
            <w:tcW w:w="7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ZMYM4通过miR-34a-5p/ARID1A 途径促进肝细胞癌的恶性生物学行为及机制研究</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刘煜</w:t>
            </w:r>
          </w:p>
        </w:tc>
        <w:tc>
          <w:tcPr>
            <w:tcW w:w="163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21</w:t>
            </w:r>
          </w:p>
        </w:tc>
        <w:tc>
          <w:tcPr>
            <w:tcW w:w="182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2023JJ50304</w:t>
            </w:r>
          </w:p>
        </w:tc>
        <w:tc>
          <w:tcPr>
            <w:tcW w:w="7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基于临床特征和多模态超声的人工智能在甲状腺结节鉴别诊断及甲状腺癌淋巴结转移预测中的研究</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汪彬</w:t>
            </w:r>
          </w:p>
        </w:tc>
        <w:tc>
          <w:tcPr>
            <w:tcW w:w="163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vAlign w:val="center"/>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22</w:t>
            </w:r>
          </w:p>
        </w:tc>
        <w:tc>
          <w:tcPr>
            <w:tcW w:w="1820"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2023JJ50305</w:t>
            </w:r>
          </w:p>
        </w:tc>
        <w:tc>
          <w:tcPr>
            <w:tcW w:w="7770" w:type="dxa"/>
            <w:vAlign w:val="center"/>
          </w:tcPr>
          <w:p>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乳腺癌中与癌症相关的脂肪细胞去分化现象及相关机制研究</w:t>
            </w:r>
          </w:p>
        </w:tc>
        <w:tc>
          <w:tcPr>
            <w:tcW w:w="1920"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肖君</w:t>
            </w:r>
          </w:p>
        </w:tc>
        <w:tc>
          <w:tcPr>
            <w:tcW w:w="1630" w:type="dxa"/>
            <w:vAlign w:val="center"/>
          </w:tcPr>
          <w:p>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23</w:t>
            </w:r>
          </w:p>
        </w:tc>
        <w:tc>
          <w:tcPr>
            <w:tcW w:w="18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2023JJ50306</w:t>
            </w:r>
          </w:p>
        </w:tc>
        <w:tc>
          <w:tcPr>
            <w:tcW w:w="7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以CNV-seq技术为核心的产前胎儿拷贝数变异的家系分析及构建本地化数据库应用研究</w:t>
            </w:r>
          </w:p>
        </w:tc>
        <w:tc>
          <w:tcPr>
            <w:tcW w:w="19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谢梅花</w:t>
            </w:r>
          </w:p>
        </w:tc>
        <w:tc>
          <w:tcPr>
            <w:tcW w:w="16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24</w:t>
            </w:r>
          </w:p>
        </w:tc>
        <w:tc>
          <w:tcPr>
            <w:tcW w:w="18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2023JJ50307</w:t>
            </w:r>
          </w:p>
        </w:tc>
        <w:tc>
          <w:tcPr>
            <w:tcW w:w="7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基于Basigin_RdCvf信号通路探究滋阴明目丸抑制视网膜色素变性感光细胞凋亡的机制</w:t>
            </w:r>
          </w:p>
        </w:tc>
        <w:tc>
          <w:tcPr>
            <w:tcW w:w="19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谭涵宇</w:t>
            </w:r>
          </w:p>
        </w:tc>
        <w:tc>
          <w:tcPr>
            <w:tcW w:w="16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25</w:t>
            </w:r>
          </w:p>
        </w:tc>
        <w:tc>
          <w:tcPr>
            <w:tcW w:w="18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2023JJ50308</w:t>
            </w:r>
          </w:p>
        </w:tc>
        <w:tc>
          <w:tcPr>
            <w:tcW w:w="7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LncRNA-DANCR调控NF-κB骨免疫通路在PMOP中的分子机制及槲皮素的干预研究</w:t>
            </w:r>
          </w:p>
        </w:tc>
        <w:tc>
          <w:tcPr>
            <w:tcW w:w="19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易生辉</w:t>
            </w:r>
          </w:p>
        </w:tc>
        <w:tc>
          <w:tcPr>
            <w:tcW w:w="16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26</w:t>
            </w:r>
          </w:p>
        </w:tc>
        <w:tc>
          <w:tcPr>
            <w:tcW w:w="18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2023JJ50309</w:t>
            </w:r>
          </w:p>
        </w:tc>
        <w:tc>
          <w:tcPr>
            <w:tcW w:w="7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MOFs衍生铜基催化剂的构筑及催化二氧化碳加氢制甲醇性能研究</w:t>
            </w:r>
          </w:p>
        </w:tc>
        <w:tc>
          <w:tcPr>
            <w:tcW w:w="19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陈浩</w:t>
            </w:r>
          </w:p>
        </w:tc>
        <w:tc>
          <w:tcPr>
            <w:tcW w:w="16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27</w:t>
            </w:r>
          </w:p>
        </w:tc>
        <w:tc>
          <w:tcPr>
            <w:tcW w:w="18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2023JJ50310</w:t>
            </w:r>
          </w:p>
        </w:tc>
        <w:tc>
          <w:tcPr>
            <w:tcW w:w="7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m6A去甲基化酶FTO调控三阴性乳腺癌细胞铁死亡</w:t>
            </w:r>
          </w:p>
        </w:tc>
        <w:tc>
          <w:tcPr>
            <w:tcW w:w="19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王志文</w:t>
            </w:r>
          </w:p>
        </w:tc>
        <w:tc>
          <w:tcPr>
            <w:tcW w:w="16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28</w:t>
            </w:r>
          </w:p>
        </w:tc>
        <w:tc>
          <w:tcPr>
            <w:tcW w:w="18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2023JJ50311</w:t>
            </w:r>
          </w:p>
        </w:tc>
        <w:tc>
          <w:tcPr>
            <w:tcW w:w="7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基于人工神经网络模型和蛋白质组学研究干制淡水鱼的品质调控机制</w:t>
            </w:r>
          </w:p>
        </w:tc>
        <w:tc>
          <w:tcPr>
            <w:tcW w:w="19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李向红</w:t>
            </w:r>
          </w:p>
        </w:tc>
        <w:tc>
          <w:tcPr>
            <w:tcW w:w="16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rPr>
              <w:t>合格</w:t>
            </w:r>
          </w:p>
        </w:tc>
      </w:tr>
    </w:tbl>
    <w:p>
      <w:pPr>
        <w:rPr>
          <w:rFonts w:ascii="Times New Roman" w:hAnsi="Times New Roman" w:eastAsia="仿宋" w:cs="Times New Roman"/>
          <w:b/>
          <w:bCs/>
          <w:sz w:val="28"/>
          <w:szCs w:val="28"/>
          <w:highlight w:val="none"/>
        </w:rPr>
      </w:pPr>
      <w:r>
        <w:rPr>
          <w:rFonts w:ascii="Times New Roman" w:hAnsi="Times New Roman" w:eastAsia="仿宋" w:cs="Times New Roman"/>
          <w:b/>
          <w:bCs/>
          <w:sz w:val="28"/>
          <w:szCs w:val="28"/>
          <w:highlight w:val="none"/>
        </w:rPr>
        <w:br w:type="page"/>
      </w:r>
    </w:p>
    <w:tbl>
      <w:tblPr>
        <w:tblStyle w:val="6"/>
        <w:tblpPr w:leftFromText="180" w:rightFromText="180" w:vertAnchor="text" w:horzAnchor="page" w:tblpX="1431" w:tblpY="3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820"/>
        <w:gridCol w:w="7770"/>
        <w:gridCol w:w="1920"/>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vAlign w:val="center"/>
          </w:tcPr>
          <w:p>
            <w:pPr>
              <w:spacing w:line="560" w:lineRule="atLeas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序号</w:t>
            </w:r>
          </w:p>
        </w:tc>
        <w:tc>
          <w:tcPr>
            <w:tcW w:w="1820" w:type="dxa"/>
            <w:vAlign w:val="center"/>
          </w:tcPr>
          <w:p>
            <w:pPr>
              <w:spacing w:line="560" w:lineRule="atLeas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项目编号</w:t>
            </w:r>
          </w:p>
        </w:tc>
        <w:tc>
          <w:tcPr>
            <w:tcW w:w="7770" w:type="dxa"/>
            <w:vAlign w:val="center"/>
          </w:tcPr>
          <w:p>
            <w:pPr>
              <w:spacing w:line="560" w:lineRule="atLeas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项目名称</w:t>
            </w:r>
          </w:p>
        </w:tc>
        <w:tc>
          <w:tcPr>
            <w:tcW w:w="1920" w:type="dxa"/>
            <w:vAlign w:val="center"/>
          </w:tcPr>
          <w:p>
            <w:pPr>
              <w:spacing w:line="560" w:lineRule="atLeas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项目负责人</w:t>
            </w:r>
          </w:p>
        </w:tc>
        <w:tc>
          <w:tcPr>
            <w:tcW w:w="1630" w:type="dxa"/>
            <w:vAlign w:val="center"/>
          </w:tcPr>
          <w:p>
            <w:pPr>
              <w:spacing w:line="560" w:lineRule="atLeast"/>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29</w:t>
            </w:r>
          </w:p>
        </w:tc>
        <w:tc>
          <w:tcPr>
            <w:tcW w:w="18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2023JJ50312</w:t>
            </w:r>
          </w:p>
        </w:tc>
        <w:tc>
          <w:tcPr>
            <w:tcW w:w="7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支撑新型电力系统动态调节的风储联合场站精细化建模及其控制策略优化</w:t>
            </w:r>
          </w:p>
        </w:tc>
        <w:tc>
          <w:tcPr>
            <w:tcW w:w="19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许昭</w:t>
            </w:r>
          </w:p>
        </w:tc>
        <w:tc>
          <w:tcPr>
            <w:tcW w:w="163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shd w:val="clear" w:color="auto" w:fill="auto"/>
            <w:vAlign w:val="center"/>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30</w:t>
            </w:r>
          </w:p>
        </w:tc>
        <w:tc>
          <w:tcPr>
            <w:tcW w:w="1820" w:type="dxa"/>
            <w:shd w:val="clear" w:color="auto" w:fill="auto"/>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2023JJ50313</w:t>
            </w:r>
          </w:p>
        </w:tc>
        <w:tc>
          <w:tcPr>
            <w:tcW w:w="7770" w:type="dxa"/>
            <w:shd w:val="clear" w:color="auto" w:fill="auto"/>
            <w:vAlign w:val="center"/>
          </w:tcPr>
          <w:p>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塔式起重机塔身部件整体精密加工装备关键技术研究</w:t>
            </w:r>
          </w:p>
        </w:tc>
        <w:tc>
          <w:tcPr>
            <w:tcW w:w="1920" w:type="dxa"/>
            <w:shd w:val="clear" w:color="auto" w:fill="auto"/>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杨兴发</w:t>
            </w:r>
          </w:p>
        </w:tc>
        <w:tc>
          <w:tcPr>
            <w:tcW w:w="1630" w:type="dxa"/>
            <w:shd w:val="clear" w:color="auto" w:fill="auto"/>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shd w:val="clear" w:color="auto" w:fill="auto"/>
            <w:vAlign w:val="center"/>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31</w:t>
            </w:r>
          </w:p>
        </w:tc>
        <w:tc>
          <w:tcPr>
            <w:tcW w:w="1820" w:type="dxa"/>
            <w:shd w:val="clear" w:color="auto" w:fill="auto"/>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2023JJ50314</w:t>
            </w:r>
          </w:p>
        </w:tc>
        <w:tc>
          <w:tcPr>
            <w:tcW w:w="7770" w:type="dxa"/>
            <w:shd w:val="clear" w:color="auto" w:fill="auto"/>
            <w:vAlign w:val="center"/>
          </w:tcPr>
          <w:p>
            <w:p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复合氨基酸产品创制及营养代谢通路和高效利用技术研究</w:t>
            </w:r>
          </w:p>
        </w:tc>
        <w:tc>
          <w:tcPr>
            <w:tcW w:w="1920" w:type="dxa"/>
            <w:shd w:val="clear" w:color="auto" w:fill="auto"/>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唐宇龙</w:t>
            </w:r>
          </w:p>
        </w:tc>
        <w:tc>
          <w:tcPr>
            <w:tcW w:w="1630" w:type="dxa"/>
            <w:shd w:val="clear" w:color="auto" w:fill="auto"/>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shd w:val="clear" w:color="auto" w:fill="auto"/>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32</w:t>
            </w:r>
          </w:p>
        </w:tc>
        <w:tc>
          <w:tcPr>
            <w:tcW w:w="1820" w:type="dxa"/>
            <w:shd w:val="clear" w:color="auto" w:fill="auto"/>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2023JJ50315</w:t>
            </w:r>
          </w:p>
        </w:tc>
        <w:tc>
          <w:tcPr>
            <w:tcW w:w="7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来源于Thermomyces lauginosus 菌株的脂肪酶基因高效表达及催化机理研究</w:t>
            </w:r>
          </w:p>
        </w:tc>
        <w:tc>
          <w:tcPr>
            <w:tcW w:w="1920" w:type="dxa"/>
            <w:shd w:val="clear" w:color="auto" w:fill="auto"/>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成莉凤</w:t>
            </w:r>
          </w:p>
        </w:tc>
        <w:tc>
          <w:tcPr>
            <w:tcW w:w="1630" w:type="dxa"/>
            <w:shd w:val="clear" w:color="auto" w:fill="auto"/>
            <w:vAlign w:val="center"/>
          </w:tcPr>
          <w:p>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合格</w:t>
            </w:r>
          </w:p>
        </w:tc>
      </w:tr>
    </w:tbl>
    <w:p>
      <w:pPr>
        <w:rPr>
          <w:rFonts w:ascii="Times New Roman" w:hAnsi="Times New Roman" w:eastAsia="仿宋" w:cs="Times New Roman"/>
          <w:b/>
          <w:bCs/>
          <w:sz w:val="28"/>
          <w:szCs w:val="28"/>
          <w:highlight w:val="none"/>
        </w:rPr>
      </w:pPr>
    </w:p>
    <w:p>
      <w:pPr>
        <w:pStyle w:val="2"/>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textAlignment w:val="auto"/>
      </w:pPr>
    </w:p>
    <w:sectPr>
      <w:pgSz w:w="16838" w:h="11906" w:orient="landscape"/>
      <w:pgMar w:top="1587" w:right="2098" w:bottom="1474" w:left="204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YjZlNDc5NmFmMzc2OWEzZDNiZjNhOTEwNjA3OWYifQ=="/>
  </w:docVars>
  <w:rsids>
    <w:rsidRoot w:val="5E613073"/>
    <w:rsid w:val="0442138C"/>
    <w:rsid w:val="16A9014A"/>
    <w:rsid w:val="23053823"/>
    <w:rsid w:val="2D63047F"/>
    <w:rsid w:val="36F1485B"/>
    <w:rsid w:val="379F6238"/>
    <w:rsid w:val="3BC0394A"/>
    <w:rsid w:val="419D6CBF"/>
    <w:rsid w:val="469F7DB5"/>
    <w:rsid w:val="474465B1"/>
    <w:rsid w:val="488A298C"/>
    <w:rsid w:val="4DE23147"/>
    <w:rsid w:val="59E32B32"/>
    <w:rsid w:val="5B773D0D"/>
    <w:rsid w:val="5E613073"/>
    <w:rsid w:val="5EDF15DB"/>
    <w:rsid w:val="60B1344C"/>
    <w:rsid w:val="61A06982"/>
    <w:rsid w:val="633E7FFC"/>
    <w:rsid w:val="727706B6"/>
    <w:rsid w:val="75CD0BB4"/>
    <w:rsid w:val="7BB83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仿宋_GB2312"/>
      <w:kern w:val="2"/>
      <w:sz w:val="32"/>
      <w:szCs w:val="32"/>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2026-04-28T02:13:00Z</dcterms:created>
  <dc:creator>周石玉</dc:creator>
  <cp:lastModifiedBy>周石玉</cp:lastModifiedBy>
  <cp:lastPrinted>2026-06-01T03:05:00Z</cp:lastPrinted>
  <dcterms:modified xsi:type="dcterms:W3CDTF">2026-06-02T09:36:09Z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FCE37F07F3484C95BCC7A1AAF6B8AA8C_13</vt:lpwstr>
  </property>
</Properties>
</file>