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FD3E4AA">
      <w:pPr>
        <w:rPr>
          <w:rFonts w:hint="default" w:ascii="Times New Roman" w:cs="Times New Roman"/>
          <w:color w:val="auto"/>
          <w:sz w:val="2"/>
          <w:szCs w:val="2"/>
        </w:rPr>
      </w:pPr>
      <w:bookmarkStart w:id="0" w:name="_GoBack"/>
      <w:bookmarkEnd w:id="0"/>
    </w:p>
    <w:tbl>
      <w:tblPr>
        <w:tblStyle w:val="7"/>
        <w:tblW w:w="15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306"/>
      </w:tblGrid>
      <w:tr w14:paraId="349F0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9581"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BB97E50">
            <w:pPr>
              <w:spacing w:line="1110" w:lineRule="exact"/>
              <w:ind w:left="20"/>
              <w:jc w:val="center"/>
              <w:rPr>
                <w:rFonts w:hint="eastAsia" w:ascii="微软雅黑" w:hAnsi="Times New Roman" w:eastAsia="微软雅黑" w:cs="微软雅黑"/>
                <w:b/>
                <w:sz w:val="84"/>
                <w:szCs w:val="84"/>
              </w:rPr>
            </w:pPr>
            <w:r>
              <w:rPr>
                <w:rFonts w:hint="eastAsia" w:ascii="微软雅黑" w:hAnsi="Times New Roman" w:eastAsia="微软雅黑" w:cs="微软雅黑"/>
                <w:b/>
                <w:sz w:val="84"/>
                <w:szCs w:val="84"/>
              </w:rPr>
              <w:t>岳阳市建设工程质量安全监督站2025年度</w:t>
            </w:r>
          </w:p>
          <w:p w14:paraId="211F7666">
            <w:pPr>
              <w:spacing w:line="1110" w:lineRule="exact"/>
              <w:ind w:left="20"/>
              <w:jc w:val="center"/>
              <w:rPr>
                <w:rFonts w:hint="eastAsia" w:ascii="微软雅黑" w:hAnsi="Times New Roman" w:eastAsia="微软雅黑" w:cs="微软雅黑"/>
                <w:sz w:val="84"/>
                <w:szCs w:val="84"/>
              </w:rPr>
            </w:pPr>
            <w:r>
              <w:rPr>
                <w:rFonts w:hint="eastAsia" w:ascii="微软雅黑" w:hAnsi="Times New Roman" w:eastAsia="微软雅黑" w:cs="微软雅黑"/>
                <w:b/>
                <w:sz w:val="84"/>
                <w:szCs w:val="84"/>
              </w:rPr>
              <w:t>单位预算</w:t>
            </w:r>
          </w:p>
        </w:tc>
      </w:tr>
      <w:tr w14:paraId="29996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442"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7454A22">
            <w:pPr>
              <w:spacing w:line="525" w:lineRule="exact"/>
              <w:ind w:left="20"/>
              <w:jc w:val="center"/>
              <w:rPr>
                <w:rFonts w:hint="eastAsia" w:ascii="Dialog" w:hAnsi="Times New Roman" w:cs="Dialog"/>
                <w:sz w:val="44"/>
                <w:szCs w:val="44"/>
              </w:rPr>
            </w:pPr>
            <w:r>
              <w:rPr>
                <w:rFonts w:hint="eastAsia" w:ascii="Dialog" w:hAnsi="Times New Roman" w:cs="Dialog"/>
                <w:sz w:val="44"/>
                <w:szCs w:val="44"/>
              </w:rPr>
              <w:t>目录</w:t>
            </w:r>
          </w:p>
        </w:tc>
      </w:tr>
      <w:tr w14:paraId="32BB6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6944B754">
            <w:pPr>
              <w:rPr>
                <w:rFonts w:hint="default" w:ascii="Times New Roman" w:cs="Times New Roman"/>
                <w:color w:val="auto"/>
                <w:sz w:val="24"/>
                <w:szCs w:val="24"/>
              </w:rPr>
            </w:pPr>
          </w:p>
        </w:tc>
      </w:tr>
      <w:tr w14:paraId="17C4A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960CFCA">
            <w:pPr>
              <w:spacing w:line="375" w:lineRule="exact"/>
              <w:ind w:left="20"/>
              <w:rPr>
                <w:rFonts w:hint="eastAsia" w:ascii="Dialog" w:hAnsi="Times New Roman" w:cs="Dialog"/>
                <w:sz w:val="32"/>
                <w:szCs w:val="32"/>
              </w:rPr>
            </w:pPr>
            <w:r>
              <w:rPr>
                <w:rFonts w:hint="eastAsia" w:ascii="Dialog" w:hAnsi="Times New Roman" w:cs="Dialog"/>
                <w:sz w:val="32"/>
                <w:szCs w:val="32"/>
              </w:rPr>
              <w:t>第一部分  2025年单位预算说明</w:t>
            </w:r>
          </w:p>
        </w:tc>
      </w:tr>
      <w:tr w14:paraId="02A7A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D0E7B61">
            <w:pPr>
              <w:spacing w:line="375" w:lineRule="exact"/>
              <w:ind w:left="20"/>
              <w:rPr>
                <w:rFonts w:hint="eastAsia" w:ascii="Dialog" w:hAnsi="Times New Roman" w:cs="Dialog"/>
                <w:sz w:val="32"/>
                <w:szCs w:val="32"/>
              </w:rPr>
            </w:pPr>
            <w:r>
              <w:rPr>
                <w:rFonts w:hint="eastAsia" w:ascii="Dialog" w:hAnsi="Times New Roman" w:cs="Dialog"/>
                <w:sz w:val="32"/>
                <w:szCs w:val="32"/>
              </w:rPr>
              <w:t>第二部分  2025年单位预算公开表格</w:t>
            </w:r>
          </w:p>
        </w:tc>
      </w:tr>
      <w:tr w14:paraId="1C6A1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A20C297">
            <w:pPr>
              <w:spacing w:line="375" w:lineRule="exact"/>
              <w:ind w:left="20"/>
              <w:rPr>
                <w:rFonts w:hint="eastAsia" w:ascii="Dialog" w:hAnsi="Times New Roman" w:cs="Dialog"/>
                <w:sz w:val="32"/>
                <w:szCs w:val="32"/>
              </w:rPr>
            </w:pPr>
            <w:r>
              <w:rPr>
                <w:rFonts w:hint="eastAsia" w:ascii="Dialog" w:hAnsi="Times New Roman" w:cs="Dialog"/>
                <w:sz w:val="32"/>
                <w:szCs w:val="32"/>
              </w:rPr>
              <w:t>1、收支总表</w:t>
            </w:r>
          </w:p>
        </w:tc>
      </w:tr>
      <w:tr w14:paraId="0D88F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7CE6ADF">
            <w:pPr>
              <w:spacing w:line="375" w:lineRule="exact"/>
              <w:ind w:left="20"/>
              <w:rPr>
                <w:rFonts w:hint="eastAsia" w:ascii="Dialog" w:hAnsi="Times New Roman" w:cs="Dialog"/>
                <w:sz w:val="32"/>
                <w:szCs w:val="32"/>
              </w:rPr>
            </w:pPr>
            <w:r>
              <w:rPr>
                <w:rFonts w:hint="eastAsia" w:ascii="Dialog" w:hAnsi="Times New Roman" w:cs="Dialog"/>
                <w:sz w:val="32"/>
                <w:szCs w:val="32"/>
              </w:rPr>
              <w:t>2、收入总表</w:t>
            </w:r>
          </w:p>
        </w:tc>
      </w:tr>
      <w:tr w14:paraId="14270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D5B7C98">
            <w:pPr>
              <w:spacing w:line="375" w:lineRule="exact"/>
              <w:ind w:left="20"/>
              <w:rPr>
                <w:rFonts w:hint="eastAsia" w:ascii="Dialog" w:hAnsi="Times New Roman" w:cs="Dialog"/>
                <w:sz w:val="32"/>
                <w:szCs w:val="32"/>
              </w:rPr>
            </w:pPr>
            <w:r>
              <w:rPr>
                <w:rFonts w:hint="eastAsia" w:ascii="Dialog" w:hAnsi="Times New Roman" w:cs="Dialog"/>
                <w:sz w:val="32"/>
                <w:szCs w:val="32"/>
              </w:rPr>
              <w:t>3、支出总表</w:t>
            </w:r>
          </w:p>
        </w:tc>
      </w:tr>
      <w:tr w14:paraId="321B8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3333555">
            <w:pPr>
              <w:spacing w:line="375" w:lineRule="exact"/>
              <w:ind w:left="20"/>
              <w:rPr>
                <w:rFonts w:hint="eastAsia" w:ascii="Dialog" w:hAnsi="Times New Roman" w:cs="Dialog"/>
                <w:sz w:val="32"/>
                <w:szCs w:val="32"/>
              </w:rPr>
            </w:pPr>
            <w:r>
              <w:rPr>
                <w:rFonts w:hint="eastAsia" w:ascii="Dialog" w:hAnsi="Times New Roman" w:cs="Dialog"/>
                <w:sz w:val="32"/>
                <w:szCs w:val="32"/>
              </w:rPr>
              <w:t>4、支出预算分类汇总表（按政府预算经济分类）</w:t>
            </w:r>
          </w:p>
        </w:tc>
      </w:tr>
      <w:tr w14:paraId="7EA60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C265776">
            <w:pPr>
              <w:spacing w:line="375" w:lineRule="exact"/>
              <w:ind w:left="20"/>
              <w:rPr>
                <w:rFonts w:hint="eastAsia" w:ascii="Dialog" w:hAnsi="Times New Roman" w:cs="Dialog"/>
                <w:sz w:val="32"/>
                <w:szCs w:val="32"/>
              </w:rPr>
            </w:pPr>
            <w:r>
              <w:rPr>
                <w:rFonts w:hint="eastAsia" w:ascii="Dialog" w:hAnsi="Times New Roman" w:cs="Dialog"/>
                <w:sz w:val="32"/>
                <w:szCs w:val="32"/>
              </w:rPr>
              <w:t>5、支出预算分类汇总表（按部门预算经济分类）</w:t>
            </w:r>
          </w:p>
        </w:tc>
      </w:tr>
      <w:tr w14:paraId="01281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267C2FA">
            <w:pPr>
              <w:spacing w:line="375" w:lineRule="exact"/>
              <w:ind w:left="20"/>
              <w:rPr>
                <w:rFonts w:hint="eastAsia" w:ascii="Dialog" w:hAnsi="Times New Roman" w:cs="Dialog"/>
                <w:sz w:val="32"/>
                <w:szCs w:val="32"/>
              </w:rPr>
            </w:pPr>
            <w:r>
              <w:rPr>
                <w:rFonts w:hint="eastAsia" w:ascii="Dialog" w:hAnsi="Times New Roman" w:cs="Dialog"/>
                <w:sz w:val="32"/>
                <w:szCs w:val="32"/>
              </w:rPr>
              <w:t>6、财政拨款收支总表</w:t>
            </w:r>
          </w:p>
        </w:tc>
      </w:tr>
      <w:tr w14:paraId="3C13E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4FB3F25">
            <w:pPr>
              <w:spacing w:line="375" w:lineRule="exact"/>
              <w:ind w:left="20"/>
              <w:rPr>
                <w:rFonts w:hint="eastAsia" w:ascii="Dialog" w:hAnsi="Times New Roman" w:cs="Dialog"/>
                <w:sz w:val="32"/>
                <w:szCs w:val="32"/>
              </w:rPr>
            </w:pPr>
            <w:r>
              <w:rPr>
                <w:rFonts w:hint="eastAsia" w:ascii="Dialog" w:hAnsi="Times New Roman" w:cs="Dialog"/>
                <w:sz w:val="32"/>
                <w:szCs w:val="32"/>
              </w:rPr>
              <w:t>7、一般公共预算支出表</w:t>
            </w:r>
          </w:p>
        </w:tc>
      </w:tr>
      <w:tr w14:paraId="47245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77A9B35">
            <w:pPr>
              <w:spacing w:line="375" w:lineRule="exact"/>
              <w:ind w:left="20"/>
              <w:rPr>
                <w:rFonts w:hint="eastAsia" w:ascii="Dialog" w:hAnsi="Times New Roman" w:cs="Dialog"/>
                <w:sz w:val="32"/>
                <w:szCs w:val="32"/>
              </w:rPr>
            </w:pPr>
            <w:r>
              <w:rPr>
                <w:rFonts w:hint="eastAsia" w:ascii="Dialog" w:hAnsi="Times New Roman" w:cs="Dialog"/>
                <w:sz w:val="32"/>
                <w:szCs w:val="32"/>
              </w:rPr>
              <w:t>8、一般公共预算基本支出表-人员经费（工资福利支出）（按政府预算经济分类）</w:t>
            </w:r>
          </w:p>
        </w:tc>
      </w:tr>
      <w:tr w14:paraId="6D154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7F0DD4B">
            <w:pPr>
              <w:spacing w:line="375" w:lineRule="exact"/>
              <w:ind w:left="20"/>
              <w:rPr>
                <w:rFonts w:hint="eastAsia" w:ascii="Dialog" w:hAnsi="Times New Roman" w:cs="Dialog"/>
                <w:sz w:val="32"/>
                <w:szCs w:val="32"/>
              </w:rPr>
            </w:pPr>
            <w:r>
              <w:rPr>
                <w:rFonts w:hint="eastAsia" w:ascii="Dialog" w:hAnsi="Times New Roman" w:cs="Dialog"/>
                <w:sz w:val="32"/>
                <w:szCs w:val="32"/>
              </w:rPr>
              <w:t>9、一般公共预算基本支出表-人员经费（工资福利支出）（按部门预算经济分类）</w:t>
            </w:r>
          </w:p>
        </w:tc>
      </w:tr>
      <w:tr w14:paraId="729F4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EF757EE">
            <w:pPr>
              <w:spacing w:line="375" w:lineRule="exact"/>
              <w:ind w:left="20"/>
              <w:rPr>
                <w:rFonts w:hint="eastAsia" w:ascii="Dialog" w:hAnsi="Times New Roman" w:cs="Dialog"/>
                <w:sz w:val="32"/>
                <w:szCs w:val="32"/>
              </w:rPr>
            </w:pPr>
            <w:r>
              <w:rPr>
                <w:rFonts w:hint="eastAsia" w:ascii="Dialog" w:hAnsi="Times New Roman" w:cs="Dialog"/>
                <w:sz w:val="32"/>
                <w:szCs w:val="32"/>
              </w:rPr>
              <w:t>10、一般公共预算基本支出表-人员经费（对个人和家庭的补助）（按政府预算经济分类）</w:t>
            </w:r>
          </w:p>
        </w:tc>
      </w:tr>
      <w:tr w14:paraId="42C6C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AF437CF">
            <w:pPr>
              <w:spacing w:line="375" w:lineRule="exact"/>
              <w:ind w:left="20"/>
              <w:rPr>
                <w:rFonts w:hint="eastAsia" w:ascii="Dialog" w:hAnsi="Times New Roman" w:cs="Dialog"/>
                <w:sz w:val="32"/>
                <w:szCs w:val="32"/>
              </w:rPr>
            </w:pPr>
            <w:r>
              <w:rPr>
                <w:rFonts w:hint="eastAsia" w:ascii="Dialog" w:hAnsi="Times New Roman" w:cs="Dialog"/>
                <w:sz w:val="32"/>
                <w:szCs w:val="32"/>
              </w:rPr>
              <w:t>11、一般公共预算基本支出表-人员经费（对个人和家庭的补助）（按部门预算经济分类）</w:t>
            </w:r>
          </w:p>
        </w:tc>
      </w:tr>
      <w:tr w14:paraId="5B2CF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7AD083B">
            <w:pPr>
              <w:spacing w:line="375" w:lineRule="exact"/>
              <w:ind w:left="20"/>
              <w:rPr>
                <w:rFonts w:hint="eastAsia" w:ascii="Dialog" w:hAnsi="Times New Roman" w:cs="Dialog"/>
                <w:sz w:val="32"/>
                <w:szCs w:val="32"/>
              </w:rPr>
            </w:pPr>
            <w:r>
              <w:rPr>
                <w:rFonts w:hint="eastAsia" w:ascii="Dialog" w:hAnsi="Times New Roman" w:cs="Dialog"/>
                <w:sz w:val="32"/>
                <w:szCs w:val="32"/>
              </w:rPr>
              <w:t>12、一般公共预算基本支出表-公用经费（商品和服务支出）（按政府预算经济分类）</w:t>
            </w:r>
          </w:p>
        </w:tc>
      </w:tr>
      <w:tr w14:paraId="5BE23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B85985C">
            <w:pPr>
              <w:spacing w:line="375" w:lineRule="exact"/>
              <w:ind w:left="20"/>
              <w:rPr>
                <w:rFonts w:hint="eastAsia" w:ascii="Dialog" w:hAnsi="Times New Roman" w:cs="Dialog"/>
                <w:sz w:val="32"/>
                <w:szCs w:val="32"/>
              </w:rPr>
            </w:pPr>
            <w:r>
              <w:rPr>
                <w:rFonts w:hint="eastAsia" w:ascii="Dialog" w:hAnsi="Times New Roman" w:cs="Dialog"/>
                <w:sz w:val="32"/>
                <w:szCs w:val="32"/>
              </w:rPr>
              <w:t>13、一般公共预算基本支出表-公用经费（商品和服务支出）（按部门预算经济分类）</w:t>
            </w:r>
          </w:p>
        </w:tc>
      </w:tr>
      <w:tr w14:paraId="28BBE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FA7D9ED">
            <w:pPr>
              <w:spacing w:line="375" w:lineRule="exact"/>
              <w:ind w:left="20"/>
              <w:rPr>
                <w:rFonts w:hint="eastAsia" w:ascii="Dialog" w:hAnsi="Times New Roman" w:cs="Dialog"/>
                <w:sz w:val="32"/>
                <w:szCs w:val="32"/>
              </w:rPr>
            </w:pPr>
            <w:r>
              <w:rPr>
                <w:rFonts w:hint="eastAsia" w:ascii="Dialog" w:hAnsi="Times New Roman" w:cs="Dialog"/>
                <w:sz w:val="32"/>
                <w:szCs w:val="32"/>
              </w:rPr>
              <w:t>14、一般公共预算“三公”经费支出表</w:t>
            </w:r>
          </w:p>
        </w:tc>
      </w:tr>
      <w:tr w14:paraId="5B8B3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FCBA7B0">
            <w:pPr>
              <w:spacing w:line="375" w:lineRule="exact"/>
              <w:ind w:left="20"/>
              <w:rPr>
                <w:rFonts w:hint="eastAsia" w:ascii="Dialog" w:hAnsi="Times New Roman" w:cs="Dialog"/>
                <w:sz w:val="32"/>
                <w:szCs w:val="32"/>
              </w:rPr>
            </w:pPr>
            <w:r>
              <w:rPr>
                <w:rFonts w:hint="eastAsia" w:ascii="Dialog" w:hAnsi="Times New Roman" w:cs="Dialog"/>
                <w:sz w:val="32"/>
                <w:szCs w:val="32"/>
              </w:rPr>
              <w:t>15、政府性基金预算支出表</w:t>
            </w:r>
          </w:p>
        </w:tc>
      </w:tr>
      <w:tr w14:paraId="64FDE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75BAE41">
            <w:pPr>
              <w:spacing w:line="375" w:lineRule="exact"/>
              <w:ind w:left="20"/>
              <w:rPr>
                <w:rFonts w:hint="eastAsia" w:ascii="Dialog" w:hAnsi="Times New Roman" w:cs="Dialog"/>
                <w:sz w:val="32"/>
                <w:szCs w:val="32"/>
              </w:rPr>
            </w:pPr>
            <w:r>
              <w:rPr>
                <w:rFonts w:hint="eastAsia" w:ascii="Dialog" w:hAnsi="Times New Roman" w:cs="Dialog"/>
                <w:sz w:val="32"/>
                <w:szCs w:val="32"/>
              </w:rPr>
              <w:t>16、政府性基金预算支出分类汇总表（按政府预算经济分类）</w:t>
            </w:r>
          </w:p>
        </w:tc>
      </w:tr>
      <w:tr w14:paraId="5EA55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B615DA2">
            <w:pPr>
              <w:spacing w:line="375" w:lineRule="exact"/>
              <w:ind w:left="20"/>
              <w:rPr>
                <w:rFonts w:hint="eastAsia" w:ascii="Dialog" w:hAnsi="Times New Roman" w:cs="Dialog"/>
                <w:sz w:val="32"/>
                <w:szCs w:val="32"/>
              </w:rPr>
            </w:pPr>
            <w:r>
              <w:rPr>
                <w:rFonts w:hint="eastAsia" w:ascii="Dialog" w:hAnsi="Times New Roman" w:cs="Dialog"/>
                <w:sz w:val="32"/>
                <w:szCs w:val="32"/>
              </w:rPr>
              <w:t>17、政府性基金预算支出分类汇总表（按部门预算经济分类）</w:t>
            </w:r>
          </w:p>
        </w:tc>
      </w:tr>
      <w:tr w14:paraId="30B13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45698A1">
            <w:pPr>
              <w:spacing w:line="375" w:lineRule="exact"/>
              <w:ind w:left="20"/>
              <w:rPr>
                <w:rFonts w:hint="eastAsia" w:ascii="Dialog" w:hAnsi="Times New Roman" w:cs="Dialog"/>
                <w:sz w:val="32"/>
                <w:szCs w:val="32"/>
              </w:rPr>
            </w:pPr>
            <w:r>
              <w:rPr>
                <w:rFonts w:hint="eastAsia" w:ascii="Dialog" w:hAnsi="Times New Roman" w:cs="Dialog"/>
                <w:sz w:val="32"/>
                <w:szCs w:val="32"/>
              </w:rPr>
              <w:t>18、国有资本经营预算支出表</w:t>
            </w:r>
          </w:p>
        </w:tc>
      </w:tr>
      <w:tr w14:paraId="40B38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48646BE">
            <w:pPr>
              <w:spacing w:line="375" w:lineRule="exact"/>
              <w:ind w:left="20"/>
              <w:rPr>
                <w:rFonts w:hint="eastAsia" w:ascii="Dialog" w:hAnsi="Times New Roman" w:cs="Dialog"/>
                <w:sz w:val="32"/>
                <w:szCs w:val="32"/>
              </w:rPr>
            </w:pPr>
            <w:r>
              <w:rPr>
                <w:rFonts w:hint="eastAsia" w:ascii="Dialog" w:hAnsi="Times New Roman" w:cs="Dialog"/>
                <w:sz w:val="32"/>
                <w:szCs w:val="32"/>
              </w:rPr>
              <w:t>19、财政专户管理资金预算支出表</w:t>
            </w:r>
          </w:p>
        </w:tc>
      </w:tr>
      <w:tr w14:paraId="40C89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9BB643A">
            <w:pPr>
              <w:spacing w:line="375" w:lineRule="exact"/>
              <w:ind w:left="20"/>
              <w:rPr>
                <w:rFonts w:hint="eastAsia" w:ascii="Dialog" w:hAnsi="Times New Roman" w:cs="Dialog"/>
                <w:sz w:val="32"/>
                <w:szCs w:val="32"/>
              </w:rPr>
            </w:pPr>
            <w:r>
              <w:rPr>
                <w:rFonts w:hint="eastAsia" w:ascii="Dialog" w:hAnsi="Times New Roman" w:cs="Dialog"/>
                <w:sz w:val="32"/>
                <w:szCs w:val="32"/>
              </w:rPr>
              <w:t>20、专项资金预算汇总表</w:t>
            </w:r>
          </w:p>
        </w:tc>
      </w:tr>
      <w:tr w14:paraId="7AC49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F26A2EE">
            <w:pPr>
              <w:spacing w:line="375" w:lineRule="exact"/>
              <w:ind w:left="20"/>
              <w:rPr>
                <w:rFonts w:hint="eastAsia" w:ascii="Dialog" w:hAnsi="Times New Roman" w:cs="Dialog"/>
                <w:sz w:val="32"/>
                <w:szCs w:val="32"/>
              </w:rPr>
            </w:pPr>
            <w:r>
              <w:rPr>
                <w:rFonts w:hint="eastAsia" w:ascii="Dialog" w:hAnsi="Times New Roman" w:cs="Dialog"/>
                <w:sz w:val="32"/>
                <w:szCs w:val="32"/>
              </w:rPr>
              <w:t>21、项目支出绩效目标表</w:t>
            </w:r>
          </w:p>
        </w:tc>
      </w:tr>
      <w:tr w14:paraId="7FD6E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383271E">
            <w:pPr>
              <w:spacing w:line="375" w:lineRule="exact"/>
              <w:ind w:left="20"/>
              <w:rPr>
                <w:rFonts w:hint="eastAsia" w:ascii="Dialog" w:hAnsi="Times New Roman" w:cs="Dialog"/>
                <w:sz w:val="32"/>
                <w:szCs w:val="32"/>
              </w:rPr>
            </w:pPr>
            <w:r>
              <w:rPr>
                <w:rFonts w:hint="eastAsia" w:ascii="Dialog" w:hAnsi="Times New Roman" w:cs="Dialog"/>
                <w:sz w:val="32"/>
                <w:szCs w:val="32"/>
              </w:rPr>
              <w:t>22、单位整体支出绩效目标表</w:t>
            </w:r>
          </w:p>
        </w:tc>
      </w:tr>
      <w:tr w14:paraId="55637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44E0E9A">
            <w:pPr>
              <w:spacing w:line="375" w:lineRule="exact"/>
              <w:ind w:left="20"/>
              <w:rPr>
                <w:rFonts w:hint="eastAsia" w:ascii="Dialog" w:hAnsi="Times New Roman" w:cs="Dialog"/>
                <w:sz w:val="32"/>
                <w:szCs w:val="32"/>
              </w:rPr>
            </w:pPr>
            <w:r>
              <w:rPr>
                <w:rFonts w:hint="eastAsia" w:ascii="Dialog" w:hAnsi="Times New Roman" w:cs="Dialog"/>
                <w:sz w:val="32"/>
                <w:szCs w:val="32"/>
              </w:rPr>
              <w:t>23、一般公共预算基本支出表</w:t>
            </w:r>
          </w:p>
        </w:tc>
      </w:tr>
      <w:tr w14:paraId="265B4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F1756A9">
            <w:pPr>
              <w:spacing w:line="375" w:lineRule="exact"/>
              <w:ind w:left="20"/>
              <w:rPr>
                <w:rFonts w:hint="eastAsia" w:ascii="Dialog" w:hAnsi="Times New Roman" w:cs="Dialog"/>
                <w:color w:val="FF0000"/>
                <w:sz w:val="32"/>
                <w:szCs w:val="32"/>
              </w:rPr>
            </w:pPr>
            <w:r>
              <w:rPr>
                <w:rFonts w:hint="eastAsia" w:ascii="Dialog" w:hAnsi="Times New Roman" w:cs="Dialog"/>
                <w:color w:val="FF0000"/>
                <w:sz w:val="32"/>
                <w:szCs w:val="32"/>
              </w:rPr>
              <w:t>注：以上单位预算公开报表中，空表表示本单位无相关收支情况。</w:t>
            </w:r>
          </w:p>
        </w:tc>
      </w:tr>
      <w:tr w14:paraId="0236F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60AE01CC">
            <w:pPr>
              <w:rPr>
                <w:rFonts w:hint="default" w:ascii="Times New Roman" w:cs="Times New Roman"/>
                <w:color w:val="auto"/>
                <w:sz w:val="24"/>
                <w:szCs w:val="24"/>
              </w:rPr>
            </w:pPr>
          </w:p>
        </w:tc>
      </w:tr>
      <w:tr w14:paraId="03BE5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58C544B2">
            <w:pPr>
              <w:rPr>
                <w:rFonts w:hint="default" w:ascii="Times New Roman" w:cs="Times New Roman"/>
                <w:color w:val="auto"/>
                <w:sz w:val="24"/>
                <w:szCs w:val="24"/>
              </w:rPr>
            </w:pPr>
          </w:p>
        </w:tc>
      </w:tr>
      <w:tr w14:paraId="629F9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669A2A7">
            <w:pPr>
              <w:spacing w:line="375" w:lineRule="exact"/>
              <w:ind w:left="20"/>
              <w:jc w:val="center"/>
              <w:rPr>
                <w:rFonts w:hint="eastAsia" w:ascii="Dialog" w:hAnsi="Times New Roman" w:cs="Dialog"/>
                <w:sz w:val="32"/>
                <w:szCs w:val="32"/>
              </w:rPr>
            </w:pPr>
            <w:r>
              <w:rPr>
                <w:rFonts w:hint="eastAsia" w:ascii="Dialog" w:hAnsi="Times New Roman" w:cs="Dialog"/>
                <w:sz w:val="32"/>
                <w:szCs w:val="32"/>
              </w:rPr>
              <w:t>第一部分  2025年单位预算说明</w:t>
            </w:r>
          </w:p>
        </w:tc>
      </w:tr>
      <w:tr w14:paraId="5CA27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65B5F607">
            <w:pPr>
              <w:rPr>
                <w:rFonts w:hint="default" w:ascii="Times New Roman" w:cs="Times New Roman"/>
                <w:color w:val="auto"/>
                <w:sz w:val="24"/>
                <w:szCs w:val="24"/>
              </w:rPr>
            </w:pPr>
          </w:p>
        </w:tc>
      </w:tr>
      <w:tr w14:paraId="1A7B3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A04D551">
            <w:pPr>
              <w:spacing w:line="375" w:lineRule="exact"/>
              <w:ind w:left="20"/>
              <w:rPr>
                <w:rFonts w:hint="eastAsia" w:ascii="Dialog" w:hAnsi="Times New Roman" w:cs="Dialog"/>
                <w:sz w:val="32"/>
                <w:szCs w:val="32"/>
              </w:rPr>
            </w:pPr>
            <w:r>
              <w:rPr>
                <w:rFonts w:hint="eastAsia" w:ascii="Dialog" w:hAnsi="Times New Roman" w:cs="Dialog"/>
                <w:sz w:val="32"/>
                <w:szCs w:val="32"/>
              </w:rPr>
              <w:t xml:space="preserve">  一、单位基本概况</w:t>
            </w:r>
          </w:p>
        </w:tc>
      </w:tr>
      <w:tr w14:paraId="3FF0D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2D7AD7E">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（一）职能职责</w:t>
            </w:r>
          </w:p>
        </w:tc>
      </w:tr>
      <w:tr w14:paraId="242E5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FE50F70">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（一）为机关提供支持保障的职能</w:t>
            </w:r>
          </w:p>
          <w:p w14:paraId="763E0116">
            <w:pPr>
              <w:spacing w:line="375" w:lineRule="exact"/>
              <w:ind w:left="20"/>
              <w:rPr>
                <w:rFonts w:hint="eastAsia" w:ascii="宋体" w:hAnsi="Times New Roman" w:cs="宋体"/>
                <w:sz w:val="32"/>
                <w:szCs w:val="32"/>
              </w:rPr>
            </w:pPr>
            <w:r>
              <w:rPr>
                <w:rFonts w:hint="eastAsia" w:ascii="宋体" w:hAnsi="Times New Roman" w:cs="宋体"/>
                <w:sz w:val="32"/>
                <w:szCs w:val="32"/>
              </w:rPr>
              <w:t>1.参与拟订建设工程质量安全监督管理的有关规定和年度工作计划并实施的事务性工作。</w:t>
            </w:r>
          </w:p>
          <w:p w14:paraId="79BB68BF">
            <w:pPr>
              <w:spacing w:line="375" w:lineRule="exact"/>
              <w:ind w:left="20"/>
              <w:rPr>
                <w:rFonts w:hint="eastAsia" w:ascii="宋体" w:hAnsi="Times New Roman" w:cs="宋体"/>
                <w:sz w:val="32"/>
                <w:szCs w:val="32"/>
              </w:rPr>
            </w:pPr>
            <w:r>
              <w:rPr>
                <w:rFonts w:hint="eastAsia" w:ascii="宋体" w:hAnsi="Times New Roman" w:cs="宋体"/>
                <w:sz w:val="32"/>
                <w:szCs w:val="32"/>
              </w:rPr>
              <w:t>2.负责中心城区（含城陵矶新港区，下同）已办理施工质量安全监督手续并取得施工许可证的工程项目质量安全监督及文明施工管理的行政辅助工作；负责违反建筑市场、工程质量安全、建筑节能等相关法律法规和未批先建等违法违规行为查处的行政辅助工作。</w:t>
            </w:r>
          </w:p>
          <w:p w14:paraId="1ABD7B17">
            <w:pPr>
              <w:spacing w:line="375" w:lineRule="exact"/>
              <w:ind w:left="20"/>
              <w:rPr>
                <w:rFonts w:hint="eastAsia" w:ascii="宋体" w:hAnsi="Times New Roman" w:cs="宋体"/>
                <w:sz w:val="32"/>
                <w:szCs w:val="32"/>
              </w:rPr>
            </w:pPr>
            <w:r>
              <w:rPr>
                <w:rFonts w:hint="eastAsia" w:ascii="宋体" w:hAnsi="Times New Roman" w:cs="宋体"/>
                <w:sz w:val="32"/>
                <w:szCs w:val="32"/>
              </w:rPr>
              <w:t>3.负责中心城区建设工程质量和安全生产监督注册和竣工验收备案的行政辅助工作。</w:t>
            </w:r>
          </w:p>
          <w:p w14:paraId="47CD39F3">
            <w:pPr>
              <w:spacing w:line="375" w:lineRule="exact"/>
              <w:ind w:left="20"/>
              <w:rPr>
                <w:rFonts w:hint="eastAsia" w:ascii="宋体" w:hAnsi="Times New Roman" w:cs="宋体"/>
                <w:sz w:val="32"/>
                <w:szCs w:val="32"/>
              </w:rPr>
            </w:pPr>
            <w:r>
              <w:rPr>
                <w:rFonts w:hint="eastAsia" w:ascii="宋体" w:hAnsi="Times New Roman" w:cs="宋体"/>
                <w:sz w:val="32"/>
                <w:szCs w:val="32"/>
              </w:rPr>
              <w:t>4.负责中心城区工程建设中各方责任主体信用评价管理的行政辅助工作。</w:t>
            </w:r>
          </w:p>
          <w:p w14:paraId="022E4EFE">
            <w:pPr>
              <w:spacing w:line="375" w:lineRule="exact"/>
              <w:ind w:left="20"/>
              <w:rPr>
                <w:rFonts w:hint="eastAsia" w:ascii="宋体" w:hAnsi="Times New Roman" w:cs="宋体"/>
                <w:sz w:val="32"/>
                <w:szCs w:val="32"/>
              </w:rPr>
            </w:pPr>
            <w:r>
              <w:rPr>
                <w:rFonts w:hint="eastAsia" w:ascii="宋体" w:hAnsi="Times New Roman" w:cs="宋体"/>
                <w:sz w:val="32"/>
                <w:szCs w:val="32"/>
              </w:rPr>
              <w:t>5.负责中心城区建设工程质量和安全生产标准化管理的行政辅助工作；负责房屋安全鉴定、建设工程检测、工程质量安全监督抽查检测以及应当办理施工许可的既有建筑物装饰装修活动的监督管理的行政辅助工作。</w:t>
            </w:r>
          </w:p>
          <w:p w14:paraId="259EF9B2">
            <w:pPr>
              <w:spacing w:line="375" w:lineRule="exact"/>
              <w:ind w:left="20"/>
              <w:rPr>
                <w:rFonts w:hint="eastAsia" w:ascii="宋体" w:hAnsi="Times New Roman" w:cs="宋体"/>
                <w:sz w:val="32"/>
                <w:szCs w:val="32"/>
              </w:rPr>
            </w:pPr>
            <w:r>
              <w:rPr>
                <w:rFonts w:hint="eastAsia" w:ascii="宋体" w:hAnsi="Times New Roman" w:cs="宋体"/>
                <w:sz w:val="32"/>
                <w:szCs w:val="32"/>
              </w:rPr>
              <w:t>6.负责中心城区建设工程施工现场建筑材料、构配件、安全防护用具及建筑起重机械备案、安装、拆卸、使用登记、运行使用等监督管理的行政辅助工作。</w:t>
            </w:r>
          </w:p>
          <w:p w14:paraId="01E6E463">
            <w:pPr>
              <w:spacing w:line="375" w:lineRule="exact"/>
              <w:ind w:left="20"/>
              <w:rPr>
                <w:rFonts w:hint="eastAsia" w:ascii="宋体" w:hAnsi="Times New Roman" w:cs="宋体"/>
                <w:sz w:val="32"/>
                <w:szCs w:val="32"/>
              </w:rPr>
            </w:pPr>
            <w:r>
              <w:rPr>
                <w:rFonts w:hint="eastAsia" w:ascii="宋体" w:hAnsi="Times New Roman" w:cs="宋体"/>
                <w:sz w:val="32"/>
                <w:szCs w:val="32"/>
              </w:rPr>
              <w:t>7.负责中心城区建设工程消防施工质量监督管理和消防设计审查验收违法违规行为查处的行政辅助工作，为消防竣工验收或备案抽查提供技术支撑工作。</w:t>
            </w:r>
          </w:p>
          <w:p w14:paraId="18205356">
            <w:pPr>
              <w:spacing w:line="375" w:lineRule="exact"/>
              <w:ind w:left="20"/>
              <w:rPr>
                <w:rFonts w:hint="eastAsia" w:ascii="宋体" w:hAnsi="Times New Roman" w:cs="宋体"/>
                <w:sz w:val="32"/>
                <w:szCs w:val="32"/>
              </w:rPr>
            </w:pPr>
            <w:r>
              <w:rPr>
                <w:rFonts w:hint="eastAsia" w:ascii="宋体" w:hAnsi="Times New Roman" w:cs="宋体"/>
                <w:sz w:val="32"/>
                <w:szCs w:val="32"/>
              </w:rPr>
              <w:t>8.负责协调处理市城区建设工程质量安全信访事件，为调查处理工程质量安全事故提供技术支撑工作。</w:t>
            </w:r>
          </w:p>
          <w:p w14:paraId="2DF2A430">
            <w:pPr>
              <w:spacing w:line="375" w:lineRule="exact"/>
              <w:ind w:left="20"/>
              <w:rPr>
                <w:rFonts w:hint="eastAsia" w:ascii="宋体" w:hAnsi="Times New Roman" w:cs="宋体"/>
                <w:sz w:val="32"/>
                <w:szCs w:val="32"/>
              </w:rPr>
            </w:pPr>
            <w:r>
              <w:rPr>
                <w:rFonts w:hint="eastAsia" w:ascii="宋体" w:hAnsi="Times New Roman" w:cs="宋体"/>
                <w:sz w:val="32"/>
                <w:szCs w:val="32"/>
              </w:rPr>
              <w:t>9.负责指导县市区建设工程质量安全监督管理的行政辅助工作。</w:t>
            </w:r>
          </w:p>
          <w:p w14:paraId="709A4D06">
            <w:pPr>
              <w:spacing w:line="375" w:lineRule="exact"/>
              <w:ind w:left="20"/>
              <w:rPr>
                <w:rFonts w:hint="eastAsia" w:ascii="宋体" w:hAnsi="Times New Roman" w:cs="宋体"/>
                <w:sz w:val="32"/>
                <w:szCs w:val="32"/>
              </w:rPr>
            </w:pPr>
            <w:r>
              <w:rPr>
                <w:rFonts w:hint="eastAsia" w:ascii="宋体" w:hAnsi="Times New Roman" w:cs="宋体"/>
                <w:sz w:val="32"/>
                <w:szCs w:val="32"/>
              </w:rPr>
              <w:t>（二）面向社会提供公益服务的职能 ，负责为社会公众提供工程质量安全技术咨询服务。</w:t>
            </w:r>
          </w:p>
          <w:p w14:paraId="05CC340D">
            <w:pPr>
              <w:spacing w:line="375" w:lineRule="exact"/>
              <w:ind w:left="20"/>
              <w:rPr>
                <w:rFonts w:hint="eastAsia" w:ascii="宋体" w:hAnsi="Times New Roman" w:cs="宋体"/>
                <w:sz w:val="32"/>
                <w:szCs w:val="32"/>
              </w:rPr>
            </w:pPr>
            <w:r>
              <w:rPr>
                <w:rFonts w:hint="eastAsia" w:ascii="宋体" w:hAnsi="Times New Roman" w:cs="宋体"/>
                <w:sz w:val="32"/>
                <w:szCs w:val="32"/>
              </w:rPr>
              <w:t>（三）完成市住房和城乡建设局交办的其他任务。</w:t>
            </w:r>
          </w:p>
          <w:p w14:paraId="434C36D7">
            <w:pPr>
              <w:spacing w:line="375" w:lineRule="exact"/>
              <w:ind w:left="20"/>
              <w:rPr>
                <w:rFonts w:hint="eastAsia" w:ascii="宋体" w:hAnsi="Times New Roman" w:cs="宋体"/>
                <w:sz w:val="32"/>
                <w:szCs w:val="32"/>
              </w:rPr>
            </w:pPr>
          </w:p>
        </w:tc>
      </w:tr>
      <w:tr w14:paraId="2BC9A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314E9B6">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（二）机构设置</w:t>
            </w:r>
          </w:p>
        </w:tc>
      </w:tr>
      <w:tr w14:paraId="44039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0723ABC">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根据《中共湖南省委办公厅湖南省人民政府办公厅关于印发〈关于深化事业单位改革试点工作的实施意见〉的通知》（湘办发〔2021 ] 1号）、《中共湖南省委机构编制委员会印发〈岳阳市市直深化事业单位改革试点实施方案〉的通知》（湘编发〔2021〕5号）精神，中共岳阳市委机构编制委员会2021年9越2日发《岳阳市建设工程质量安全监督站职能配置、内设机构和人员编制规定》，本单位设12个内设机构：</w:t>
            </w:r>
          </w:p>
          <w:p w14:paraId="4A2BBF89">
            <w:pPr>
              <w:spacing w:line="375" w:lineRule="exact"/>
              <w:ind w:left="20"/>
              <w:rPr>
                <w:rFonts w:hint="eastAsia" w:ascii="宋体" w:hAnsi="Times New Roman" w:cs="宋体"/>
                <w:sz w:val="32"/>
                <w:szCs w:val="32"/>
              </w:rPr>
            </w:pPr>
            <w:r>
              <w:rPr>
                <w:rFonts w:hint="eastAsia" w:ascii="宋体" w:hAnsi="Times New Roman" w:cs="宋体"/>
                <w:sz w:val="32"/>
                <w:szCs w:val="32"/>
              </w:rPr>
              <w:t>（一）综合部</w:t>
            </w:r>
          </w:p>
          <w:p w14:paraId="67215813">
            <w:pPr>
              <w:spacing w:line="375" w:lineRule="exact"/>
              <w:ind w:left="20"/>
              <w:rPr>
                <w:rFonts w:hint="eastAsia" w:ascii="宋体" w:hAnsi="Times New Roman" w:cs="宋体"/>
                <w:sz w:val="32"/>
                <w:szCs w:val="32"/>
              </w:rPr>
            </w:pPr>
            <w:r>
              <w:rPr>
                <w:rFonts w:hint="eastAsia" w:ascii="宋体" w:hAnsi="Times New Roman" w:cs="宋体"/>
                <w:sz w:val="32"/>
                <w:szCs w:val="32"/>
              </w:rPr>
              <w:t>（二）信息技术部</w:t>
            </w:r>
          </w:p>
          <w:p w14:paraId="7395AA47">
            <w:pPr>
              <w:spacing w:line="375" w:lineRule="exact"/>
              <w:ind w:left="20"/>
              <w:rPr>
                <w:rFonts w:hint="eastAsia" w:ascii="宋体" w:hAnsi="Times New Roman" w:cs="宋体"/>
                <w:sz w:val="32"/>
                <w:szCs w:val="32"/>
              </w:rPr>
            </w:pPr>
            <w:r>
              <w:rPr>
                <w:rFonts w:hint="eastAsia" w:ascii="宋体" w:hAnsi="Times New Roman" w:cs="宋体"/>
                <w:sz w:val="32"/>
                <w:szCs w:val="32"/>
              </w:rPr>
              <w:t>（三）信用评价部</w:t>
            </w:r>
          </w:p>
          <w:p w14:paraId="440F5CA7">
            <w:pPr>
              <w:spacing w:line="375" w:lineRule="exact"/>
              <w:ind w:left="20"/>
              <w:rPr>
                <w:rFonts w:hint="eastAsia" w:ascii="宋体" w:hAnsi="Times New Roman" w:cs="宋体"/>
                <w:sz w:val="32"/>
                <w:szCs w:val="32"/>
              </w:rPr>
            </w:pPr>
            <w:r>
              <w:rPr>
                <w:rFonts w:hint="eastAsia" w:ascii="宋体" w:hAnsi="Times New Roman" w:cs="宋体"/>
                <w:sz w:val="32"/>
                <w:szCs w:val="32"/>
              </w:rPr>
              <w:t>（四）法规事务部</w:t>
            </w:r>
          </w:p>
          <w:p w14:paraId="5FD2ED95">
            <w:pPr>
              <w:spacing w:line="375" w:lineRule="exact"/>
              <w:ind w:left="20"/>
              <w:rPr>
                <w:rFonts w:hint="eastAsia" w:ascii="宋体" w:hAnsi="Times New Roman" w:cs="宋体"/>
                <w:sz w:val="32"/>
                <w:szCs w:val="32"/>
              </w:rPr>
            </w:pPr>
            <w:r>
              <w:rPr>
                <w:rFonts w:hint="eastAsia" w:ascii="宋体" w:hAnsi="Times New Roman" w:cs="宋体"/>
                <w:sz w:val="32"/>
                <w:szCs w:val="32"/>
              </w:rPr>
              <w:t>（五）建设工程质量考评部</w:t>
            </w:r>
          </w:p>
          <w:p w14:paraId="0BEAE5E2">
            <w:pPr>
              <w:spacing w:line="375" w:lineRule="exact"/>
              <w:ind w:left="20"/>
              <w:rPr>
                <w:rFonts w:hint="eastAsia" w:ascii="宋体" w:hAnsi="Times New Roman" w:cs="宋体"/>
                <w:sz w:val="32"/>
                <w:szCs w:val="32"/>
              </w:rPr>
            </w:pPr>
            <w:r>
              <w:rPr>
                <w:rFonts w:hint="eastAsia" w:ascii="宋体" w:hAnsi="Times New Roman" w:cs="宋体"/>
                <w:sz w:val="32"/>
                <w:szCs w:val="32"/>
              </w:rPr>
              <w:t>（六）建设施工安全考评部</w:t>
            </w:r>
          </w:p>
          <w:p w14:paraId="60062C67">
            <w:pPr>
              <w:spacing w:line="375" w:lineRule="exact"/>
              <w:ind w:left="20"/>
              <w:rPr>
                <w:rFonts w:hint="eastAsia" w:ascii="宋体" w:hAnsi="Times New Roman" w:cs="宋体"/>
                <w:sz w:val="32"/>
                <w:szCs w:val="32"/>
              </w:rPr>
            </w:pPr>
            <w:r>
              <w:rPr>
                <w:rFonts w:hint="eastAsia" w:ascii="宋体" w:hAnsi="Times New Roman" w:cs="宋体"/>
                <w:sz w:val="32"/>
                <w:szCs w:val="32"/>
              </w:rPr>
              <w:t>（七）房屋安全鉴定部</w:t>
            </w:r>
          </w:p>
          <w:p w14:paraId="0B887C17">
            <w:pPr>
              <w:spacing w:line="375" w:lineRule="exact"/>
              <w:ind w:left="20"/>
              <w:rPr>
                <w:rFonts w:hint="eastAsia" w:ascii="宋体" w:hAnsi="Times New Roman" w:cs="宋体"/>
                <w:sz w:val="32"/>
                <w:szCs w:val="32"/>
              </w:rPr>
            </w:pPr>
            <w:r>
              <w:rPr>
                <w:rFonts w:hint="eastAsia" w:ascii="宋体" w:hAnsi="Times New Roman" w:cs="宋体"/>
                <w:sz w:val="32"/>
                <w:szCs w:val="32"/>
              </w:rPr>
              <w:t>（八）装修工程监督部</w:t>
            </w:r>
          </w:p>
          <w:p w14:paraId="29F004B9">
            <w:pPr>
              <w:spacing w:line="375" w:lineRule="exact"/>
              <w:ind w:left="20"/>
              <w:rPr>
                <w:rFonts w:hint="eastAsia" w:ascii="宋体" w:hAnsi="Times New Roman" w:cs="宋体"/>
                <w:sz w:val="32"/>
                <w:szCs w:val="32"/>
              </w:rPr>
            </w:pPr>
            <w:r>
              <w:rPr>
                <w:rFonts w:hint="eastAsia" w:ascii="宋体" w:hAnsi="Times New Roman" w:cs="宋体"/>
                <w:sz w:val="32"/>
                <w:szCs w:val="32"/>
              </w:rPr>
              <w:t>（九）建设工程检测监督部</w:t>
            </w:r>
          </w:p>
          <w:p w14:paraId="1814E0C1">
            <w:pPr>
              <w:spacing w:line="375" w:lineRule="exact"/>
              <w:ind w:left="20"/>
              <w:rPr>
                <w:rFonts w:hint="eastAsia" w:ascii="宋体" w:hAnsi="Times New Roman" w:cs="宋体"/>
                <w:sz w:val="32"/>
                <w:szCs w:val="32"/>
              </w:rPr>
            </w:pPr>
            <w:r>
              <w:rPr>
                <w:rFonts w:hint="eastAsia" w:ascii="宋体" w:hAnsi="Times New Roman" w:cs="宋体"/>
                <w:sz w:val="32"/>
                <w:szCs w:val="32"/>
              </w:rPr>
              <w:t>（十）重点工程监督部</w:t>
            </w:r>
          </w:p>
          <w:p w14:paraId="45CD601B">
            <w:pPr>
              <w:spacing w:line="375" w:lineRule="exact"/>
              <w:ind w:left="20"/>
              <w:rPr>
                <w:rFonts w:hint="eastAsia" w:ascii="宋体" w:hAnsi="Times New Roman" w:cs="宋体"/>
                <w:sz w:val="32"/>
                <w:szCs w:val="32"/>
              </w:rPr>
            </w:pPr>
            <w:r>
              <w:rPr>
                <w:rFonts w:hint="eastAsia" w:ascii="宋体" w:hAnsi="Times New Roman" w:cs="宋体"/>
                <w:sz w:val="32"/>
                <w:szCs w:val="32"/>
              </w:rPr>
              <w:t>（十一）消防工程建设质量监督部</w:t>
            </w:r>
          </w:p>
          <w:p w14:paraId="6992A91B">
            <w:pPr>
              <w:spacing w:line="375" w:lineRule="exact"/>
              <w:ind w:left="20"/>
              <w:rPr>
                <w:rFonts w:hint="eastAsia" w:ascii="宋体" w:hAnsi="Times New Roman" w:cs="宋体"/>
                <w:sz w:val="32"/>
                <w:szCs w:val="32"/>
              </w:rPr>
            </w:pPr>
            <w:r>
              <w:rPr>
                <w:rFonts w:hint="eastAsia" w:ascii="宋体" w:hAnsi="Times New Roman" w:cs="宋体"/>
                <w:sz w:val="32"/>
                <w:szCs w:val="32"/>
              </w:rPr>
              <w:t>（十二）财务部</w:t>
            </w:r>
          </w:p>
          <w:p w14:paraId="028F3AEE">
            <w:pPr>
              <w:spacing w:line="375" w:lineRule="exact"/>
              <w:ind w:left="20"/>
              <w:rPr>
                <w:rFonts w:hint="eastAsia" w:ascii="宋体" w:hAnsi="Times New Roman" w:cs="宋体"/>
                <w:sz w:val="32"/>
                <w:szCs w:val="32"/>
              </w:rPr>
            </w:pPr>
            <w:r>
              <w:rPr>
                <w:rFonts w:hint="eastAsia" w:ascii="宋体" w:hAnsi="Times New Roman" w:cs="宋体"/>
                <w:sz w:val="32"/>
                <w:szCs w:val="32"/>
              </w:rPr>
              <w:t>设三个分支机构：</w:t>
            </w:r>
          </w:p>
          <w:p w14:paraId="76EA477B">
            <w:pPr>
              <w:spacing w:line="375" w:lineRule="exact"/>
              <w:ind w:left="20"/>
              <w:rPr>
                <w:rFonts w:hint="eastAsia" w:ascii="宋体" w:hAnsi="Times New Roman" w:cs="宋体"/>
                <w:sz w:val="32"/>
                <w:szCs w:val="32"/>
              </w:rPr>
            </w:pPr>
            <w:r>
              <w:rPr>
                <w:rFonts w:hint="eastAsia" w:ascii="宋体" w:hAnsi="Times New Roman" w:cs="宋体"/>
                <w:sz w:val="32"/>
                <w:szCs w:val="32"/>
              </w:rPr>
              <w:t>（一）市建设工程质量安全监督站监督一所</w:t>
            </w:r>
          </w:p>
          <w:p w14:paraId="03DAEE21">
            <w:pPr>
              <w:spacing w:line="375" w:lineRule="exact"/>
              <w:ind w:left="20"/>
              <w:rPr>
                <w:rFonts w:hint="eastAsia" w:ascii="宋体" w:hAnsi="Times New Roman" w:cs="宋体"/>
                <w:sz w:val="32"/>
                <w:szCs w:val="32"/>
              </w:rPr>
            </w:pPr>
            <w:r>
              <w:rPr>
                <w:rFonts w:hint="eastAsia" w:ascii="宋体" w:hAnsi="Times New Roman" w:cs="宋体"/>
                <w:sz w:val="32"/>
                <w:szCs w:val="32"/>
              </w:rPr>
              <w:t>（二）市建设工程质量安全监督站监督二所</w:t>
            </w:r>
          </w:p>
          <w:p w14:paraId="2EAE5AE5">
            <w:pPr>
              <w:spacing w:line="375" w:lineRule="exact"/>
              <w:ind w:left="20"/>
              <w:rPr>
                <w:rFonts w:hint="eastAsia" w:ascii="宋体" w:hAnsi="Times New Roman" w:cs="宋体"/>
                <w:sz w:val="32"/>
                <w:szCs w:val="32"/>
              </w:rPr>
            </w:pPr>
            <w:r>
              <w:rPr>
                <w:rFonts w:hint="eastAsia" w:ascii="宋体" w:hAnsi="Times New Roman" w:cs="宋体"/>
                <w:sz w:val="32"/>
                <w:szCs w:val="32"/>
              </w:rPr>
              <w:t>（三）市建设工程质量安全监督站监督三所。</w:t>
            </w:r>
          </w:p>
          <w:p w14:paraId="600FE448">
            <w:pPr>
              <w:spacing w:line="375" w:lineRule="exact"/>
              <w:ind w:left="20"/>
              <w:rPr>
                <w:rFonts w:hint="eastAsia" w:ascii="宋体" w:hAnsi="Times New Roman" w:cs="宋体"/>
                <w:sz w:val="32"/>
                <w:szCs w:val="32"/>
              </w:rPr>
            </w:pPr>
          </w:p>
        </w:tc>
      </w:tr>
      <w:tr w14:paraId="0F77E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87321D9">
            <w:pPr>
              <w:spacing w:line="375" w:lineRule="exact"/>
              <w:ind w:left="20"/>
              <w:rPr>
                <w:rFonts w:hint="eastAsia" w:ascii="Dialog" w:hAnsi="Times New Roman" w:cs="Dialog"/>
                <w:sz w:val="32"/>
                <w:szCs w:val="32"/>
              </w:rPr>
            </w:pPr>
            <w:r>
              <w:rPr>
                <w:rFonts w:hint="eastAsia" w:ascii="Dialog" w:hAnsi="Times New Roman" w:cs="Dialog"/>
                <w:sz w:val="32"/>
                <w:szCs w:val="32"/>
              </w:rPr>
              <w:t xml:space="preserve">  二、单位预算单位构成</w:t>
            </w:r>
          </w:p>
        </w:tc>
      </w:tr>
      <w:tr w14:paraId="59DCF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268264E">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本单位预算仅含本级预算。</w:t>
            </w:r>
          </w:p>
        </w:tc>
      </w:tr>
      <w:tr w14:paraId="2FE20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C558C8A">
            <w:pPr>
              <w:spacing w:line="375" w:lineRule="exact"/>
              <w:ind w:left="20"/>
              <w:rPr>
                <w:rFonts w:hint="eastAsia" w:ascii="Dialog" w:hAnsi="Times New Roman" w:cs="Dialog"/>
                <w:sz w:val="32"/>
                <w:szCs w:val="32"/>
              </w:rPr>
            </w:pPr>
            <w:r>
              <w:rPr>
                <w:rFonts w:hint="eastAsia" w:ascii="Dialog" w:hAnsi="Times New Roman" w:cs="Dialog"/>
                <w:sz w:val="32"/>
                <w:szCs w:val="32"/>
              </w:rPr>
              <w:t xml:space="preserve">  三、单位收支总体情况</w:t>
            </w:r>
          </w:p>
        </w:tc>
      </w:tr>
      <w:tr w14:paraId="0A245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48C0C87">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本单位2025年没有政府性基金预算拨款、国有资本经营预算收入和纳入专户管理的非税收入拨款收入，也没有使用政府性基金预算拨款、国有资本经营预算收入和纳入专户管理的非税收入拨款安排的支出，所以公开的附件15、16、17、18、19表均为空。</w:t>
            </w:r>
          </w:p>
        </w:tc>
      </w:tr>
      <w:tr w14:paraId="4F683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71F9C9A">
            <w:pPr>
              <w:spacing w:line="375" w:lineRule="exact"/>
              <w:ind w:left="20"/>
              <w:rPr>
                <w:rFonts w:hint="eastAsia" w:ascii="Dialog" w:hAnsi="Times New Roman" w:cs="Dialog"/>
                <w:sz w:val="32"/>
                <w:szCs w:val="32"/>
              </w:rPr>
            </w:pPr>
            <w:r>
              <w:rPr>
                <w:rFonts w:hint="eastAsia" w:ascii="Dialog" w:hAnsi="Times New Roman" w:cs="Dialog"/>
                <w:sz w:val="32"/>
                <w:szCs w:val="32"/>
              </w:rPr>
              <w:t xml:space="preserve">  （一）收入预算</w:t>
            </w:r>
          </w:p>
        </w:tc>
      </w:tr>
      <w:tr w14:paraId="6BB23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1469"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E18481B">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包括一般公共预算、政府性基金、国有资本经营预算等财政拨款收入，以及经营收入、事业收入等单位资金。2025年度本单位收入预算1852.68万元，其中，一般公共预算拨款1852.68万元，政府性基金预算资金0.00万元(所以公开的附件17为空)，国有资本经营预算资金0.00万元(所以公开的附件18为空)，财政专户管理资金0.00万元(所以公开的附件19为空)，上级补助收入资金0.00万元，事业单位经营收入资金0.00万元，上年结转结余0.00万元。(数据来源见表2)本单位2025年收入较去年减少71.56万元，下降3.72%，主要是因为2025年度在职人员减少。</w:t>
            </w:r>
          </w:p>
        </w:tc>
      </w:tr>
      <w:tr w14:paraId="03CDF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BE99B3C">
            <w:pPr>
              <w:spacing w:line="375" w:lineRule="exact"/>
              <w:rPr>
                <w:rFonts w:hint="eastAsia" w:ascii="Dialog" w:hAnsi="Times New Roman" w:cs="Dialog"/>
                <w:sz w:val="32"/>
                <w:szCs w:val="32"/>
              </w:rPr>
            </w:pPr>
            <w:r>
              <w:rPr>
                <w:rFonts w:hint="eastAsia" w:ascii="Dialog" w:hAnsi="Times New Roman" w:cs="Dialog"/>
                <w:sz w:val="32"/>
                <w:szCs w:val="32"/>
              </w:rPr>
              <w:t xml:space="preserve">  （二）支出预算</w:t>
            </w:r>
          </w:p>
        </w:tc>
      </w:tr>
      <w:tr w14:paraId="553E2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494AB0E">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2025年本单位支出预算1852.68万元，其中，208社会保障和就业支出187.58万元，212城乡社区支出38.80万元，215资源勘探工业信息等支出1502.92万元，221住房保障支出123.38万元，支出较去年减少71.56万元，下降3.72%，主要是因为2025年度在职人员减少。</w:t>
            </w:r>
          </w:p>
        </w:tc>
      </w:tr>
      <w:tr w14:paraId="7F2D4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08F766D">
            <w:pPr>
              <w:spacing w:line="375" w:lineRule="exact"/>
              <w:ind w:left="20"/>
              <w:rPr>
                <w:rFonts w:hint="eastAsia" w:ascii="Dialog" w:hAnsi="Times New Roman" w:cs="Dialog"/>
                <w:sz w:val="32"/>
                <w:szCs w:val="32"/>
              </w:rPr>
            </w:pPr>
            <w:r>
              <w:rPr>
                <w:rFonts w:hint="eastAsia" w:ascii="Dialog" w:hAnsi="Times New Roman" w:cs="Dialog"/>
                <w:sz w:val="32"/>
                <w:szCs w:val="32"/>
              </w:rPr>
              <w:t xml:space="preserve">  四、一般公共预算拨款支出预算</w:t>
            </w:r>
          </w:p>
        </w:tc>
      </w:tr>
      <w:tr w14:paraId="6478F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24D84D1">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2025年一般公共预算拨款支出预算1852.68万元，其中，208社会保障和就业支出187.58万元，占10.12%；212城乡社区支出38.80万元，占2.09%；215资源勘探工业信息等支出1502.92万元，占81.12%；221住房保障支出123.38万元，占6.66%；具体安排情况如下：</w:t>
            </w:r>
          </w:p>
        </w:tc>
      </w:tr>
      <w:tr w14:paraId="0D823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0F4B43D">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一）基本支出：2025年基本支出年初预算数为1813.88万元（数据来源见表23），是指为保障单位机构正常运转、完成日常工作任务而发生的各项支出，包括用于基本工资、津贴补贴等人员经费以及办公费、印刷费、水电费、差旅费等日常公用经费。</w:t>
            </w:r>
          </w:p>
        </w:tc>
      </w:tr>
      <w:tr w14:paraId="29ABE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975"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E596371">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二）项目支出：2025年项目支出年初预算数为38.80万元（数据来源见表20），是指单位为完成特定行政工作任务或事业发展目标而发生的支出，包括有关业务工作经费、运行维护经费、其他事业发展资金等。其中：办案费专项支出0.80万元，主要用于</w:t>
            </w:r>
            <w:r>
              <w:rPr>
                <w:rFonts w:hint="eastAsia" w:ascii="宋体" w:hAnsi="Times New Roman" w:cs="宋体"/>
                <w:color w:val="auto"/>
                <w:sz w:val="32"/>
                <w:szCs w:val="32"/>
              </w:rPr>
              <w:t>建设工程消防领域检查工作</w:t>
            </w:r>
            <w:r>
              <w:rPr>
                <w:rFonts w:hint="eastAsia" w:ascii="宋体" w:hAnsi="Times New Roman" w:cs="宋体"/>
                <w:sz w:val="32"/>
                <w:szCs w:val="32"/>
              </w:rPr>
              <w:t>方面,日常工作经费专项支出38.00万元，主要用于建设质量安全监督方面。</w:t>
            </w:r>
          </w:p>
        </w:tc>
      </w:tr>
      <w:tr w14:paraId="12CED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B0B88F1">
            <w:pPr>
              <w:spacing w:line="375" w:lineRule="exact"/>
              <w:rPr>
                <w:rFonts w:hint="eastAsia" w:ascii="Dialog" w:hAnsi="Times New Roman" w:cs="Dialog"/>
                <w:sz w:val="32"/>
                <w:szCs w:val="32"/>
              </w:rPr>
            </w:pPr>
            <w:r>
              <w:rPr>
                <w:rFonts w:hint="eastAsia" w:ascii="Dialog" w:hAnsi="Times New Roman" w:cs="Dialog"/>
                <w:sz w:val="32"/>
                <w:szCs w:val="32"/>
              </w:rPr>
              <w:t xml:space="preserve"> 五、政府性基金预算支出</w:t>
            </w:r>
          </w:p>
        </w:tc>
      </w:tr>
      <w:tr w14:paraId="3CB63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134D0A4">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2025年度本单位无政府性基金安排的支出，所以公开的附件15-17（政府性基金预算）为空。</w:t>
            </w:r>
          </w:p>
        </w:tc>
      </w:tr>
      <w:tr w14:paraId="6C833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BD43427">
            <w:pPr>
              <w:spacing w:line="375" w:lineRule="exact"/>
              <w:ind w:left="20"/>
              <w:rPr>
                <w:rFonts w:hint="eastAsia" w:ascii="Dialog" w:hAnsi="Times New Roman" w:cs="Dialog"/>
                <w:sz w:val="32"/>
                <w:szCs w:val="32"/>
              </w:rPr>
            </w:pPr>
            <w:r>
              <w:rPr>
                <w:rFonts w:hint="eastAsia" w:ascii="Dialog" w:hAnsi="Times New Roman" w:cs="Dialog"/>
                <w:sz w:val="32"/>
                <w:szCs w:val="32"/>
              </w:rPr>
              <w:t xml:space="preserve">  六、其他重要事项的情况说明</w:t>
            </w:r>
          </w:p>
        </w:tc>
      </w:tr>
      <w:tr w14:paraId="48E9C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CF089FF">
            <w:pPr>
              <w:spacing w:line="375" w:lineRule="exact"/>
              <w:ind w:left="20"/>
              <w:rPr>
                <w:rFonts w:hint="eastAsia" w:ascii="Dialog" w:hAnsi="Times New Roman" w:cs="Dialog"/>
                <w:sz w:val="32"/>
                <w:szCs w:val="32"/>
              </w:rPr>
            </w:pPr>
            <w:r>
              <w:rPr>
                <w:rFonts w:hint="eastAsia" w:ascii="Dialog" w:hAnsi="Times New Roman" w:cs="Dialog"/>
                <w:sz w:val="32"/>
                <w:szCs w:val="32"/>
              </w:rPr>
              <w:t xml:space="preserve">  （一）机关运行经费</w:t>
            </w:r>
          </w:p>
        </w:tc>
      </w:tr>
      <w:tr w14:paraId="43715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0226FD4">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本单位2025年机关运行经费当年一般公共预算拨款167.07万元（数据来源见表12），比上一年增加4.98万元，增加3.07%。主要原因是2025年度的残疾人事业计入了机关运行经费。</w:t>
            </w:r>
          </w:p>
        </w:tc>
      </w:tr>
      <w:tr w14:paraId="1FF6B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813236D">
            <w:pPr>
              <w:spacing w:line="375" w:lineRule="exact"/>
              <w:ind w:left="20"/>
              <w:rPr>
                <w:rFonts w:hint="eastAsia" w:ascii="Dialog" w:hAnsi="Times New Roman" w:cs="Dialog"/>
                <w:sz w:val="32"/>
                <w:szCs w:val="32"/>
              </w:rPr>
            </w:pPr>
            <w:r>
              <w:rPr>
                <w:rFonts w:hint="eastAsia" w:ascii="Dialog" w:hAnsi="Times New Roman" w:cs="Dialog"/>
                <w:sz w:val="32"/>
                <w:szCs w:val="32"/>
              </w:rPr>
              <w:t xml:space="preserve">  （二）“三公”经费预算</w:t>
            </w:r>
          </w:p>
        </w:tc>
      </w:tr>
      <w:tr w14:paraId="33BF4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C408D36">
            <w:pPr>
              <w:spacing w:line="375" w:lineRule="exact"/>
              <w:ind w:left="20"/>
              <w:rPr>
                <w:rFonts w:hint="eastAsia" w:ascii="宋体" w:hAnsi="Times New Roman" w:cs="宋体"/>
                <w:color w:val="auto"/>
                <w:sz w:val="32"/>
                <w:szCs w:val="32"/>
              </w:rPr>
            </w:pPr>
            <w:r>
              <w:rPr>
                <w:rFonts w:hint="eastAsia" w:ascii="宋体" w:hAnsi="Times New Roman" w:cs="宋体"/>
                <w:color w:val="auto"/>
                <w:sz w:val="32"/>
                <w:szCs w:val="32"/>
              </w:rPr>
              <w:t xml:space="preserve">  本单位2025年“三公”经费预算数0.00万元（数据来源见表14），较2024年度0万元的预算数据持平，未发生增减变动。其中，公务接待费0.00万元，因公出国（境）费0.00万元，公务用车购置及运行费0.00万元（其中，公务用车购置费0.00万元，公务用车运行费0.00万元）。2025年三公经费预算与上年持平，没有增减金额，没有增减比值。 主要原因是本年单位没有车辆，也没有安排接待费和出国（境）费。</w:t>
            </w:r>
          </w:p>
        </w:tc>
      </w:tr>
      <w:tr w14:paraId="38990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DBA35C5">
            <w:pPr>
              <w:spacing w:line="375" w:lineRule="exact"/>
              <w:ind w:left="20"/>
              <w:rPr>
                <w:rFonts w:hint="eastAsia" w:ascii="Dialog" w:hAnsi="Times New Roman" w:cs="Dialog"/>
                <w:color w:val="auto"/>
                <w:sz w:val="32"/>
                <w:szCs w:val="32"/>
              </w:rPr>
            </w:pPr>
            <w:r>
              <w:rPr>
                <w:rFonts w:hint="eastAsia" w:ascii="Dialog" w:hAnsi="Times New Roman" w:cs="Dialog"/>
                <w:color w:val="auto"/>
                <w:sz w:val="32"/>
                <w:szCs w:val="32"/>
              </w:rPr>
              <w:t xml:space="preserve">  （三）一般性支出情况</w:t>
            </w:r>
          </w:p>
        </w:tc>
      </w:tr>
      <w:tr w14:paraId="5152E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975"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92BCB00">
            <w:pPr>
              <w:spacing w:line="375" w:lineRule="exact"/>
              <w:ind w:left="20"/>
              <w:rPr>
                <w:rFonts w:hint="eastAsia" w:ascii="宋体" w:hAnsi="Times New Roman" w:cs="宋体"/>
                <w:color w:val="auto"/>
                <w:sz w:val="32"/>
                <w:szCs w:val="32"/>
              </w:rPr>
            </w:pPr>
            <w:r>
              <w:rPr>
                <w:rFonts w:hint="eastAsia" w:ascii="宋体" w:hAnsi="Times New Roman" w:cs="宋体"/>
                <w:color w:val="auto"/>
                <w:sz w:val="32"/>
                <w:szCs w:val="32"/>
              </w:rPr>
              <w:t xml:space="preserve">  本单位2025年会议费预算0.00万元（数据来源见表13会议费、培训费），拟召开0次会议，人数0人；培训费预算4.00万元，拟开展1次培训，人数105人，内容为事业单位人事岗位培训；计划</w:t>
            </w:r>
          </w:p>
          <w:p w14:paraId="0AA0628D">
            <w:pPr>
              <w:spacing w:line="375" w:lineRule="exact"/>
              <w:ind w:left="20"/>
              <w:rPr>
                <w:rFonts w:hint="eastAsia" w:ascii="宋体" w:hAnsi="Times New Roman" w:cs="宋体"/>
                <w:color w:val="auto"/>
                <w:sz w:val="32"/>
                <w:szCs w:val="32"/>
              </w:rPr>
            </w:pPr>
            <w:r>
              <w:rPr>
                <w:rFonts w:hint="eastAsia" w:ascii="宋体" w:hAnsi="Times New Roman" w:cs="宋体"/>
                <w:color w:val="auto"/>
                <w:sz w:val="32"/>
                <w:szCs w:val="32"/>
              </w:rPr>
              <w:t>举办节庆、晚会、论坛、赛事活动0万元。</w:t>
            </w:r>
          </w:p>
        </w:tc>
      </w:tr>
      <w:tr w14:paraId="6E837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8B40E23">
            <w:pPr>
              <w:spacing w:line="375" w:lineRule="exact"/>
              <w:ind w:left="20"/>
              <w:rPr>
                <w:rFonts w:hint="eastAsia" w:ascii="Dialog" w:hAnsi="Times New Roman" w:cs="Dialog"/>
                <w:color w:val="auto"/>
                <w:sz w:val="32"/>
                <w:szCs w:val="32"/>
              </w:rPr>
            </w:pPr>
            <w:r>
              <w:rPr>
                <w:rFonts w:hint="eastAsia" w:ascii="Dialog" w:hAnsi="Times New Roman" w:cs="Dialog"/>
                <w:color w:val="auto"/>
                <w:sz w:val="32"/>
                <w:szCs w:val="32"/>
              </w:rPr>
              <w:t xml:space="preserve">  （四）委托业务费情况</w:t>
            </w:r>
          </w:p>
        </w:tc>
      </w:tr>
      <w:tr w14:paraId="0C5A3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86637BF">
            <w:pPr>
              <w:spacing w:line="375" w:lineRule="exact"/>
              <w:ind w:left="20"/>
              <w:rPr>
                <w:rFonts w:hint="eastAsia" w:ascii="宋体" w:hAnsi="Times New Roman" w:cs="宋体"/>
                <w:color w:val="auto"/>
                <w:sz w:val="32"/>
                <w:szCs w:val="32"/>
              </w:rPr>
            </w:pPr>
            <w:r>
              <w:rPr>
                <w:rFonts w:hint="eastAsia" w:ascii="宋体" w:hAnsi="Times New Roman" w:cs="宋体"/>
                <w:color w:val="auto"/>
                <w:sz w:val="32"/>
                <w:szCs w:val="32"/>
              </w:rPr>
              <w:t xml:space="preserve">  本单位2025年本级委托业务费0万元，较2024年度0万元的预算数据持平，未发生增减变动，主要原因是是2025年度本单位没有安排委托业务费。</w:t>
            </w:r>
          </w:p>
        </w:tc>
      </w:tr>
      <w:tr w14:paraId="63EFE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5BDCB26">
            <w:pPr>
              <w:spacing w:line="375" w:lineRule="exact"/>
              <w:ind w:left="20"/>
              <w:rPr>
                <w:rFonts w:hint="eastAsia" w:ascii="Dialog" w:hAnsi="Times New Roman" w:cs="Dialog"/>
                <w:color w:val="auto"/>
                <w:sz w:val="32"/>
                <w:szCs w:val="32"/>
              </w:rPr>
            </w:pPr>
            <w:r>
              <w:rPr>
                <w:rFonts w:hint="eastAsia" w:ascii="Dialog" w:hAnsi="Times New Roman" w:cs="Dialog"/>
                <w:color w:val="auto"/>
                <w:sz w:val="32"/>
                <w:szCs w:val="32"/>
              </w:rPr>
              <w:t xml:space="preserve">  （五）政府采购情况</w:t>
            </w:r>
          </w:p>
        </w:tc>
      </w:tr>
      <w:tr w14:paraId="392D6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630"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F737917">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本单位2025年政府采购预算总额72万元，其中工程类0万元，货物类16万元，服务类56万元。</w:t>
            </w:r>
          </w:p>
        </w:tc>
      </w:tr>
      <w:tr w14:paraId="2F371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16ED104">
            <w:pPr>
              <w:spacing w:line="375" w:lineRule="exact"/>
              <w:ind w:left="20"/>
              <w:rPr>
                <w:rFonts w:hint="eastAsia" w:ascii="Dialog" w:hAnsi="Times New Roman" w:cs="Dialog"/>
                <w:sz w:val="32"/>
                <w:szCs w:val="32"/>
              </w:rPr>
            </w:pPr>
            <w:r>
              <w:rPr>
                <w:rFonts w:hint="eastAsia" w:ascii="Dialog" w:hAnsi="Times New Roman" w:cs="Dialog"/>
                <w:sz w:val="32"/>
                <w:szCs w:val="32"/>
              </w:rPr>
              <w:t xml:space="preserve">  （六）国有资产占有使用及新增资产配置情况</w:t>
            </w:r>
          </w:p>
        </w:tc>
      </w:tr>
      <w:tr w14:paraId="1A9F2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2210"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E6BDD8A">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截至上年底，本单位共有车辆0辆，其中领导干部用车0辆，一般公务用车0辆，其他用车0辆。单位价值50万元以上通用设备0台，单位价值100万元以上专用设备0台。 </w:t>
            </w:r>
          </w:p>
          <w:p w14:paraId="5F49FD76">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2025年拟报废处置车辆0辆，其中：报废处置领导干部用车0辆，报废处置一般公务用车0辆，报废处置其他用车0辆，报废处置单位价值50万元以上通用设备0台，报废处置单位价值100万元以上通用设备0台。拟新增配置车辆0辆，其中领导干部用车0辆，一般公务用车0辆，其他用车0辆。</w:t>
            </w:r>
          </w:p>
          <w:p w14:paraId="54D89348">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2025年拟新增配备领导干部用车0辆，一般公务用车0辆，其他用车0辆，新增配备单位价值50万元以上通用设备0台，单位价值100万元以上专用设备0台。2025年度本单位未计划处置或新增车辆、设备等。</w:t>
            </w:r>
          </w:p>
        </w:tc>
      </w:tr>
      <w:tr w14:paraId="4904B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D91B60B">
            <w:pPr>
              <w:spacing w:line="375" w:lineRule="exact"/>
              <w:ind w:left="20"/>
              <w:rPr>
                <w:rFonts w:hint="eastAsia" w:ascii="Dialog" w:hAnsi="Times New Roman" w:cs="Dialog"/>
                <w:sz w:val="32"/>
                <w:szCs w:val="32"/>
              </w:rPr>
            </w:pPr>
            <w:r>
              <w:rPr>
                <w:rFonts w:hint="eastAsia" w:ascii="Dialog" w:hAnsi="Times New Roman" w:cs="Dialog"/>
                <w:sz w:val="32"/>
                <w:szCs w:val="32"/>
              </w:rPr>
              <w:t xml:space="preserve">  （七）预算绩效目标说明</w:t>
            </w:r>
          </w:p>
        </w:tc>
      </w:tr>
      <w:tr w14:paraId="66429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481"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12EE4E5">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本单位所有支出实行绩效目标管理。纳入2025年单位整体支出绩效目标的金额为1852.68万元，其中，基本支出1813.88万元，项目支出38.80万元，详见文尾附表中单位预算公开表格的表21-22。</w:t>
            </w:r>
          </w:p>
        </w:tc>
      </w:tr>
      <w:tr w14:paraId="1EB85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FA2BE67">
            <w:pPr>
              <w:spacing w:line="375" w:lineRule="exact"/>
              <w:ind w:left="20"/>
              <w:rPr>
                <w:rFonts w:hint="eastAsia" w:ascii="Dialog" w:hAnsi="Times New Roman" w:cs="Dialog"/>
                <w:sz w:val="32"/>
                <w:szCs w:val="32"/>
              </w:rPr>
            </w:pPr>
            <w:r>
              <w:rPr>
                <w:rFonts w:hint="eastAsia" w:ascii="Dialog" w:hAnsi="Times New Roman" w:cs="Dialog"/>
                <w:sz w:val="32"/>
                <w:szCs w:val="32"/>
              </w:rPr>
              <w:t xml:space="preserve">  七、名词解释</w:t>
            </w:r>
          </w:p>
        </w:tc>
      </w:tr>
      <w:tr w14:paraId="685F9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1105"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D64BEDA">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1、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tc>
      </w:tr>
      <w:tr w14:paraId="7A3CC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1105"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B4B7CCB">
            <w:pPr>
              <w:spacing w:line="375" w:lineRule="exact"/>
              <w:ind w:left="20"/>
              <w:rPr>
                <w:rFonts w:hint="eastAsia" w:ascii="宋体" w:hAnsi="Times New Roman" w:cs="宋体"/>
                <w:sz w:val="32"/>
                <w:szCs w:val="32"/>
              </w:rPr>
            </w:pPr>
            <w:r>
              <w:rPr>
                <w:rFonts w:hint="eastAsia" w:ascii="宋体" w:hAnsi="Times New Roman" w:cs="宋体"/>
                <w:sz w:val="32"/>
                <w:szCs w:val="32"/>
              </w:rPr>
              <w:t xml:space="preserve">  2、“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14:paraId="7E67B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37747648">
            <w:pPr>
              <w:rPr>
                <w:rFonts w:hint="default" w:ascii="Times New Roman" w:cs="Times New Roman"/>
                <w:color w:val="auto"/>
                <w:sz w:val="24"/>
                <w:szCs w:val="24"/>
              </w:rPr>
            </w:pPr>
          </w:p>
        </w:tc>
      </w:tr>
      <w:tr w14:paraId="3084C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059BF16F">
            <w:pPr>
              <w:rPr>
                <w:rFonts w:hint="default" w:ascii="Times New Roman" w:cs="Times New Roman"/>
                <w:color w:val="auto"/>
                <w:sz w:val="24"/>
                <w:szCs w:val="24"/>
              </w:rPr>
            </w:pPr>
          </w:p>
        </w:tc>
      </w:tr>
      <w:tr w14:paraId="2F24A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3330C9A7">
            <w:pPr>
              <w:rPr>
                <w:rFonts w:hint="default" w:ascii="Times New Roman" w:cs="Times New Roman"/>
                <w:color w:val="auto"/>
                <w:sz w:val="24"/>
                <w:szCs w:val="24"/>
              </w:rPr>
            </w:pPr>
          </w:p>
        </w:tc>
      </w:tr>
      <w:tr w14:paraId="47A23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BA8468F">
            <w:pPr>
              <w:spacing w:line="375" w:lineRule="exact"/>
              <w:ind w:left="20"/>
              <w:jc w:val="center"/>
              <w:rPr>
                <w:rFonts w:hint="eastAsia" w:ascii="Dialog" w:hAnsi="Times New Roman" w:cs="Dialog"/>
                <w:sz w:val="32"/>
                <w:szCs w:val="32"/>
              </w:rPr>
            </w:pPr>
            <w:r>
              <w:rPr>
                <w:rFonts w:hint="eastAsia" w:ascii="Dialog" w:hAnsi="Times New Roman" w:cs="Dialog"/>
                <w:sz w:val="32"/>
                <w:szCs w:val="32"/>
              </w:rPr>
              <w:t>第二部分  2025年单位预算公开表格</w:t>
            </w:r>
          </w:p>
        </w:tc>
      </w:tr>
      <w:tr w14:paraId="0727E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A36A50B">
            <w:pPr>
              <w:spacing w:line="375" w:lineRule="exact"/>
              <w:ind w:left="20"/>
              <w:rPr>
                <w:rFonts w:hint="eastAsia" w:ascii="宋体" w:hAnsi="Times New Roman" w:cs="宋体"/>
                <w:sz w:val="32"/>
                <w:szCs w:val="32"/>
              </w:rPr>
            </w:pPr>
            <w:r>
              <w:rPr>
                <w:rFonts w:hint="eastAsia" w:ascii="宋体" w:hAnsi="Times New Roman" w:cs="宋体"/>
                <w:sz w:val="32"/>
                <w:szCs w:val="32"/>
              </w:rPr>
              <w:t>1、收支总表</w:t>
            </w:r>
          </w:p>
        </w:tc>
      </w:tr>
      <w:tr w14:paraId="68F82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E5C2E9B">
            <w:pPr>
              <w:spacing w:line="375" w:lineRule="exact"/>
              <w:ind w:left="20"/>
              <w:rPr>
                <w:rFonts w:hint="eastAsia" w:ascii="宋体" w:hAnsi="Times New Roman" w:cs="宋体"/>
                <w:sz w:val="32"/>
                <w:szCs w:val="32"/>
              </w:rPr>
            </w:pPr>
            <w:r>
              <w:rPr>
                <w:rFonts w:hint="eastAsia" w:ascii="宋体" w:hAnsi="Times New Roman" w:cs="宋体"/>
                <w:sz w:val="32"/>
                <w:szCs w:val="32"/>
              </w:rPr>
              <w:t>2、收入总表</w:t>
            </w:r>
          </w:p>
        </w:tc>
      </w:tr>
      <w:tr w14:paraId="2AA30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957D96D">
            <w:pPr>
              <w:spacing w:line="375" w:lineRule="exact"/>
              <w:ind w:left="20"/>
              <w:rPr>
                <w:rFonts w:hint="eastAsia" w:ascii="宋体" w:hAnsi="Times New Roman" w:cs="宋体"/>
                <w:sz w:val="32"/>
                <w:szCs w:val="32"/>
              </w:rPr>
            </w:pPr>
            <w:r>
              <w:rPr>
                <w:rFonts w:hint="eastAsia" w:ascii="宋体" w:hAnsi="Times New Roman" w:cs="宋体"/>
                <w:sz w:val="32"/>
                <w:szCs w:val="32"/>
              </w:rPr>
              <w:t>3、支出总表</w:t>
            </w:r>
          </w:p>
        </w:tc>
      </w:tr>
      <w:tr w14:paraId="5E976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3AFD380">
            <w:pPr>
              <w:spacing w:line="375" w:lineRule="exact"/>
              <w:ind w:left="20"/>
              <w:rPr>
                <w:rFonts w:hint="eastAsia" w:ascii="宋体" w:hAnsi="Times New Roman" w:cs="宋体"/>
                <w:sz w:val="32"/>
                <w:szCs w:val="32"/>
              </w:rPr>
            </w:pPr>
            <w:r>
              <w:rPr>
                <w:rFonts w:hint="eastAsia" w:ascii="宋体" w:hAnsi="Times New Roman" w:cs="宋体"/>
                <w:sz w:val="32"/>
                <w:szCs w:val="32"/>
              </w:rPr>
              <w:t>4、支出预算分类汇总表（按政府预算经济分类）</w:t>
            </w:r>
          </w:p>
        </w:tc>
      </w:tr>
      <w:tr w14:paraId="222AD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4FBF7F3">
            <w:pPr>
              <w:spacing w:line="375" w:lineRule="exact"/>
              <w:ind w:left="20"/>
              <w:rPr>
                <w:rFonts w:hint="eastAsia" w:ascii="宋体" w:hAnsi="Times New Roman" w:cs="宋体"/>
                <w:sz w:val="32"/>
                <w:szCs w:val="32"/>
              </w:rPr>
            </w:pPr>
            <w:r>
              <w:rPr>
                <w:rFonts w:hint="eastAsia" w:ascii="宋体" w:hAnsi="Times New Roman" w:cs="宋体"/>
                <w:sz w:val="32"/>
                <w:szCs w:val="32"/>
              </w:rPr>
              <w:t>5、支出预算分类汇总表（按部门预算经济分类）</w:t>
            </w:r>
          </w:p>
        </w:tc>
      </w:tr>
      <w:tr w14:paraId="065C6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E2A2CEB">
            <w:pPr>
              <w:spacing w:line="375" w:lineRule="exact"/>
              <w:ind w:left="20"/>
              <w:rPr>
                <w:rFonts w:hint="eastAsia" w:ascii="宋体" w:hAnsi="Times New Roman" w:cs="宋体"/>
                <w:sz w:val="32"/>
                <w:szCs w:val="32"/>
              </w:rPr>
            </w:pPr>
            <w:r>
              <w:rPr>
                <w:rFonts w:hint="eastAsia" w:ascii="宋体" w:hAnsi="Times New Roman" w:cs="宋体"/>
                <w:sz w:val="32"/>
                <w:szCs w:val="32"/>
              </w:rPr>
              <w:t>6、财政拨款收支总表</w:t>
            </w:r>
          </w:p>
        </w:tc>
      </w:tr>
      <w:tr w14:paraId="3BCCF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8B52FCE">
            <w:pPr>
              <w:spacing w:line="375" w:lineRule="exact"/>
              <w:ind w:left="20"/>
              <w:rPr>
                <w:rFonts w:hint="eastAsia" w:ascii="宋体" w:hAnsi="Times New Roman" w:cs="宋体"/>
                <w:sz w:val="32"/>
                <w:szCs w:val="32"/>
              </w:rPr>
            </w:pPr>
            <w:r>
              <w:rPr>
                <w:rFonts w:hint="eastAsia" w:ascii="宋体" w:hAnsi="Times New Roman" w:cs="宋体"/>
                <w:sz w:val="32"/>
                <w:szCs w:val="32"/>
              </w:rPr>
              <w:t>7、一般公共预算支出表</w:t>
            </w:r>
          </w:p>
        </w:tc>
      </w:tr>
      <w:tr w14:paraId="53E83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1D2C257">
            <w:pPr>
              <w:spacing w:line="375" w:lineRule="exact"/>
              <w:ind w:left="20"/>
              <w:rPr>
                <w:rFonts w:hint="eastAsia" w:ascii="宋体" w:hAnsi="Times New Roman" w:cs="宋体"/>
                <w:sz w:val="32"/>
                <w:szCs w:val="32"/>
              </w:rPr>
            </w:pPr>
            <w:r>
              <w:rPr>
                <w:rFonts w:hint="eastAsia" w:ascii="宋体" w:hAnsi="Times New Roman" w:cs="宋体"/>
                <w:sz w:val="32"/>
                <w:szCs w:val="32"/>
              </w:rPr>
              <w:t>8、一般公共预算基本支出表-人员经费（工资福利支出）（按政府预算经济分类）</w:t>
            </w:r>
          </w:p>
        </w:tc>
      </w:tr>
      <w:tr w14:paraId="6E6E5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E5E1051">
            <w:pPr>
              <w:spacing w:line="375" w:lineRule="exact"/>
              <w:ind w:left="20"/>
              <w:rPr>
                <w:rFonts w:hint="eastAsia" w:ascii="宋体" w:hAnsi="Times New Roman" w:cs="宋体"/>
                <w:sz w:val="32"/>
                <w:szCs w:val="32"/>
              </w:rPr>
            </w:pPr>
            <w:r>
              <w:rPr>
                <w:rFonts w:hint="eastAsia" w:ascii="宋体" w:hAnsi="Times New Roman" w:cs="宋体"/>
                <w:sz w:val="32"/>
                <w:szCs w:val="32"/>
              </w:rPr>
              <w:t>9、一般公共预算基本支出表-人员经费（工资福利支出）（按部门预算经济分类）</w:t>
            </w:r>
          </w:p>
        </w:tc>
      </w:tr>
      <w:tr w14:paraId="5815E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4236679">
            <w:pPr>
              <w:spacing w:line="375" w:lineRule="exact"/>
              <w:ind w:left="20"/>
              <w:rPr>
                <w:rFonts w:hint="eastAsia" w:ascii="宋体" w:hAnsi="Times New Roman" w:cs="宋体"/>
                <w:sz w:val="32"/>
                <w:szCs w:val="32"/>
              </w:rPr>
            </w:pPr>
            <w:r>
              <w:rPr>
                <w:rFonts w:hint="eastAsia" w:ascii="宋体" w:hAnsi="Times New Roman" w:cs="宋体"/>
                <w:sz w:val="32"/>
                <w:szCs w:val="32"/>
              </w:rPr>
              <w:t>10、一般公共预算基本支出表-人员经费（对个人和家庭的补助）（按政府预算经济分类）</w:t>
            </w:r>
          </w:p>
        </w:tc>
      </w:tr>
      <w:tr w14:paraId="0F240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7EDA7B6">
            <w:pPr>
              <w:spacing w:line="375" w:lineRule="exact"/>
              <w:ind w:left="20"/>
              <w:rPr>
                <w:rFonts w:hint="eastAsia" w:ascii="宋体" w:hAnsi="Times New Roman" w:cs="宋体"/>
                <w:sz w:val="32"/>
                <w:szCs w:val="32"/>
              </w:rPr>
            </w:pPr>
            <w:r>
              <w:rPr>
                <w:rFonts w:hint="eastAsia" w:ascii="宋体" w:hAnsi="Times New Roman" w:cs="宋体"/>
                <w:sz w:val="32"/>
                <w:szCs w:val="32"/>
              </w:rPr>
              <w:t>11、一般公共预算基本支出表-人员经费（对个人和家庭的补助）（按部门预算经济分类）</w:t>
            </w:r>
          </w:p>
        </w:tc>
      </w:tr>
      <w:tr w14:paraId="756E3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57EEA23">
            <w:pPr>
              <w:spacing w:line="375" w:lineRule="exact"/>
              <w:ind w:left="20"/>
              <w:rPr>
                <w:rFonts w:hint="eastAsia" w:ascii="宋体" w:hAnsi="Times New Roman" w:cs="宋体"/>
                <w:sz w:val="32"/>
                <w:szCs w:val="32"/>
              </w:rPr>
            </w:pPr>
            <w:r>
              <w:rPr>
                <w:rFonts w:hint="eastAsia" w:ascii="宋体" w:hAnsi="Times New Roman" w:cs="宋体"/>
                <w:sz w:val="32"/>
                <w:szCs w:val="32"/>
              </w:rPr>
              <w:t>12、一般公共预算基本支出表-公用经费（商品和服务支出）（按政府预算经济分类）</w:t>
            </w:r>
          </w:p>
        </w:tc>
      </w:tr>
      <w:tr w14:paraId="421B0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B2D4FAB">
            <w:pPr>
              <w:spacing w:line="375" w:lineRule="exact"/>
              <w:ind w:left="20"/>
              <w:rPr>
                <w:rFonts w:hint="eastAsia" w:ascii="宋体" w:hAnsi="Times New Roman" w:cs="宋体"/>
                <w:sz w:val="32"/>
                <w:szCs w:val="32"/>
              </w:rPr>
            </w:pPr>
            <w:r>
              <w:rPr>
                <w:rFonts w:hint="eastAsia" w:ascii="宋体" w:hAnsi="Times New Roman" w:cs="宋体"/>
                <w:sz w:val="32"/>
                <w:szCs w:val="32"/>
              </w:rPr>
              <w:t>13、一般公共预算基本支出表-公用经费（商品和服务支出）（按部门预算经济分类）</w:t>
            </w:r>
          </w:p>
        </w:tc>
      </w:tr>
      <w:tr w14:paraId="3E4C6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9652CCB">
            <w:pPr>
              <w:spacing w:line="375" w:lineRule="exact"/>
              <w:ind w:left="20"/>
              <w:rPr>
                <w:rFonts w:hint="eastAsia" w:ascii="宋体" w:hAnsi="Times New Roman" w:cs="宋体"/>
                <w:sz w:val="32"/>
                <w:szCs w:val="32"/>
              </w:rPr>
            </w:pPr>
            <w:r>
              <w:rPr>
                <w:rFonts w:hint="eastAsia" w:ascii="宋体" w:hAnsi="Times New Roman" w:cs="宋体"/>
                <w:sz w:val="32"/>
                <w:szCs w:val="32"/>
              </w:rPr>
              <w:t>14、一般公共预算“三公”经费支出表</w:t>
            </w:r>
          </w:p>
        </w:tc>
      </w:tr>
      <w:tr w14:paraId="0D15C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FBFA64B">
            <w:pPr>
              <w:spacing w:line="375" w:lineRule="exact"/>
              <w:ind w:left="20"/>
              <w:rPr>
                <w:rFonts w:hint="eastAsia" w:ascii="宋体" w:hAnsi="Times New Roman" w:cs="宋体"/>
                <w:sz w:val="32"/>
                <w:szCs w:val="32"/>
              </w:rPr>
            </w:pPr>
            <w:r>
              <w:rPr>
                <w:rFonts w:hint="eastAsia" w:ascii="宋体" w:hAnsi="Times New Roman" w:cs="宋体"/>
                <w:sz w:val="32"/>
                <w:szCs w:val="32"/>
              </w:rPr>
              <w:t>15、政府性基金预算支出表</w:t>
            </w:r>
          </w:p>
        </w:tc>
      </w:tr>
      <w:tr w14:paraId="7BB93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EB20925">
            <w:pPr>
              <w:spacing w:line="375" w:lineRule="exact"/>
              <w:ind w:left="20"/>
              <w:rPr>
                <w:rFonts w:hint="eastAsia" w:ascii="宋体" w:hAnsi="Times New Roman" w:cs="宋体"/>
                <w:sz w:val="32"/>
                <w:szCs w:val="32"/>
              </w:rPr>
            </w:pPr>
            <w:r>
              <w:rPr>
                <w:rFonts w:hint="eastAsia" w:ascii="宋体" w:hAnsi="Times New Roman" w:cs="宋体"/>
                <w:sz w:val="32"/>
                <w:szCs w:val="32"/>
              </w:rPr>
              <w:t>16、政府性基金预算支出分类汇总表（按政府预算经济分类）</w:t>
            </w:r>
          </w:p>
        </w:tc>
      </w:tr>
      <w:tr w14:paraId="38E06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1B2F6B2">
            <w:pPr>
              <w:spacing w:line="375" w:lineRule="exact"/>
              <w:ind w:left="20"/>
              <w:rPr>
                <w:rFonts w:hint="eastAsia" w:ascii="宋体" w:hAnsi="Times New Roman" w:cs="宋体"/>
                <w:sz w:val="32"/>
                <w:szCs w:val="32"/>
              </w:rPr>
            </w:pPr>
            <w:r>
              <w:rPr>
                <w:rFonts w:hint="eastAsia" w:ascii="宋体" w:hAnsi="Times New Roman" w:cs="宋体"/>
                <w:sz w:val="32"/>
                <w:szCs w:val="32"/>
              </w:rPr>
              <w:t>17、政府性基金预算支出分类汇总表（按部门预算经济分类）</w:t>
            </w:r>
          </w:p>
        </w:tc>
      </w:tr>
      <w:tr w14:paraId="1578F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59C5A5F">
            <w:pPr>
              <w:spacing w:line="375" w:lineRule="exact"/>
              <w:ind w:left="20"/>
              <w:rPr>
                <w:rFonts w:hint="eastAsia" w:ascii="宋体" w:hAnsi="Times New Roman" w:cs="宋体"/>
                <w:sz w:val="32"/>
                <w:szCs w:val="32"/>
              </w:rPr>
            </w:pPr>
            <w:r>
              <w:rPr>
                <w:rFonts w:hint="eastAsia" w:ascii="宋体" w:hAnsi="Times New Roman" w:cs="宋体"/>
                <w:sz w:val="32"/>
                <w:szCs w:val="32"/>
              </w:rPr>
              <w:t>18、国有资本经营预算支出表</w:t>
            </w:r>
          </w:p>
        </w:tc>
      </w:tr>
      <w:tr w14:paraId="08D98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CDB4DF4">
            <w:pPr>
              <w:spacing w:line="375" w:lineRule="exact"/>
              <w:ind w:left="20"/>
              <w:rPr>
                <w:rFonts w:hint="eastAsia" w:ascii="宋体" w:hAnsi="Times New Roman" w:cs="宋体"/>
                <w:sz w:val="32"/>
                <w:szCs w:val="32"/>
              </w:rPr>
            </w:pPr>
            <w:r>
              <w:rPr>
                <w:rFonts w:hint="eastAsia" w:ascii="宋体" w:hAnsi="Times New Roman" w:cs="宋体"/>
                <w:sz w:val="32"/>
                <w:szCs w:val="32"/>
              </w:rPr>
              <w:t>19、财政专户管理资金预算支出表</w:t>
            </w:r>
          </w:p>
        </w:tc>
      </w:tr>
      <w:tr w14:paraId="5FD8C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39E2707">
            <w:pPr>
              <w:spacing w:line="375" w:lineRule="exact"/>
              <w:ind w:left="20"/>
              <w:rPr>
                <w:rFonts w:hint="eastAsia" w:ascii="宋体" w:hAnsi="Times New Roman" w:cs="宋体"/>
                <w:sz w:val="32"/>
                <w:szCs w:val="32"/>
              </w:rPr>
            </w:pPr>
            <w:r>
              <w:rPr>
                <w:rFonts w:hint="eastAsia" w:ascii="宋体" w:hAnsi="Times New Roman" w:cs="宋体"/>
                <w:sz w:val="32"/>
                <w:szCs w:val="32"/>
              </w:rPr>
              <w:t>20、专项资金预算汇总表</w:t>
            </w:r>
          </w:p>
        </w:tc>
      </w:tr>
      <w:tr w14:paraId="4600B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975ACFA">
            <w:pPr>
              <w:spacing w:line="375" w:lineRule="exact"/>
              <w:ind w:left="20"/>
              <w:rPr>
                <w:rFonts w:hint="eastAsia" w:ascii="宋体" w:hAnsi="Times New Roman" w:cs="宋体"/>
                <w:sz w:val="32"/>
                <w:szCs w:val="32"/>
              </w:rPr>
            </w:pPr>
            <w:r>
              <w:rPr>
                <w:rFonts w:hint="eastAsia" w:ascii="宋体" w:hAnsi="Times New Roman" w:cs="宋体"/>
                <w:sz w:val="32"/>
                <w:szCs w:val="32"/>
              </w:rPr>
              <w:t>21、项目支出绩效目标表</w:t>
            </w:r>
          </w:p>
        </w:tc>
      </w:tr>
      <w:tr w14:paraId="06361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E571613">
            <w:pPr>
              <w:spacing w:line="375" w:lineRule="exact"/>
              <w:ind w:left="20"/>
              <w:rPr>
                <w:rFonts w:hint="eastAsia" w:ascii="宋体" w:hAnsi="Times New Roman" w:cs="宋体"/>
                <w:sz w:val="32"/>
                <w:szCs w:val="32"/>
              </w:rPr>
            </w:pPr>
            <w:r>
              <w:rPr>
                <w:rFonts w:hint="eastAsia" w:ascii="宋体" w:hAnsi="Times New Roman" w:cs="宋体"/>
                <w:sz w:val="32"/>
                <w:szCs w:val="32"/>
              </w:rPr>
              <w:t>22、单位整体支出绩效目标表</w:t>
            </w:r>
          </w:p>
        </w:tc>
      </w:tr>
      <w:tr w14:paraId="47736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A92ADD2">
            <w:pPr>
              <w:spacing w:line="375" w:lineRule="exact"/>
              <w:ind w:left="20"/>
              <w:rPr>
                <w:rFonts w:hint="eastAsia" w:ascii="宋体" w:hAnsi="Times New Roman" w:cs="宋体"/>
                <w:sz w:val="32"/>
                <w:szCs w:val="32"/>
              </w:rPr>
            </w:pPr>
            <w:r>
              <w:rPr>
                <w:rFonts w:hint="eastAsia" w:ascii="宋体" w:hAnsi="Times New Roman" w:cs="宋体"/>
                <w:sz w:val="32"/>
                <w:szCs w:val="32"/>
              </w:rPr>
              <w:t>23、一般公共预算基本支出表</w:t>
            </w:r>
          </w:p>
        </w:tc>
      </w:tr>
      <w:tr w14:paraId="2BBD0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dxa"/>
          <w:wAfter w:w="0" w:type="dxa"/>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68FEA33">
            <w:pPr>
              <w:spacing w:line="375" w:lineRule="exact"/>
              <w:ind w:left="20"/>
              <w:rPr>
                <w:rFonts w:hint="eastAsia" w:ascii="宋体" w:hAnsi="Times New Roman" w:cs="宋体"/>
                <w:color w:val="FF0000"/>
                <w:sz w:val="32"/>
                <w:szCs w:val="32"/>
              </w:rPr>
            </w:pPr>
            <w:r>
              <w:rPr>
                <w:rFonts w:hint="eastAsia" w:ascii="宋体" w:hAnsi="Times New Roman" w:cs="宋体"/>
                <w:b/>
                <w:color w:val="FF0000"/>
                <w:sz w:val="32"/>
                <w:szCs w:val="32"/>
              </w:rPr>
              <w:t>注：以上单位预算公开报表中，空表表示本单位无相关收支情况。</w:t>
            </w:r>
          </w:p>
        </w:tc>
      </w:tr>
    </w:tbl>
    <w:p w14:paraId="4303E2AF">
      <w:pPr>
        <w:rPr>
          <w:rFonts w:hint="default"/>
          <w:sz w:val="24"/>
          <w:szCs w:val="24"/>
        </w:rPr>
      </w:pPr>
    </w:p>
    <w:sectPr>
      <w:pgSz w:w="18708" w:h="15840"/>
      <w:pgMar w:top="388" w:right="1080" w:bottom="388" w:left="108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Dialog">
    <w:altName w:val="宋体"/>
    <w:panose1 w:val="00000000000000000000"/>
    <w:charset w:val="86"/>
    <w:family w:val="roma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2CA14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iPriority="9" w:semiHidden="0" w:name="heading 1"/>
    <w:lsdException w:qFormat="1" w:uiPriority="99" w:semiHidden="0" w:name="heading 2"/>
    <w:lsdException w:qFormat="1" w:uiPriority="9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uiPriority="99" w:semiHidden="0" w:name="header"/>
    <w:lsdException w:uiPriority="99"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uiPriority="1"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59" w:semiHidden="0" w:name="Table Grid"/>
    <w:lsdException w:qFormat="1" w:unhideWhenUsed="0" w:uiPriority="99"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unhideWhenUsed/>
    <w:qFormat/>
    <w:uiPriority w:val="99"/>
    <w:pPr>
      <w:widowControl w:val="0"/>
      <w:autoSpaceDE w:val="0"/>
      <w:autoSpaceDN w:val="0"/>
      <w:adjustRightInd w:val="0"/>
    </w:pPr>
    <w:rPr>
      <w:rFonts w:hint="eastAsia" w:ascii="Arial" w:hAnsi="Arial" w:eastAsia="宋体" w:cs="Arial"/>
      <w:color w:val="000000"/>
      <w:sz w:val="24"/>
      <w:szCs w:val="24"/>
      <w:lang w:val="en-US" w:eastAsia="zh-CN" w:bidi="ar-SA"/>
    </w:rPr>
  </w:style>
  <w:style w:type="paragraph" w:styleId="2">
    <w:name w:val="heading 1"/>
    <w:basedOn w:val="1"/>
    <w:next w:val="1"/>
    <w:link w:val="9"/>
    <w:unhideWhenUsed/>
    <w:qFormat/>
    <w:uiPriority w:val="9"/>
    <w:pPr>
      <w:outlineLvl w:val="0"/>
    </w:pPr>
    <w:rPr>
      <w:rFonts w:hint="eastAsia"/>
      <w:b/>
      <w:sz w:val="32"/>
      <w:szCs w:val="32"/>
    </w:rPr>
  </w:style>
  <w:style w:type="paragraph" w:styleId="3">
    <w:name w:val="heading 2"/>
    <w:basedOn w:val="1"/>
    <w:next w:val="1"/>
    <w:link w:val="10"/>
    <w:unhideWhenUsed/>
    <w:qFormat/>
    <w:uiPriority w:val="99"/>
    <w:pPr>
      <w:outlineLvl w:val="1"/>
    </w:pPr>
    <w:rPr>
      <w:rFonts w:hint="eastAsia"/>
      <w:b/>
      <w:i/>
      <w:sz w:val="28"/>
      <w:szCs w:val="28"/>
    </w:rPr>
  </w:style>
  <w:style w:type="paragraph" w:styleId="4">
    <w:name w:val="heading 3"/>
    <w:basedOn w:val="1"/>
    <w:next w:val="1"/>
    <w:link w:val="11"/>
    <w:unhideWhenUsed/>
    <w:qFormat/>
    <w:uiPriority w:val="99"/>
    <w:pPr>
      <w:outlineLvl w:val="2"/>
    </w:pPr>
    <w:rPr>
      <w:rFonts w:hint="eastAsia"/>
      <w:b/>
      <w:sz w:val="26"/>
      <w:szCs w:val="26"/>
    </w:rPr>
  </w:style>
  <w:style w:type="character" w:default="1" w:styleId="8">
    <w:name w:val="Default Paragraph Font"/>
    <w:unhideWhenUsed/>
    <w:uiPriority w:val="1"/>
    <w:rPr>
      <w:rFonts w:hint="default"/>
      <w:sz w:val="24"/>
      <w:szCs w:val="24"/>
    </w:rPr>
  </w:style>
  <w:style w:type="table" w:default="1" w:styleId="7">
    <w:name w:val="Normal Table"/>
    <w:qFormat/>
    <w:uiPriority w:val="99"/>
    <w:tblPr>
      <w:tblCellMar>
        <w:top w:w="0" w:type="dxa"/>
        <w:left w:w="108" w:type="dxa"/>
        <w:bottom w:w="0" w:type="dxa"/>
        <w:right w:w="108" w:type="dxa"/>
      </w:tblCellMar>
    </w:tblPr>
  </w:style>
  <w:style w:type="paragraph" w:styleId="5">
    <w:name w:val="footer"/>
    <w:basedOn w:val="1"/>
    <w:link w:val="13"/>
    <w:unhideWhenUsed/>
    <w:uiPriority w:val="99"/>
    <w:pPr>
      <w:tabs>
        <w:tab w:val="center" w:pos="4153"/>
        <w:tab w:val="right" w:pos="8306"/>
      </w:tabs>
      <w:snapToGrid w:val="0"/>
    </w:pPr>
    <w:rPr>
      <w:rFonts w:hint="eastAsia"/>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rFonts w:hint="eastAsia"/>
      <w:sz w:val="18"/>
      <w:szCs w:val="18"/>
    </w:rPr>
  </w:style>
  <w:style w:type="character" w:customStyle="1" w:styleId="9">
    <w:name w:val="标题 1 Char"/>
    <w:basedOn w:val="8"/>
    <w:link w:val="2"/>
    <w:unhideWhenUsed/>
    <w:locked/>
    <w:uiPriority w:val="9"/>
    <w:rPr>
      <w:rFonts w:hint="default" w:cs="Times New Roman"/>
      <w:b/>
      <w:kern w:val="44"/>
      <w:sz w:val="44"/>
      <w:szCs w:val="44"/>
    </w:rPr>
  </w:style>
  <w:style w:type="character" w:customStyle="1" w:styleId="10">
    <w:name w:val="标题 2 Char"/>
    <w:basedOn w:val="8"/>
    <w:link w:val="3"/>
    <w:unhideWhenUsed/>
    <w:locked/>
    <w:uiPriority w:val="9"/>
    <w:rPr>
      <w:rFonts w:hint="eastAsia" w:ascii="Cambria" w:hAnsi="Cambria" w:eastAsia="宋体" w:cs="Times New Roman"/>
      <w:b/>
      <w:sz w:val="32"/>
      <w:szCs w:val="32"/>
    </w:rPr>
  </w:style>
  <w:style w:type="character" w:customStyle="1" w:styleId="11">
    <w:name w:val="标题 3 Char"/>
    <w:basedOn w:val="8"/>
    <w:link w:val="4"/>
    <w:unhideWhenUsed/>
    <w:locked/>
    <w:uiPriority w:val="9"/>
    <w:rPr>
      <w:rFonts w:hint="default" w:cs="Times New Roman"/>
      <w:b/>
      <w:sz w:val="32"/>
      <w:szCs w:val="32"/>
    </w:rPr>
  </w:style>
  <w:style w:type="character" w:customStyle="1" w:styleId="12">
    <w:name w:val="页眉 Char"/>
    <w:basedOn w:val="8"/>
    <w:link w:val="6"/>
    <w:unhideWhenUsed/>
    <w:locked/>
    <w:uiPriority w:val="99"/>
    <w:rPr>
      <w:rFonts w:hint="default" w:ascii="Arial" w:hAnsi="Times New Roman" w:eastAsia="宋体" w:cs="Arial"/>
      <w:color w:val="000000"/>
      <w:sz w:val="18"/>
      <w:szCs w:val="18"/>
    </w:rPr>
  </w:style>
  <w:style w:type="character" w:customStyle="1" w:styleId="13">
    <w:name w:val="页脚 Char"/>
    <w:basedOn w:val="8"/>
    <w:link w:val="5"/>
    <w:unhideWhenUsed/>
    <w:locked/>
    <w:uiPriority w:val="99"/>
    <w:rPr>
      <w:rFonts w:hint="default" w:ascii="Arial" w:hAnsi="Times New Roman" w:eastAsia="宋体" w:cs="Arial"/>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4169</Words>
  <Characters>4540</Characters>
  <TotalTime>0</TotalTime>
  <ScaleCrop>false</ScaleCrop>
  <LinksUpToDate>false</LinksUpToDate>
  <CharactersWithSpaces>4631</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2026-07-09T08:50:00Z</dcterms:created>
  <dc:creator>Administrator</dc:creator>
  <cp:lastModifiedBy>陈春凤</cp:lastModifiedBy>
  <dcterms:modified xsi:type="dcterms:W3CDTF">2026-07-09T08:50:14Z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7A6FA2C0C42B4389BE761A72AC578E23_13</vt:lpwstr>
  </property>
</Properties>
</file>