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公文小标宋" w:hAnsi="方正公文小标宋" w:eastAsia="方正公文小标宋" w:cs="方正公文小标宋"/>
          <w:spacing w:val="-20"/>
          <w:sz w:val="44"/>
          <w:szCs w:val="44"/>
          <w:lang w:val="en-US" w:eastAsia="zh-CN"/>
        </w:rPr>
      </w:pPr>
      <w:bookmarkStart w:id="1" w:name="_GoBack"/>
      <w:r>
        <w:rPr>
          <w:rFonts w:hint="eastAsia" w:ascii="方正公文小标宋" w:hAnsi="方正公文小标宋" w:eastAsia="方正公文小标宋" w:cs="方正公文小标宋"/>
          <w:spacing w:val="-34"/>
          <w:sz w:val="44"/>
          <w:szCs w:val="44"/>
        </w:rPr>
        <w:t>岳阳</w:t>
      </w:r>
      <w:r>
        <w:rPr>
          <w:rFonts w:hint="eastAsia" w:ascii="方正公文小标宋" w:hAnsi="方正公文小标宋" w:eastAsia="方正公文小标宋" w:cs="方正公文小标宋"/>
          <w:spacing w:val="-34"/>
          <w:sz w:val="44"/>
          <w:szCs w:val="44"/>
          <w:lang w:val="en-US" w:eastAsia="zh-CN"/>
        </w:rPr>
        <w:t>南岳坡码头</w:t>
      </w:r>
      <w:r>
        <w:rPr>
          <w:rFonts w:hint="eastAsia" w:ascii="方正公文小标宋" w:hAnsi="方正公文小标宋" w:eastAsia="方正公文小标宋" w:cs="方正公文小标宋"/>
          <w:spacing w:val="-34"/>
          <w:sz w:val="44"/>
          <w:szCs w:val="44"/>
        </w:rPr>
        <w:t>“4·21”</w:t>
      </w:r>
      <w:r>
        <w:rPr>
          <w:rFonts w:hint="eastAsia" w:ascii="方正公文小标宋" w:hAnsi="方正公文小标宋" w:eastAsia="方正公文小标宋" w:cs="方正公文小标宋"/>
          <w:spacing w:val="-34"/>
          <w:sz w:val="44"/>
          <w:szCs w:val="44"/>
          <w:lang w:eastAsia="zh-CN"/>
        </w:rPr>
        <w:t>“天龙渔舫”轮</w:t>
      </w:r>
      <w:r>
        <w:rPr>
          <w:rFonts w:hint="eastAsia" w:ascii="方正公文小标宋" w:hAnsi="方正公文小标宋" w:eastAsia="方正公文小标宋" w:cs="方正公文小标宋"/>
          <w:spacing w:val="-34"/>
          <w:sz w:val="44"/>
          <w:szCs w:val="44"/>
          <w:lang w:val="en-US" w:eastAsia="zh-CN"/>
        </w:rPr>
        <w:t>自沉事故</w:t>
      </w:r>
    </w:p>
    <w:p>
      <w:pPr>
        <w:jc w:val="center"/>
        <w:rPr>
          <w:rFonts w:hint="eastAsia" w:ascii="方正公文小标宋" w:hAnsi="方正公文小标宋" w:eastAsia="方正公文小标宋" w:cs="方正公文小标宋"/>
          <w:spacing w:val="0"/>
          <w:sz w:val="44"/>
          <w:szCs w:val="44"/>
        </w:rPr>
      </w:pPr>
      <w:r>
        <w:rPr>
          <w:rFonts w:hint="eastAsia" w:ascii="方正公文小标宋" w:hAnsi="方正公文小标宋" w:eastAsia="方正公文小标宋" w:cs="方正公文小标宋"/>
          <w:spacing w:val="0"/>
          <w:sz w:val="44"/>
          <w:szCs w:val="44"/>
        </w:rPr>
        <w:t>调查报告</w:t>
      </w:r>
    </w:p>
    <w:bookmarkEnd w:id="1"/>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2026年4月21日2029</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时</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许，</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停靠在岳阳市岳阳楼区南岳坡码头岳阳市银帆快艇有限公司水泥趸船（以下简称“银帆快艇水泥趸船”）右舷（即外档，下同）的</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岳阳市陵峰旅游开发有限公司所属的</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“天龙渔舫”轮</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发生侧翻沉没事故</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造成</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“天龙渔舫”轮</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沉没</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本次</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事故</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无</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人员伤亡</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未造成水域环境污染</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按照</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《水上交通事故统计办法》</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规定，构成</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一般等级水上交通事故。</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i w:val="0"/>
          <w:iCs w:val="0"/>
          <w:caps w:val="0"/>
          <w:color w:val="FF0000"/>
          <w:spacing w:val="0"/>
          <w:sz w:val="32"/>
          <w:szCs w:val="32"/>
          <w:u w:val="single"/>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按照岳阳市政府领导指示要求，本次事故由岳阳</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市交通运输局</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组织调查。岳阳</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市交通运输局</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成立了由分管领导任组长，局安监科、局港航科、局船舶船员科、岳阳市交通运输综合行政执法支队、岳阳市水运事务中心、岳阳县东洞庭湖综合行政执法局等单位为成员的事故调查组。事故调查组按照“科学严谨、依法依规、实事求是、注重实效”的原则，通过询问当事人和相关证人、水下探摸、现场勘验等途径，共获得：</w:t>
      </w:r>
      <w:r>
        <w:rPr>
          <w:rFonts w:hint="eastAsia" w:ascii="仿宋_GB2312" w:hAnsi="仿宋_GB2312" w:eastAsia="仿宋_GB2312" w:cs="仿宋_GB2312"/>
          <w:i w:val="0"/>
          <w:iCs w:val="0"/>
          <w:caps w:val="0"/>
          <w:color w:val="000000"/>
          <w:spacing w:val="0"/>
          <w:sz w:val="32"/>
          <w:szCs w:val="32"/>
          <w:lang w:val="en-US" w:eastAsia="zh-CN"/>
        </w:rPr>
        <w:t>1.</w:t>
      </w:r>
      <w:r>
        <w:rPr>
          <w:rFonts w:hint="eastAsia" w:ascii="仿宋_GB2312" w:hAnsi="仿宋_GB2312" w:eastAsia="仿宋_GB2312" w:cs="仿宋_GB2312"/>
          <w:i w:val="0"/>
          <w:iCs w:val="0"/>
          <w:caps w:val="0"/>
          <w:color w:val="000000"/>
          <w:spacing w:val="0"/>
          <w:sz w:val="32"/>
          <w:szCs w:val="32"/>
        </w:rPr>
        <w:t>询问笔录</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13</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份</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现场勘查记录2份</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船舶资料</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套</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4.录像资料26份；5.照片50张；6.</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长江水利委员会水文局长江中游水文水资源勘测局《关于提供水文监测数据的复函》</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7.</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岳阳市气象局出具的《气象证明报告》。通过证据分析，查明了事故发生的经过、原因。经综合分析，形成调查报告。</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jc w:val="both"/>
        <w:textAlignment w:val="auto"/>
        <w:rPr>
          <w:rFonts w:hint="eastAsia" w:ascii="黑体" w:hAnsi="黑体" w:eastAsia="黑体" w:cs="黑体"/>
          <w:i w:val="0"/>
          <w:iCs w:val="0"/>
          <w:caps w:val="0"/>
          <w:color w:val="FF0000"/>
          <w:spacing w:val="0"/>
          <w:sz w:val="32"/>
          <w:szCs w:val="32"/>
          <w:u w:val="single"/>
          <w:lang w:val="en-US" w:eastAsia="zh-CN"/>
        </w:rPr>
      </w:pPr>
      <w:r>
        <w:rPr>
          <w:rFonts w:hint="eastAsia" w:ascii="黑体" w:hAnsi="黑体" w:eastAsia="黑体" w:cs="黑体"/>
          <w:i w:val="0"/>
          <w:iCs w:val="0"/>
          <w:caps w:val="0"/>
          <w:color w:val="000000" w:themeColor="text1"/>
          <w:spacing w:val="0"/>
          <w:sz w:val="32"/>
          <w:szCs w:val="32"/>
          <w:u w:val="none"/>
          <w:lang w:val="en-US" w:eastAsia="zh-CN"/>
          <w14:textFill>
            <w14:solidFill>
              <w14:schemeClr w14:val="tx1"/>
            </w14:solidFill>
          </w14:textFill>
        </w:rPr>
        <w:t>一、船舶、船公司概况</w:t>
      </w:r>
    </w:p>
    <w:p>
      <w:pPr>
        <w:keepNext w:val="0"/>
        <w:keepLines w:val="0"/>
        <w:pageBreakBefore w:val="0"/>
        <w:numPr>
          <w:ilvl w:val="0"/>
          <w:numId w:val="0"/>
        </w:numPr>
        <w:kinsoku/>
        <w:wordWrap/>
        <w:overflowPunct/>
        <w:topLinePunct w:val="0"/>
        <w:autoSpaceDE/>
        <w:autoSpaceDN/>
        <w:bidi w:val="0"/>
        <w:adjustRightInd/>
        <w:snapToGrid/>
        <w:spacing w:line="240" w:lineRule="auto"/>
        <w:ind w:leftChars="200"/>
        <w:jc w:val="both"/>
        <w:textAlignment w:val="auto"/>
        <w:rPr>
          <w:rFonts w:hint="eastAsia" w:ascii="楷体_GB2312" w:hAnsi="楷体_GB2312" w:eastAsia="楷体_GB2312" w:cs="楷体_GB2312"/>
          <w:b/>
          <w:bCs/>
          <w:i w:val="0"/>
          <w:iCs w:val="0"/>
          <w:caps w:val="0"/>
          <w:color w:val="FF0000"/>
          <w:spacing w:val="0"/>
          <w:sz w:val="32"/>
          <w:szCs w:val="32"/>
          <w:u w:val="single"/>
          <w:lang w:val="en-US" w:eastAsia="zh-CN"/>
        </w:rPr>
      </w:pPr>
      <w:r>
        <w:rPr>
          <w:rFonts w:hint="eastAsia" w:ascii="楷体_GB2312" w:hAnsi="楷体_GB2312" w:eastAsia="楷体_GB2312" w:cs="楷体_GB2312"/>
          <w:b/>
          <w:bCs/>
          <w:i w:val="0"/>
          <w:iCs w:val="0"/>
          <w:caps w:val="0"/>
          <w:color w:val="000000" w:themeColor="text1"/>
          <w:spacing w:val="0"/>
          <w:sz w:val="32"/>
          <w:szCs w:val="32"/>
          <w:u w:val="none"/>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t>一</w:t>
      </w:r>
      <w:r>
        <w:rPr>
          <w:rFonts w:hint="eastAsia" w:ascii="楷体_GB2312" w:hAnsi="楷体_GB2312" w:eastAsia="楷体_GB2312" w:cs="楷体_GB2312"/>
          <w:b/>
          <w:bCs/>
          <w:i w:val="0"/>
          <w:iCs w:val="0"/>
          <w:caps w:val="0"/>
          <w:color w:val="000000" w:themeColor="text1"/>
          <w:spacing w:val="0"/>
          <w:sz w:val="32"/>
          <w:szCs w:val="32"/>
          <w:u w:val="none"/>
          <w:lang w:eastAsia="zh-CN"/>
          <w14:textFill>
            <w14:solidFill>
              <w14:schemeClr w14:val="tx1"/>
            </w14:solidFill>
          </w14:textFill>
        </w:rPr>
        <w:t>）“天龙渔舫”轮</w:t>
      </w:r>
    </w:p>
    <w:p>
      <w:pPr>
        <w:keepNext w:val="0"/>
        <w:keepLines w:val="0"/>
        <w:pageBreakBefore w:val="0"/>
        <w:kinsoku/>
        <w:overflowPunct/>
        <w:topLinePunct w:val="0"/>
        <w:autoSpaceDE/>
        <w:autoSpaceDN/>
        <w:bidi w:val="0"/>
        <w:ind w:left="0" w:leftChars="0" w:firstLine="642"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1.船舶基本资料情况</w:t>
      </w:r>
      <w:r>
        <w:rPr>
          <w:rFonts w:hint="eastAsia" w:ascii="仿宋_GB2312" w:hAnsi="仿宋_GB2312" w:eastAsia="宋体" w:cs="仿宋_GB2312"/>
          <w:b/>
          <w:bCs/>
          <w:color w:val="auto"/>
          <w:sz w:val="32"/>
          <w:szCs w:val="32"/>
          <w:lang w:val="en-US" w:eastAsia="zh-CN"/>
        </w:rPr>
        <w:t xml:space="preserve"> </w:t>
      </w:r>
    </w:p>
    <w:tbl>
      <w:tblPr>
        <w:tblStyle w:val="8"/>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0"/>
        <w:gridCol w:w="275"/>
        <w:gridCol w:w="323"/>
        <w:gridCol w:w="941"/>
        <w:gridCol w:w="635"/>
        <w:gridCol w:w="5"/>
        <w:gridCol w:w="1211"/>
        <w:gridCol w:w="245"/>
        <w:gridCol w:w="142"/>
        <w:gridCol w:w="2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4" w:type="dxa"/>
            <w:gridSpan w:val="5"/>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船名：</w:t>
            </w:r>
            <w:r>
              <w:rPr>
                <w:rFonts w:hint="eastAsia" w:ascii="仿宋_GB2312" w:hAnsi="仿宋_GB2312" w:eastAsia="仿宋_GB2312" w:cs="仿宋_GB2312"/>
                <w:color w:val="auto"/>
                <w:sz w:val="32"/>
                <w:szCs w:val="32"/>
                <w:lang w:val="en-US" w:eastAsia="zh-CN"/>
              </w:rPr>
              <w:t>天龙渔舫</w:t>
            </w:r>
          </w:p>
        </w:tc>
        <w:tc>
          <w:tcPr>
            <w:tcW w:w="4496" w:type="dxa"/>
            <w:gridSpan w:val="5"/>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曾用名：</w:t>
            </w:r>
            <w:r>
              <w:rPr>
                <w:rFonts w:hint="eastAsia" w:ascii="仿宋_GB2312" w:hAnsi="仿宋_GB2312" w:eastAsia="仿宋_GB2312" w:cs="仿宋_GB2312"/>
                <w:i w:val="0"/>
                <w:iCs w:val="0"/>
                <w:caps w:val="0"/>
                <w:color w:val="000000"/>
                <w:spacing w:val="0"/>
                <w:sz w:val="32"/>
                <w:szCs w:val="32"/>
              </w:rPr>
              <w:t>天上人间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4" w:type="dxa"/>
            <w:gridSpan w:val="5"/>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船舶识别号：</w:t>
            </w:r>
            <w:r>
              <w:rPr>
                <w:rFonts w:hint="eastAsia" w:ascii="仿宋_GB2312" w:hAnsi="仿宋_GB2312" w:eastAsia="仿宋_GB2312" w:cs="仿宋_GB2312"/>
                <w:i w:val="0"/>
                <w:iCs w:val="0"/>
                <w:caps w:val="0"/>
                <w:color w:val="000000"/>
                <w:spacing w:val="0"/>
                <w:sz w:val="32"/>
                <w:szCs w:val="32"/>
              </w:rPr>
              <w:t>CN19873835171</w:t>
            </w:r>
          </w:p>
        </w:tc>
        <w:tc>
          <w:tcPr>
            <w:tcW w:w="4496" w:type="dxa"/>
            <w:gridSpan w:val="5"/>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船检登记号：</w:t>
            </w:r>
            <w:r>
              <w:rPr>
                <w:rFonts w:hint="eastAsia" w:ascii="仿宋_GB2312" w:hAnsi="仿宋_GB2312" w:eastAsia="仿宋_GB2312" w:cs="仿宋_GB2312"/>
                <w:i w:val="0"/>
                <w:iCs w:val="0"/>
                <w:caps w:val="0"/>
                <w:color w:val="000000"/>
                <w:spacing w:val="0"/>
                <w:sz w:val="32"/>
                <w:szCs w:val="32"/>
              </w:rPr>
              <w:t>1988P4000033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4" w:type="dxa"/>
            <w:gridSpan w:val="5"/>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初次登记号：</w:t>
            </w:r>
            <w:r>
              <w:rPr>
                <w:rFonts w:hint="eastAsia" w:ascii="仿宋_GB2312" w:hAnsi="仿宋_GB2312" w:eastAsia="仿宋_GB2312" w:cs="仿宋_GB2312"/>
                <w:i w:val="0"/>
                <w:iCs w:val="0"/>
                <w:caps w:val="0"/>
                <w:color w:val="000000"/>
                <w:spacing w:val="0"/>
                <w:sz w:val="32"/>
                <w:szCs w:val="32"/>
              </w:rPr>
              <w:t>140200546</w:t>
            </w:r>
          </w:p>
        </w:tc>
        <w:tc>
          <w:tcPr>
            <w:tcW w:w="4496" w:type="dxa"/>
            <w:gridSpan w:val="5"/>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船籍港：岳阳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599" w:type="dxa"/>
            <w:gridSpan w:val="4"/>
          </w:tcPr>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船舶</w:t>
            </w:r>
            <w:r>
              <w:rPr>
                <w:rFonts w:hint="eastAsia" w:ascii="仿宋_GB2312" w:hAnsi="仿宋_GB2312" w:eastAsia="仿宋_GB2312" w:cs="仿宋_GB2312"/>
                <w:color w:val="auto"/>
                <w:sz w:val="32"/>
                <w:szCs w:val="32"/>
                <w:lang w:val="en-US" w:eastAsia="zh-CN"/>
              </w:rPr>
              <w:t>种类</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i w:val="0"/>
                <w:iCs w:val="0"/>
                <w:caps w:val="0"/>
                <w:color w:val="000000"/>
                <w:spacing w:val="0"/>
                <w:sz w:val="32"/>
                <w:szCs w:val="32"/>
              </w:rPr>
              <w:t>普通旅游客船</w:t>
            </w:r>
          </w:p>
        </w:tc>
        <w:tc>
          <w:tcPr>
            <w:tcW w:w="2238" w:type="dxa"/>
            <w:gridSpan w:val="5"/>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pacing w:val="-11"/>
                <w:w w:val="95"/>
                <w:sz w:val="32"/>
                <w:szCs w:val="32"/>
              </w:rPr>
            </w:pPr>
            <w:r>
              <w:rPr>
                <w:rFonts w:hint="eastAsia" w:ascii="仿宋_GB2312" w:hAnsi="仿宋_GB2312" w:eastAsia="仿宋_GB2312" w:cs="仿宋_GB2312"/>
                <w:color w:val="auto"/>
                <w:spacing w:val="-11"/>
                <w:w w:val="95"/>
                <w:sz w:val="32"/>
                <w:szCs w:val="32"/>
              </w:rPr>
              <w:t>船体材料</w:t>
            </w:r>
            <w:r>
              <w:rPr>
                <w:rFonts w:hint="eastAsia" w:ascii="仿宋_GB2312" w:hAnsi="仿宋_GB2312" w:eastAsia="仿宋_GB2312" w:cs="仿宋_GB2312"/>
                <w:color w:val="auto"/>
                <w:spacing w:val="-11"/>
                <w:w w:val="95"/>
                <w:sz w:val="32"/>
                <w:szCs w:val="32"/>
                <w:lang w:eastAsia="zh-CN"/>
              </w:rPr>
              <w:t>：</w:t>
            </w:r>
            <w:r>
              <w:rPr>
                <w:rFonts w:hint="eastAsia" w:ascii="仿宋_GB2312" w:hAnsi="仿宋_GB2312" w:eastAsia="仿宋_GB2312" w:cs="仿宋_GB2312"/>
                <w:color w:val="auto"/>
                <w:spacing w:val="-11"/>
                <w:w w:val="95"/>
                <w:sz w:val="32"/>
                <w:szCs w:val="32"/>
              </w:rPr>
              <w:t>钢制</w:t>
            </w:r>
          </w:p>
        </w:tc>
        <w:tc>
          <w:tcPr>
            <w:tcW w:w="2893" w:type="dxa"/>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pacing w:val="-11"/>
                <w:w w:val="95"/>
                <w:sz w:val="32"/>
                <w:szCs w:val="32"/>
                <w:lang w:val="en-US" w:eastAsia="zh-CN"/>
              </w:rPr>
            </w:pPr>
            <w:r>
              <w:rPr>
                <w:rFonts w:hint="eastAsia" w:ascii="仿宋_GB2312" w:hAnsi="仿宋_GB2312" w:eastAsia="仿宋_GB2312" w:cs="仿宋_GB2312"/>
                <w:color w:val="auto"/>
                <w:spacing w:val="-11"/>
                <w:w w:val="95"/>
                <w:sz w:val="32"/>
                <w:szCs w:val="32"/>
                <w:lang w:val="en-US" w:eastAsia="zh-CN"/>
              </w:rPr>
              <w:t>船体结构：</w:t>
            </w:r>
            <w:r>
              <w:rPr>
                <w:rFonts w:hint="eastAsia" w:ascii="仿宋_GB2312" w:hAnsi="仿宋_GB2312" w:eastAsia="仿宋_GB2312" w:cs="仿宋_GB2312"/>
                <w:i w:val="0"/>
                <w:iCs w:val="0"/>
                <w:caps w:val="0"/>
                <w:color w:val="000000"/>
                <w:spacing w:val="0"/>
                <w:sz w:val="32"/>
                <w:szCs w:val="32"/>
              </w:rPr>
              <w:t>横骨架式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0" w:type="dxa"/>
            <w:gridSpan w:val="10"/>
          </w:tcPr>
          <w:p>
            <w:pPr>
              <w:keepNext w:val="0"/>
              <w:keepLines w:val="0"/>
              <w:pageBreakBefore w:val="0"/>
              <w:tabs>
                <w:tab w:val="left" w:pos="1242"/>
              </w:tabs>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船舶所有人：</w:t>
            </w:r>
            <w:r>
              <w:rPr>
                <w:rFonts w:hint="eastAsia" w:ascii="仿宋_GB2312" w:hAnsi="仿宋_GB2312" w:eastAsia="仿宋_GB2312" w:cs="仿宋_GB2312"/>
                <w:i w:val="0"/>
                <w:iCs w:val="0"/>
                <w:caps w:val="0"/>
                <w:color w:val="000000"/>
                <w:spacing w:val="0"/>
                <w:sz w:val="32"/>
                <w:szCs w:val="32"/>
              </w:rPr>
              <w:t>岳阳市陵峰旅游开发有限公司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0" w:type="dxa"/>
            <w:gridSpan w:val="10"/>
          </w:tcPr>
          <w:p>
            <w:pPr>
              <w:keepNext w:val="0"/>
              <w:keepLines w:val="0"/>
              <w:pageBreakBefore w:val="0"/>
              <w:tabs>
                <w:tab w:val="left" w:pos="1242"/>
              </w:tabs>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船舶经营人：</w:t>
            </w:r>
            <w:r>
              <w:rPr>
                <w:rFonts w:hint="eastAsia" w:ascii="仿宋_GB2312" w:hAnsi="仿宋_GB2312" w:eastAsia="仿宋_GB2312" w:cs="仿宋_GB2312"/>
                <w:i w:val="0"/>
                <w:iCs w:val="0"/>
                <w:caps w:val="0"/>
                <w:color w:val="000000"/>
                <w:spacing w:val="0"/>
                <w:sz w:val="32"/>
                <w:szCs w:val="32"/>
              </w:rPr>
              <w:t>岳阳市陵峰旅游开发有限公司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0" w:type="dxa"/>
            <w:gridSpan w:val="10"/>
          </w:tcPr>
          <w:p>
            <w:pPr>
              <w:keepNext w:val="0"/>
              <w:keepLines w:val="0"/>
              <w:pageBreakBefore w:val="0"/>
              <w:widowControl w:val="0"/>
              <w:kinsoku/>
              <w:wordWrap/>
              <w:overflowPunct/>
              <w:topLinePunct w:val="0"/>
              <w:autoSpaceDE/>
              <w:autoSpaceDN/>
              <w:bidi w:val="0"/>
              <w:adjustRightInd/>
              <w:snapToGrid/>
              <w:spacing w:line="520" w:lineRule="exact"/>
              <w:ind w:left="0"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安放龙骨日期：</w:t>
            </w:r>
            <w:r>
              <w:rPr>
                <w:rFonts w:hint="eastAsia" w:ascii="仿宋_GB2312" w:hAnsi="仿宋_GB2312" w:eastAsia="仿宋_GB2312" w:cs="仿宋_GB2312"/>
                <w:i w:val="0"/>
                <w:iCs w:val="0"/>
                <w:caps w:val="0"/>
                <w:color w:val="000000"/>
                <w:spacing w:val="0"/>
                <w:sz w:val="32"/>
                <w:szCs w:val="32"/>
              </w:rPr>
              <w:t>1987年</w:t>
            </w:r>
            <w:r>
              <w:rPr>
                <w:rFonts w:hint="eastAsia" w:ascii="仿宋_GB2312" w:hAnsi="仿宋_GB2312" w:eastAsia="仿宋_GB2312" w:cs="仿宋_GB2312"/>
                <w:i w:val="0"/>
                <w:iCs w:val="0"/>
                <w:caps w:val="0"/>
                <w:color w:val="000000"/>
                <w:spacing w:val="0"/>
                <w:sz w:val="32"/>
                <w:szCs w:val="32"/>
                <w:lang w:val="en-US" w:eastAsia="zh-CN"/>
              </w:rPr>
              <w:t>0</w:t>
            </w:r>
            <w:r>
              <w:rPr>
                <w:rFonts w:hint="eastAsia" w:ascii="仿宋_GB2312" w:hAnsi="仿宋_GB2312" w:eastAsia="仿宋_GB2312" w:cs="仿宋_GB2312"/>
                <w:i w:val="0"/>
                <w:iCs w:val="0"/>
                <w:caps w:val="0"/>
                <w:color w:val="000000"/>
                <w:spacing w:val="0"/>
                <w:sz w:val="32"/>
                <w:szCs w:val="32"/>
              </w:rPr>
              <w:t>6月10日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0" w:type="dxa"/>
            <w:gridSpan w:val="10"/>
          </w:tcPr>
          <w:p>
            <w:pPr>
              <w:keepNext w:val="0"/>
              <w:keepLines w:val="0"/>
              <w:pageBreakBefore w:val="0"/>
              <w:widowControl w:val="0"/>
              <w:kinsoku/>
              <w:wordWrap/>
              <w:overflowPunct/>
              <w:topLinePunct w:val="0"/>
              <w:autoSpaceDE/>
              <w:autoSpaceDN/>
              <w:bidi w:val="0"/>
              <w:adjustRightInd/>
              <w:snapToGrid/>
              <w:spacing w:line="520" w:lineRule="exact"/>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建造完工日期：</w:t>
            </w:r>
            <w:r>
              <w:rPr>
                <w:rFonts w:hint="eastAsia" w:ascii="仿宋_GB2312" w:hAnsi="仿宋_GB2312" w:eastAsia="仿宋_GB2312" w:cs="仿宋_GB2312"/>
                <w:i w:val="0"/>
                <w:iCs w:val="0"/>
                <w:caps w:val="0"/>
                <w:color w:val="000000"/>
                <w:spacing w:val="0"/>
                <w:sz w:val="32"/>
                <w:szCs w:val="32"/>
              </w:rPr>
              <w:t>1988年</w:t>
            </w:r>
            <w:r>
              <w:rPr>
                <w:rFonts w:hint="eastAsia" w:ascii="仿宋_GB2312" w:hAnsi="仿宋_GB2312" w:eastAsia="仿宋_GB2312" w:cs="仿宋_GB2312"/>
                <w:i w:val="0"/>
                <w:iCs w:val="0"/>
                <w:caps w:val="0"/>
                <w:color w:val="000000"/>
                <w:spacing w:val="0"/>
                <w:sz w:val="32"/>
                <w:szCs w:val="32"/>
                <w:lang w:val="en-US" w:eastAsia="zh-CN"/>
              </w:rPr>
              <w:t>0</w:t>
            </w:r>
            <w:r>
              <w:rPr>
                <w:rFonts w:hint="eastAsia" w:ascii="仿宋_GB2312" w:hAnsi="仿宋_GB2312" w:eastAsia="仿宋_GB2312" w:cs="仿宋_GB2312"/>
                <w:i w:val="0"/>
                <w:iCs w:val="0"/>
                <w:caps w:val="0"/>
                <w:color w:val="000000"/>
                <w:spacing w:val="0"/>
                <w:sz w:val="32"/>
                <w:szCs w:val="32"/>
              </w:rPr>
              <w:t>2月17日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0" w:type="dxa"/>
            <w:gridSpan w:val="10"/>
          </w:tcPr>
          <w:p>
            <w:pPr>
              <w:keepNext w:val="0"/>
              <w:keepLines w:val="0"/>
              <w:pageBreakBefore w:val="0"/>
              <w:widowControl w:val="0"/>
              <w:kinsoku/>
              <w:wordWrap/>
              <w:overflowPunct/>
              <w:topLinePunct w:val="0"/>
              <w:autoSpaceDE/>
              <w:autoSpaceDN/>
              <w:bidi w:val="0"/>
              <w:adjustRightInd/>
              <w:snapToGrid/>
              <w:spacing w:line="520" w:lineRule="exact"/>
              <w:ind w:left="0"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改建日期：2004年04月10日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5" w:type="dxa"/>
            <w:gridSpan w:val="8"/>
          </w:tcPr>
          <w:p>
            <w:pPr>
              <w:keepNext w:val="0"/>
              <w:keepLines w:val="0"/>
              <w:pageBreakBefore w:val="0"/>
              <w:widowControl w:val="0"/>
              <w:kinsoku/>
              <w:wordWrap/>
              <w:overflowPunct/>
              <w:topLinePunct w:val="0"/>
              <w:autoSpaceDE/>
              <w:autoSpaceDN/>
              <w:bidi w:val="0"/>
              <w:adjustRightInd/>
              <w:snapToGrid/>
              <w:spacing w:line="520" w:lineRule="exact"/>
              <w:ind w:left="0"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船舶固定压载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位置：#44-#52、#60-#70</w:t>
            </w:r>
          </w:p>
        </w:tc>
        <w:tc>
          <w:tcPr>
            <w:tcW w:w="3035" w:type="dxa"/>
            <w:gridSpan w:val="2"/>
          </w:tcPr>
          <w:p>
            <w:pPr>
              <w:keepNext w:val="0"/>
              <w:keepLines w:val="0"/>
              <w:pageBreakBefore w:val="0"/>
              <w:widowControl w:val="0"/>
              <w:kinsoku/>
              <w:wordWrap/>
              <w:overflowPunct/>
              <w:topLinePunct w:val="0"/>
              <w:autoSpaceDE/>
              <w:autoSpaceDN/>
              <w:bidi w:val="0"/>
              <w:adjustRightInd/>
              <w:snapToGrid/>
              <w:spacing w:line="520" w:lineRule="exact"/>
              <w:ind w:left="0" w:leftChars="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数量：30t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5" w:type="dxa"/>
            <w:gridSpan w:val="2"/>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总长：</w:t>
            </w:r>
            <w:r>
              <w:rPr>
                <w:rFonts w:hint="eastAsia" w:ascii="仿宋_GB2312" w:hAnsi="仿宋_GB2312" w:eastAsia="仿宋_GB2312" w:cs="仿宋_GB2312"/>
                <w:i w:val="0"/>
                <w:iCs w:val="0"/>
                <w:caps w:val="0"/>
                <w:color w:val="000000"/>
                <w:spacing w:val="0"/>
                <w:sz w:val="32"/>
                <w:szCs w:val="32"/>
              </w:rPr>
              <w:t>44.9</w:t>
            </w:r>
            <w:r>
              <w:rPr>
                <w:rFonts w:hint="eastAsia" w:ascii="仿宋_GB2312" w:hAnsi="仿宋_GB2312" w:eastAsia="仿宋_GB2312" w:cs="仿宋_GB2312"/>
                <w:i w:val="0"/>
                <w:iCs w:val="0"/>
                <w:caps w:val="0"/>
                <w:color w:val="000000"/>
                <w:spacing w:val="0"/>
                <w:sz w:val="32"/>
                <w:szCs w:val="32"/>
                <w:lang w:val="en-US" w:eastAsia="zh-CN"/>
              </w:rPr>
              <w:t>0</w:t>
            </w:r>
            <w:r>
              <w:rPr>
                <w:rFonts w:hint="eastAsia" w:ascii="仿宋_GB2312" w:hAnsi="仿宋_GB2312" w:eastAsia="仿宋_GB2312" w:cs="仿宋_GB2312"/>
                <w:color w:val="auto"/>
                <w:sz w:val="32"/>
                <w:szCs w:val="32"/>
              </w:rPr>
              <w:t>m</w:t>
            </w:r>
            <w:r>
              <w:rPr>
                <w:rFonts w:hint="eastAsia" w:ascii="仿宋_GB2312" w:hAnsi="仿宋_GB2312" w:eastAsia="仿宋_GB2312" w:cs="仿宋_GB2312"/>
                <w:color w:val="auto"/>
                <w:sz w:val="32"/>
                <w:szCs w:val="32"/>
                <w:lang w:val="en-US" w:eastAsia="zh-CN"/>
              </w:rPr>
              <w:t xml:space="preserve">  </w:t>
            </w:r>
          </w:p>
        </w:tc>
        <w:tc>
          <w:tcPr>
            <w:tcW w:w="3115" w:type="dxa"/>
            <w:gridSpan w:val="5"/>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000000"/>
                <w:spacing w:val="0"/>
                <w:sz w:val="32"/>
                <w:szCs w:val="32"/>
              </w:rPr>
              <w:t>满载水线长</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4</w:t>
            </w:r>
            <w:r>
              <w:rPr>
                <w:rFonts w:hint="eastAsia" w:ascii="仿宋_GB2312" w:hAnsi="仿宋_GB2312" w:eastAsia="仿宋_GB2312" w:cs="仿宋_GB2312"/>
                <w:i w:val="0"/>
                <w:iCs w:val="0"/>
                <w:caps w:val="0"/>
                <w:color w:val="000000"/>
                <w:spacing w:val="0"/>
                <w:sz w:val="32"/>
                <w:szCs w:val="32"/>
                <w:lang w:val="en-US" w:eastAsia="zh-CN"/>
              </w:rPr>
              <w:t>2.00</w:t>
            </w:r>
            <w:r>
              <w:rPr>
                <w:rFonts w:hint="eastAsia" w:ascii="仿宋_GB2312" w:hAnsi="仿宋_GB2312" w:eastAsia="仿宋_GB2312" w:cs="仿宋_GB2312"/>
                <w:color w:val="auto"/>
                <w:sz w:val="32"/>
                <w:szCs w:val="32"/>
              </w:rPr>
              <w:t>m</w:t>
            </w:r>
          </w:p>
        </w:tc>
        <w:tc>
          <w:tcPr>
            <w:tcW w:w="3280" w:type="dxa"/>
            <w:gridSpan w:val="3"/>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船</w:t>
            </w:r>
            <w:r>
              <w:rPr>
                <w:rFonts w:hint="eastAsia" w:ascii="仿宋_GB2312" w:hAnsi="仿宋_GB2312" w:eastAsia="仿宋_GB2312" w:cs="仿宋_GB2312"/>
                <w:i w:val="0"/>
                <w:iCs w:val="0"/>
                <w:caps w:val="0"/>
                <w:color w:val="000000"/>
                <w:spacing w:val="0"/>
                <w:sz w:val="32"/>
                <w:szCs w:val="32"/>
              </w:rPr>
              <w:t>长39.9</w:t>
            </w:r>
            <w:r>
              <w:rPr>
                <w:rFonts w:hint="eastAsia" w:ascii="仿宋_GB2312" w:hAnsi="仿宋_GB2312" w:eastAsia="仿宋_GB2312" w:cs="仿宋_GB2312"/>
                <w:i w:val="0"/>
                <w:iCs w:val="0"/>
                <w:caps w:val="0"/>
                <w:color w:val="000000"/>
                <w:spacing w:val="0"/>
                <w:sz w:val="32"/>
                <w:szCs w:val="32"/>
                <w:lang w:val="en-US" w:eastAsia="zh-CN"/>
              </w:rPr>
              <w:t>0</w:t>
            </w:r>
            <w:r>
              <w:rPr>
                <w:rFonts w:hint="eastAsia" w:ascii="仿宋_GB2312" w:hAnsi="仿宋_GB2312" w:eastAsia="仿宋_GB2312" w:cs="仿宋_GB2312"/>
                <w:color w:val="auto"/>
                <w:sz w:val="32"/>
                <w:szCs w:val="3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658" w:type="dxa"/>
            <w:gridSpan w:val="3"/>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最大船宽：</w:t>
            </w:r>
            <w:r>
              <w:rPr>
                <w:rFonts w:hint="eastAsia" w:ascii="仿宋_GB2312" w:hAnsi="仿宋_GB2312" w:eastAsia="仿宋_GB2312" w:cs="仿宋_GB2312"/>
                <w:color w:val="auto"/>
                <w:sz w:val="32"/>
                <w:szCs w:val="32"/>
                <w:lang w:val="en-US" w:eastAsia="zh-CN"/>
              </w:rPr>
              <w:t>8.20</w:t>
            </w:r>
            <w:r>
              <w:rPr>
                <w:rFonts w:hint="eastAsia" w:ascii="仿宋_GB2312" w:hAnsi="仿宋_GB2312" w:eastAsia="仿宋_GB2312" w:cs="仿宋_GB2312"/>
                <w:color w:val="auto"/>
                <w:sz w:val="32"/>
                <w:szCs w:val="32"/>
              </w:rPr>
              <w:t>m</w:t>
            </w:r>
          </w:p>
        </w:tc>
        <w:tc>
          <w:tcPr>
            <w:tcW w:w="2792" w:type="dxa"/>
            <w:gridSpan w:val="4"/>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型宽：</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0m</w:t>
            </w:r>
          </w:p>
        </w:tc>
        <w:tc>
          <w:tcPr>
            <w:tcW w:w="3280" w:type="dxa"/>
            <w:gridSpan w:val="3"/>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型深：</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060" w:type="dxa"/>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全高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m</w:t>
            </w:r>
          </w:p>
        </w:tc>
        <w:tc>
          <w:tcPr>
            <w:tcW w:w="2174" w:type="dxa"/>
            <w:gridSpan w:val="4"/>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水密横舱壁数：5</w:t>
            </w:r>
          </w:p>
        </w:tc>
        <w:tc>
          <w:tcPr>
            <w:tcW w:w="4496" w:type="dxa"/>
            <w:gridSpan w:val="5"/>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甲板层数：4（含顶棚甲板）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4" w:type="dxa"/>
            <w:gridSpan w:val="5"/>
            <w:vAlign w:val="top"/>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主机种类：柴油机</w:t>
            </w:r>
          </w:p>
        </w:tc>
        <w:tc>
          <w:tcPr>
            <w:tcW w:w="4496" w:type="dxa"/>
            <w:gridSpan w:val="5"/>
            <w:vAlign w:val="top"/>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rPr>
              <w:t>主机总功率：2</w:t>
            </w:r>
            <w:r>
              <w:rPr>
                <w:rFonts w:hint="eastAsia" w:ascii="仿宋_GB2312" w:hAnsi="仿宋_GB2312" w:eastAsia="仿宋_GB2312" w:cs="仿宋_GB2312"/>
                <w:color w:val="auto"/>
                <w:sz w:val="32"/>
                <w:szCs w:val="32"/>
                <w:lang w:val="en-US" w:eastAsia="zh-CN"/>
              </w:rPr>
              <w:t>台</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79.4</w:t>
            </w:r>
            <w:r>
              <w:rPr>
                <w:rFonts w:hint="eastAsia" w:ascii="仿宋_GB2312" w:hAnsi="仿宋_GB2312" w:eastAsia="仿宋_GB2312" w:cs="仿宋_GB2312"/>
                <w:color w:val="auto"/>
                <w:sz w:val="32"/>
                <w:szCs w:val="32"/>
                <w:lang w:eastAsia="zh-CN"/>
              </w:rPr>
              <w:t>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239" w:type="dxa"/>
            <w:gridSpan w:val="6"/>
          </w:tcPr>
          <w:p>
            <w:pPr>
              <w:keepNext w:val="0"/>
              <w:keepLines w:val="0"/>
              <w:pageBreakBefore w:val="0"/>
              <w:kinsoku/>
              <w:overflowPunct/>
              <w:topLinePunct w:val="0"/>
              <w:autoSpaceDE/>
              <w:autoSpaceDN/>
              <w:bidi w:val="0"/>
              <w:ind w:left="0" w:leftChars="0"/>
              <w:jc w:val="both"/>
              <w:textAlignment w:val="auto"/>
              <w:rPr>
                <w:rFonts w:hint="default" w:ascii="仿宋_GB2312" w:hAnsi="仿宋_GB2312" w:eastAsia="仿宋_GB2312" w:cs="仿宋_GB2312"/>
                <w:i w:val="0"/>
                <w:iCs w:val="0"/>
                <w:caps w:val="0"/>
                <w:color w:val="FF0000"/>
                <w:spacing w:val="0"/>
                <w:sz w:val="32"/>
                <w:szCs w:val="32"/>
                <w:lang w:val="en-US" w:eastAsia="zh-CN"/>
              </w:rPr>
            </w:pPr>
            <w:r>
              <w:rPr>
                <w:rFonts w:hint="eastAsia" w:ascii="仿宋_GB2312" w:hAnsi="仿宋_GB2312" w:eastAsia="仿宋_GB2312" w:cs="仿宋_GB2312"/>
                <w:color w:val="auto"/>
                <w:sz w:val="32"/>
                <w:szCs w:val="32"/>
              </w:rPr>
              <w:t>航区：内河B级</w:t>
            </w:r>
          </w:p>
        </w:tc>
        <w:tc>
          <w:tcPr>
            <w:tcW w:w="4491" w:type="dxa"/>
            <w:gridSpan w:val="4"/>
          </w:tcPr>
          <w:p>
            <w:pPr>
              <w:keepNext w:val="0"/>
              <w:keepLines w:val="0"/>
              <w:pageBreakBefore w:val="0"/>
              <w:kinsoku/>
              <w:overflowPunct/>
              <w:topLinePunct w:val="0"/>
              <w:autoSpaceDE/>
              <w:autoSpaceDN/>
              <w:bidi w:val="0"/>
              <w:jc w:val="both"/>
              <w:textAlignment w:val="auto"/>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乘客定额：</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200人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4" w:type="dxa"/>
            <w:gridSpan w:val="5"/>
            <w:vAlign w:val="top"/>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满载吃水：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650</w:t>
            </w:r>
            <w:r>
              <w:rPr>
                <w:rFonts w:hint="eastAsia" w:ascii="仿宋_GB2312" w:hAnsi="仿宋_GB2312" w:eastAsia="仿宋_GB2312" w:cs="仿宋_GB2312"/>
                <w:color w:val="auto"/>
                <w:sz w:val="32"/>
                <w:szCs w:val="32"/>
              </w:rPr>
              <w:t>m</w:t>
            </w:r>
          </w:p>
        </w:tc>
        <w:tc>
          <w:tcPr>
            <w:tcW w:w="4496" w:type="dxa"/>
            <w:gridSpan w:val="5"/>
            <w:vAlign w:val="top"/>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color w:val="auto"/>
                <w:sz w:val="32"/>
                <w:szCs w:val="32"/>
              </w:rPr>
              <w:t>空载吃水：</w:t>
            </w:r>
            <w:r>
              <w:rPr>
                <w:rFonts w:hint="eastAsia" w:ascii="仿宋_GB2312" w:hAnsi="仿宋_GB2312" w:eastAsia="仿宋_GB2312" w:cs="仿宋_GB2312"/>
                <w:i w:val="0"/>
                <w:iCs w:val="0"/>
                <w:caps w:val="0"/>
                <w:color w:val="000000"/>
                <w:spacing w:val="0"/>
                <w:sz w:val="32"/>
                <w:szCs w:val="32"/>
              </w:rPr>
              <w:t>1.527</w:t>
            </w:r>
            <w:r>
              <w:rPr>
                <w:rFonts w:hint="eastAsia" w:ascii="仿宋_GB2312" w:hAnsi="仿宋_GB2312" w:eastAsia="仿宋_GB2312" w:cs="仿宋_GB2312"/>
                <w:color w:val="auto"/>
                <w:sz w:val="32"/>
                <w:szCs w:val="3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4" w:type="dxa"/>
            <w:gridSpan w:val="5"/>
            <w:vAlign w:val="top"/>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000000"/>
                <w:spacing w:val="0"/>
                <w:sz w:val="32"/>
                <w:szCs w:val="32"/>
              </w:rPr>
              <w:t>满载排水量</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266.399</w:t>
            </w:r>
            <w:r>
              <w:rPr>
                <w:rFonts w:hint="eastAsia" w:ascii="仿宋_GB2312" w:hAnsi="仿宋_GB2312" w:eastAsia="仿宋_GB2312" w:cs="仿宋_GB2312"/>
                <w:i w:val="0"/>
                <w:iCs w:val="0"/>
                <w:caps w:val="0"/>
                <w:color w:val="000000"/>
                <w:spacing w:val="0"/>
                <w:sz w:val="32"/>
                <w:szCs w:val="32"/>
                <w:lang w:val="en-US" w:eastAsia="zh-CN"/>
              </w:rPr>
              <w:t>t</w:t>
            </w:r>
          </w:p>
        </w:tc>
        <w:tc>
          <w:tcPr>
            <w:tcW w:w="4496" w:type="dxa"/>
            <w:gridSpan w:val="5"/>
            <w:vAlign w:val="top"/>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000000"/>
                <w:spacing w:val="0"/>
                <w:sz w:val="32"/>
                <w:szCs w:val="32"/>
              </w:rPr>
              <w:t>空载排水量</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234.732</w:t>
            </w:r>
            <w:r>
              <w:rPr>
                <w:rFonts w:hint="eastAsia" w:ascii="仿宋_GB2312" w:hAnsi="仿宋_GB2312" w:eastAsia="仿宋_GB2312" w:cs="仿宋_GB2312"/>
                <w:i w:val="0"/>
                <w:iCs w:val="0"/>
                <w:caps w:val="0"/>
                <w:color w:val="000000"/>
                <w:spacing w:val="0"/>
                <w:sz w:val="32"/>
                <w:szCs w:val="32"/>
                <w:lang w:val="en-US" w:eastAsia="zh-CN"/>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0" w:type="dxa"/>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总吨</w:t>
            </w:r>
            <w:r>
              <w:rPr>
                <w:rFonts w:hint="eastAsia" w:ascii="仿宋_GB2312" w:hAnsi="仿宋_GB2312" w:eastAsia="仿宋_GB2312" w:cs="仿宋_GB2312"/>
                <w:color w:val="auto"/>
                <w:sz w:val="32"/>
                <w:szCs w:val="32"/>
                <w:lang w:val="en-US" w:eastAsia="zh-CN"/>
              </w:rPr>
              <w:t>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i w:val="0"/>
                <w:iCs w:val="0"/>
                <w:caps w:val="0"/>
                <w:color w:val="000000"/>
                <w:spacing w:val="0"/>
                <w:sz w:val="32"/>
                <w:szCs w:val="32"/>
              </w:rPr>
              <w:t>487</w:t>
            </w:r>
          </w:p>
        </w:tc>
        <w:tc>
          <w:tcPr>
            <w:tcW w:w="2174" w:type="dxa"/>
            <w:gridSpan w:val="4"/>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净吨位</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292</w:t>
            </w:r>
          </w:p>
        </w:tc>
        <w:tc>
          <w:tcPr>
            <w:tcW w:w="4496" w:type="dxa"/>
            <w:gridSpan w:val="5"/>
          </w:tcPr>
          <w:p>
            <w:pPr>
              <w:keepNext w:val="0"/>
              <w:keepLines w:val="0"/>
              <w:pageBreakBefore w:val="0"/>
              <w:kinsoku/>
              <w:overflowPunct/>
              <w:topLinePunct w:val="0"/>
              <w:autoSpaceDE/>
              <w:autoSpaceDN/>
              <w:bidi w:val="0"/>
              <w:ind w:left="0" w:leftChars="0"/>
              <w:jc w:val="both"/>
              <w:textAlignment w:val="auto"/>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空船重量：202.72t</w:t>
            </w:r>
          </w:p>
        </w:tc>
      </w:tr>
    </w:tbl>
    <w:p>
      <w:pPr>
        <w:keepNext w:val="0"/>
        <w:keepLines w:val="0"/>
        <w:pageBreakBefore w:val="0"/>
        <w:kinsoku/>
        <w:overflowPunct/>
        <w:topLinePunct w:val="0"/>
        <w:autoSpaceDE/>
        <w:autoSpaceDN/>
        <w:bidi w:val="0"/>
        <w:ind w:left="0" w:leftChars="0" w:firstLine="642"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2.船舶证书情况</w:t>
      </w:r>
    </w:p>
    <w:p>
      <w:pPr>
        <w:pStyle w:val="6"/>
        <w:spacing w:before="0" w:beforeAutospacing="0" w:after="0" w:afterAutospacing="0"/>
        <w:ind w:firstLine="640" w:firstLineChars="200"/>
        <w:jc w:val="left"/>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该轮事故前最后一次船舶检验是由</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湖南省岳阳</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市</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船舶检验局</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于2017年</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07</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4日</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在岳阳进行的临时检验，适航证书有效期至2018年04月19日止。该轮自2018年2月16日起，在船舶检验系统显示为强制报废船舶，未再取得船舶检验证书。根据《老旧运输船舶管理规定》的规定，该轮属于第二类老旧河船，强制报废船龄为30年以上，该轮于1988年02月17日建造完工，事发时船龄已超过38年。</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该轮于</w:t>
      </w:r>
      <w:r>
        <w:rPr>
          <w:rFonts w:hint="eastAsia" w:ascii="仿宋_GB2312" w:hAnsi="仿宋_GB2312" w:eastAsia="仿宋_GB2312" w:cs="仿宋_GB2312"/>
          <w:i w:val="0"/>
          <w:iCs w:val="0"/>
          <w:caps w:val="0"/>
          <w:color w:val="000000"/>
          <w:spacing w:val="0"/>
          <w:sz w:val="32"/>
          <w:szCs w:val="32"/>
        </w:rPr>
        <w:t>2009年</w:t>
      </w:r>
      <w:r>
        <w:rPr>
          <w:rFonts w:hint="eastAsia" w:ascii="仿宋_GB2312" w:hAnsi="仿宋_GB2312" w:eastAsia="仿宋_GB2312" w:cs="仿宋_GB2312"/>
          <w:i w:val="0"/>
          <w:iCs w:val="0"/>
          <w:caps w:val="0"/>
          <w:color w:val="000000"/>
          <w:spacing w:val="0"/>
          <w:sz w:val="32"/>
          <w:szCs w:val="32"/>
          <w:lang w:val="en-US" w:eastAsia="zh-CN"/>
        </w:rPr>
        <w:t>0</w:t>
      </w:r>
      <w:r>
        <w:rPr>
          <w:rFonts w:hint="eastAsia" w:ascii="仿宋_GB2312" w:hAnsi="仿宋_GB2312" w:eastAsia="仿宋_GB2312" w:cs="仿宋_GB2312"/>
          <w:i w:val="0"/>
          <w:iCs w:val="0"/>
          <w:caps w:val="0"/>
          <w:color w:val="000000"/>
          <w:spacing w:val="0"/>
          <w:sz w:val="32"/>
          <w:szCs w:val="32"/>
        </w:rPr>
        <w:t>1月22日在</w:t>
      </w:r>
      <w:r>
        <w:rPr>
          <w:rFonts w:hint="eastAsia" w:ascii="仿宋_GB2312" w:hAnsi="仿宋_GB2312" w:eastAsia="仿宋_GB2312" w:cs="仿宋_GB2312"/>
          <w:i w:val="0"/>
          <w:iCs w:val="0"/>
          <w:caps w:val="0"/>
          <w:color w:val="000000"/>
          <w:spacing w:val="0"/>
          <w:sz w:val="32"/>
          <w:szCs w:val="32"/>
          <w:lang w:val="en-US" w:eastAsia="zh-CN"/>
        </w:rPr>
        <w:t>中华人民共和国</w:t>
      </w:r>
      <w:r>
        <w:rPr>
          <w:rFonts w:hint="eastAsia" w:ascii="仿宋_GB2312" w:hAnsi="仿宋_GB2312" w:eastAsia="仿宋_GB2312" w:cs="仿宋_GB2312"/>
          <w:i w:val="0"/>
          <w:iCs w:val="0"/>
          <w:caps w:val="0"/>
          <w:color w:val="000000"/>
          <w:spacing w:val="0"/>
          <w:sz w:val="32"/>
          <w:szCs w:val="32"/>
        </w:rPr>
        <w:t>重庆万州</w:t>
      </w:r>
      <w:r>
        <w:rPr>
          <w:rFonts w:hint="eastAsia" w:ascii="仿宋_GB2312" w:hAnsi="仿宋_GB2312" w:eastAsia="仿宋_GB2312" w:cs="仿宋_GB2312"/>
          <w:i w:val="0"/>
          <w:iCs w:val="0"/>
          <w:caps w:val="0"/>
          <w:color w:val="000000"/>
          <w:spacing w:val="0"/>
          <w:sz w:val="32"/>
          <w:szCs w:val="32"/>
          <w:lang w:val="en-US" w:eastAsia="zh-CN"/>
        </w:rPr>
        <w:t>海事处办理船舶</w:t>
      </w:r>
      <w:r>
        <w:rPr>
          <w:rFonts w:hint="eastAsia" w:ascii="仿宋_GB2312" w:hAnsi="仿宋_GB2312" w:eastAsia="仿宋_GB2312" w:cs="仿宋_GB2312"/>
          <w:i w:val="0"/>
          <w:iCs w:val="0"/>
          <w:caps w:val="0"/>
          <w:color w:val="000000"/>
          <w:spacing w:val="0"/>
          <w:sz w:val="32"/>
          <w:szCs w:val="32"/>
        </w:rPr>
        <w:t>注销</w:t>
      </w:r>
      <w:r>
        <w:rPr>
          <w:rFonts w:hint="eastAsia" w:ascii="仿宋_GB2312" w:hAnsi="仿宋_GB2312" w:eastAsia="仿宋_GB2312" w:cs="仿宋_GB2312"/>
          <w:i w:val="0"/>
          <w:iCs w:val="0"/>
          <w:caps w:val="0"/>
          <w:color w:val="000000"/>
          <w:spacing w:val="0"/>
          <w:sz w:val="32"/>
          <w:szCs w:val="32"/>
          <w:lang w:val="en-US" w:eastAsia="zh-CN"/>
        </w:rPr>
        <w:t>登记手续</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2009年</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0</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4月2</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7</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日</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000000"/>
          <w:spacing w:val="0"/>
          <w:sz w:val="32"/>
          <w:szCs w:val="32"/>
        </w:rPr>
        <w:t>岳阳市陵峰旅游开发有限公司</w:t>
      </w:r>
      <w:r>
        <w:rPr>
          <w:rFonts w:hint="eastAsia" w:ascii="仿宋_GB2312" w:hAnsi="仿宋_GB2312" w:eastAsia="仿宋_GB2312" w:cs="仿宋_GB2312"/>
          <w:i w:val="0"/>
          <w:iCs w:val="0"/>
          <w:caps w:val="0"/>
          <w:color w:val="000000"/>
          <w:spacing w:val="0"/>
          <w:sz w:val="32"/>
          <w:szCs w:val="32"/>
          <w:lang w:val="en-US" w:eastAsia="zh-CN"/>
        </w:rPr>
        <w:t>法定代表人</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叶定和</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在</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湖南省</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岳阳</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市地方海事局申请办理船舶</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所有权</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国籍</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登记</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提交的《船舶出售合同》显示该轮出售价款为70万元（船舶出售方为重庆市万州区智龙观光游轮有限公司，船舶买入方为叶定和，合同签订日期为2007年11月20日），</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2009年</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0</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4月28日</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湖南省岳阳市地方海事局为该轮签发《船舶所有权登记证书》《船舶国籍证书》</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《内河船舶最低安全配员证书》</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之后，</w:t>
      </w:r>
      <w:r>
        <w:rPr>
          <w:rFonts w:hint="eastAsia" w:ascii="仿宋_GB2312" w:hAnsi="仿宋_GB2312" w:eastAsia="仿宋_GB2312" w:cs="仿宋_GB2312"/>
          <w:i w:val="0"/>
          <w:iCs w:val="0"/>
          <w:caps w:val="0"/>
          <w:color w:val="000000"/>
          <w:spacing w:val="0"/>
          <w:sz w:val="32"/>
          <w:szCs w:val="32"/>
        </w:rPr>
        <w:t>岳阳市陵峰旅游开发有限公司</w:t>
      </w:r>
      <w:r>
        <w:rPr>
          <w:rFonts w:hint="eastAsia" w:ascii="仿宋_GB2312" w:hAnsi="仿宋_GB2312" w:eastAsia="仿宋_GB2312" w:cs="仿宋_GB2312"/>
          <w:i w:val="0"/>
          <w:iCs w:val="0"/>
          <w:caps w:val="0"/>
          <w:color w:val="000000"/>
          <w:spacing w:val="0"/>
          <w:sz w:val="32"/>
          <w:szCs w:val="32"/>
          <w:lang w:val="en-US" w:eastAsia="zh-CN"/>
        </w:rPr>
        <w:t>法定代表人</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叶定和按期申请换发</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《船舶国籍证书》《内河船舶最低安全配员证书》。</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2013年11月04日，叶定和委托湖南公众资产评估有限公司对“天龙渔舫”轮进行评估，湖南公众资产评估有限公司出具的《固定资产-船舶清查评估分船明细表》显示：“天龙渔舫”轮原值、净值均为850万元，评估价值原值840.96万元、成新率62%、净值521.3952万元。2013年11月19日，</w:t>
      </w:r>
      <w:r>
        <w:rPr>
          <w:rFonts w:hint="eastAsia" w:ascii="仿宋_GB2312" w:hAnsi="仿宋_GB2312" w:eastAsia="仿宋_GB2312" w:cs="仿宋_GB2312"/>
          <w:i w:val="0"/>
          <w:iCs w:val="0"/>
          <w:caps w:val="0"/>
          <w:color w:val="000000"/>
          <w:spacing w:val="0"/>
          <w:sz w:val="32"/>
          <w:szCs w:val="32"/>
        </w:rPr>
        <w:t>岳阳市陵峰旅游开发有限公司</w:t>
      </w:r>
      <w:r>
        <w:rPr>
          <w:rFonts w:hint="eastAsia" w:ascii="仿宋_GB2312" w:hAnsi="仿宋_GB2312" w:eastAsia="仿宋_GB2312" w:cs="仿宋_GB2312"/>
          <w:i w:val="0"/>
          <w:iCs w:val="0"/>
          <w:caps w:val="0"/>
          <w:color w:val="000000"/>
          <w:spacing w:val="0"/>
          <w:sz w:val="32"/>
          <w:szCs w:val="32"/>
          <w:lang w:val="en-US" w:eastAsia="zh-CN"/>
        </w:rPr>
        <w:t>法定代表人</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叶定和</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与岳阳市岳阳楼区农村信用合作联社在洞庭信用社签订《最高额抵押合同》｛合同编号：（1886010300）最高额抵字〔2013〕第00000097号｝，2013年11月21日，双方签订《价值确认书》确认“天龙渔舫”轮评估价值为：521.3952万元，2013年11月26日，双方在湖南省岳阳市地方海事局办理了船舶抵押权登记手续，抵押权人为岳阳市岳阳楼区农村信用合作联社，担保债权数额230万元，受偿期限从2013年11月19日至2016年11月19日。2026年04月29日，湖南岳阳农村商业银行股份有限公司（原岳阳市农村信用合作联社）提交的《关于天龙渔舫船舶抵押借款情况的说明》“现欠本金229.98万元，利息自2011年1月12日起以229.98万元为基数按照月率10.5‰计算至借款实际清偿日止。”</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该轮未提供《船舶营业运输证》。</w:t>
      </w:r>
    </w:p>
    <w:p>
      <w:pPr>
        <w:keepNext w:val="0"/>
        <w:keepLines w:val="0"/>
        <w:pageBreakBefore w:val="0"/>
        <w:kinsoku/>
        <w:overflowPunct/>
        <w:topLinePunct w:val="0"/>
        <w:autoSpaceDE/>
        <w:autoSpaceDN/>
        <w:bidi w:val="0"/>
        <w:ind w:left="0" w:leftChars="0" w:firstLine="642"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3.船公司情况</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天龙渔舫”轮船舶所有人及经营人均为岳阳市陵峰旅游开发有限公司，公司成立于2009年02月23日，《企业法人营业执照》（注册号：430600000047524）营业期限自2009年02月23日至2019年02月22日，住所：岳阳市岳阳楼区枫桥湖路兴富社区8栋6号，公司类型：有限责任公司，法定代表人：叶定和，经营范围：旅游项目开发（涉及行政许可的凭许可证经营）。通过查询“爱企查”，并结合叶定和的描述，公司股份分配情况为叶定和占股75%、叶玲（系叶定和女儿）占股25%，实际控制人为叶定和。</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公司</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购入</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“天龙渔舫”轮</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主要开展水上餐饮、土特产销售、洞庭湖游湖观光</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等</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业务</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据叶定和描述：2009年8月岳阳市政府修建巴陵广场整合渔民和餐饮，张炳坤、徐正泉、叶定兵、刘德强、胡荣辉、张拥才、许丽群等7人加入“天龙渔舫”轮共同经营，2012年因经营问题，叶定和收回以上7人的股权。</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公司未建立安全生产管理制度和船舶安全管理制度，未对相关人员开展安全生产教育培训，未保证相关人员具备必要的安全生产知识、船舶维护保养技能、安全操作技能、应急处置能力。据叶定和描述：自2018年后，公司除对</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“天龙渔舫”轮</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有小范围的修修补补外，未进行过大面积大范围的维修保养。</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公司未提供水路经营许可手续。</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2" w:firstLineChars="200"/>
        <w:jc w:val="both"/>
        <w:textAlignment w:val="auto"/>
        <w:rPr>
          <w:rFonts w:hint="eastAsia" w:ascii="仿宋_GB2312" w:hAnsi="仿宋_GB2312" w:eastAsia="仿宋_GB2312" w:cs="仿宋_GB2312"/>
          <w:b/>
          <w:bCs/>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u w:val="none"/>
          <w:lang w:val="en-US" w:eastAsia="zh-CN"/>
          <w14:textFill>
            <w14:solidFill>
              <w14:schemeClr w14:val="tx1"/>
            </w14:solidFill>
          </w14:textFill>
        </w:rPr>
        <w:t>4.船舶停泊和值班值守情况</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综合现场勘验情况和叶定和以及其他证人证言，“天龙渔舫”轮停泊情况：2018年2月至事发前，“天龙渔舫”轮一直系泊于岳阳南岳坡码头银帆快艇水泥趸船右舷，船头朝上游方向，船尾朝下游方向，中部左舷2#系缆桩（位于27#肋位处）系缆桩与水泥趸船尾端平齐。在“天龙渔舫”轮左舷1#系缆桩（位于79#肋位处）用一根尼龙缆绳作为首缆与银帆快艇水泥趸船右舷1#系缆桩系固；用一根钢丝绳作为首倒缆与银帆快艇水泥趸船右舷2#系缆桩系固，2026年春节前叶定和加系一根钢丝绳。在“天龙渔舫”轮中部左舷2#系缆桩（位于27#肋位处）用一根尼龙缆绳通过导缆钳与银帆快艇水泥趸船右舷3#系缆桩系固，2026年春节前叶定和加系一根红色尼龙绳和一根钢丝绳。</w:t>
      </w:r>
      <w:r>
        <w:rPr>
          <w:rFonts w:hint="eastAsia" w:ascii="仿宋_GB2312" w:hAnsi="仿宋_GB2312" w:eastAsia="仿宋_GB2312" w:cs="仿宋_GB2312"/>
          <w:b w:val="0"/>
          <w:bCs w:val="0"/>
          <w:i w:val="0"/>
          <w:iCs w:val="0"/>
          <w:caps w:val="0"/>
          <w:color w:val="000000" w:themeColor="text1"/>
          <w:spacing w:val="0"/>
          <w:sz w:val="32"/>
          <w:szCs w:val="32"/>
          <w:u w:val="none"/>
          <w:lang w:val="en-US" w:eastAsia="zh-CN"/>
          <w14:textFill>
            <w14:solidFill>
              <w14:schemeClr w14:val="tx1"/>
            </w14:solidFill>
          </w14:textFill>
        </w:rPr>
        <w:t>（具体情况见附图）</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i w:val="0"/>
          <w:iCs w:val="0"/>
          <w:caps w:val="0"/>
          <w:color w:val="FF0000"/>
          <w:spacing w:val="0"/>
          <w:sz w:val="32"/>
          <w:szCs w:val="32"/>
          <w:lang w:val="en-US" w:eastAsia="zh-CN"/>
        </w:rPr>
      </w:pPr>
      <w:r>
        <w:rPr>
          <w:rFonts w:hint="eastAsia" w:eastAsia="宋体"/>
          <w:lang w:eastAsia="zh-CN"/>
        </w:rPr>
        <w:drawing>
          <wp:inline distT="0" distB="0" distL="114300" distR="114300">
            <wp:extent cx="5870575" cy="2420620"/>
            <wp:effectExtent l="0" t="0" r="12065" b="2540"/>
            <wp:docPr id="6" name="图片 6" descr="天龙渔舫与趸船系泊情况简图_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天龙渔舫与趸船系泊情况简图_01"/>
                    <pic:cNvPicPr>
                      <a:picLocks noChangeAspect="true"/>
                    </pic:cNvPicPr>
                  </pic:nvPicPr>
                  <pic:blipFill>
                    <a:blip r:embed="rId6"/>
                    <a:stretch>
                      <a:fillRect/>
                    </a:stretch>
                  </pic:blipFill>
                  <pic:spPr>
                    <a:xfrm>
                      <a:off x="0" y="0"/>
                      <a:ext cx="5870575" cy="2420620"/>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ind w:firstLine="720" w:firstLineChars="300"/>
        <w:jc w:val="both"/>
        <w:textAlignment w:val="auto"/>
        <w:rPr>
          <w:rFonts w:hint="default" w:ascii="仿宋_GB2312" w:hAnsi="仿宋_GB2312" w:eastAsia="仿宋_GB2312" w:cs="仿宋_GB2312"/>
          <w:i w:val="0"/>
          <w:iCs w:val="0"/>
          <w:caps w:val="0"/>
          <w:color w:val="FF0000"/>
          <w:spacing w:val="0"/>
          <w:sz w:val="24"/>
          <w:szCs w:val="24"/>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i w:val="0"/>
          <w:iCs w:val="0"/>
          <w:caps w:val="0"/>
          <w:color w:val="FF0000"/>
          <w:spacing w:val="0"/>
          <w:sz w:val="32"/>
          <w:szCs w:val="32"/>
          <w:lang w:val="en-US" w:eastAsia="zh-CN"/>
        </w:rPr>
      </w:pPr>
      <w:r>
        <w:rPr>
          <w:rFonts w:hint="eastAsia" w:ascii="仿宋_GB2312" w:hAnsi="仿宋_GB2312" w:eastAsia="仿宋_GB2312" w:cs="仿宋_GB2312"/>
          <w:i w:val="0"/>
          <w:iCs w:val="0"/>
          <w:caps w:val="0"/>
          <w:color w:val="FF0000"/>
          <w:spacing w:val="0"/>
          <w:sz w:val="32"/>
          <w:szCs w:val="32"/>
          <w:lang w:val="en-US" w:eastAsia="zh-CN"/>
        </w:rPr>
        <w:drawing>
          <wp:inline distT="0" distB="0" distL="114300" distR="114300">
            <wp:extent cx="2706370" cy="2101215"/>
            <wp:effectExtent l="0" t="0" r="6350" b="1905"/>
            <wp:docPr id="1" name="图片 1" descr="微信图片_20260427162206_280_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微信图片_20260427162206_280_4(1)"/>
                    <pic:cNvPicPr>
                      <a:picLocks noChangeAspect="true"/>
                    </pic:cNvPicPr>
                  </pic:nvPicPr>
                  <pic:blipFill>
                    <a:blip r:embed="rId7"/>
                    <a:srcRect r="5162" b="1455"/>
                    <a:stretch>
                      <a:fillRect/>
                    </a:stretch>
                  </pic:blipFill>
                  <pic:spPr>
                    <a:xfrm>
                      <a:off x="0" y="0"/>
                      <a:ext cx="2706370" cy="2101215"/>
                    </a:xfrm>
                    <a:prstGeom prst="rect">
                      <a:avLst/>
                    </a:prstGeom>
                  </pic:spPr>
                </pic:pic>
              </a:graphicData>
            </a:graphic>
          </wp:inline>
        </w:drawing>
      </w:r>
      <w:r>
        <w:rPr>
          <w:rFonts w:hint="eastAsia" w:ascii="仿宋_GB2312" w:hAnsi="仿宋_GB2312" w:eastAsia="仿宋_GB2312" w:cs="仿宋_GB2312"/>
          <w:i w:val="0"/>
          <w:iCs w:val="0"/>
          <w:caps w:val="0"/>
          <w:color w:val="FF0000"/>
          <w:spacing w:val="0"/>
          <w:sz w:val="32"/>
          <w:szCs w:val="32"/>
          <w:lang w:val="en-US" w:eastAsia="zh-CN"/>
        </w:rPr>
        <w:t xml:space="preserve">  </w:t>
      </w:r>
      <w:r>
        <w:rPr>
          <w:rFonts w:hint="eastAsia" w:ascii="仿宋_GB2312" w:hAnsi="仿宋_GB2312" w:eastAsia="仿宋_GB2312" w:cs="仿宋_GB2312"/>
          <w:i w:val="0"/>
          <w:iCs w:val="0"/>
          <w:caps w:val="0"/>
          <w:color w:val="FF0000"/>
          <w:spacing w:val="0"/>
          <w:sz w:val="32"/>
          <w:szCs w:val="32"/>
          <w:lang w:val="en-US" w:eastAsia="zh-CN"/>
        </w:rPr>
        <w:drawing>
          <wp:inline distT="0" distB="0" distL="114300" distR="114300">
            <wp:extent cx="2576830" cy="2068195"/>
            <wp:effectExtent l="0" t="0" r="13970" b="4445"/>
            <wp:docPr id="2" name="图片 2" descr="微信图片_20260512113309_2_585(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微信图片_20260512113309_2_585(1)"/>
                    <pic:cNvPicPr>
                      <a:picLocks noChangeAspect="true"/>
                    </pic:cNvPicPr>
                  </pic:nvPicPr>
                  <pic:blipFill>
                    <a:blip r:embed="rId8"/>
                    <a:srcRect r="86" b="15071"/>
                    <a:stretch>
                      <a:fillRect/>
                    </a:stretch>
                  </pic:blipFill>
                  <pic:spPr>
                    <a:xfrm>
                      <a:off x="0" y="0"/>
                      <a:ext cx="2576830" cy="2068195"/>
                    </a:xfrm>
                    <a:prstGeom prst="rect">
                      <a:avLst/>
                    </a:prstGeom>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i w:val="0"/>
          <w:iCs w:val="0"/>
          <w:caps w:val="0"/>
          <w:color w:val="FF0000"/>
          <w:spacing w:val="0"/>
          <w:sz w:val="24"/>
          <w:szCs w:val="24"/>
          <w:lang w:val="en-US" w:eastAsia="zh-CN"/>
        </w:rPr>
      </w:pPr>
      <w:r>
        <w:rPr>
          <w:rFonts w:hint="default" w:ascii="仿宋_GB2312" w:hAnsi="仿宋_GB2312" w:eastAsia="仿宋_GB2312" w:cs="仿宋_GB2312"/>
          <w:i w:val="0"/>
          <w:iCs w:val="0"/>
          <w:caps w:val="0"/>
          <w:color w:val="FF0000"/>
          <w:spacing w:val="0"/>
          <w:sz w:val="24"/>
          <w:szCs w:val="24"/>
          <w:lang w:val="en-US" w:eastAsia="zh-CN"/>
        </w:rPr>
        <w:drawing>
          <wp:inline distT="0" distB="0" distL="114300" distR="114300">
            <wp:extent cx="2726055" cy="1740535"/>
            <wp:effectExtent l="0" t="0" r="1905" b="12065"/>
            <wp:docPr id="8" name="图片 8" descr="报告参考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报告参考图"/>
                    <pic:cNvPicPr>
                      <a:picLocks noChangeAspect="true"/>
                    </pic:cNvPicPr>
                  </pic:nvPicPr>
                  <pic:blipFill>
                    <a:blip r:embed="rId9"/>
                    <a:stretch>
                      <a:fillRect/>
                    </a:stretch>
                  </pic:blipFill>
                  <pic:spPr>
                    <a:xfrm>
                      <a:off x="0" y="0"/>
                      <a:ext cx="2726055" cy="1740535"/>
                    </a:xfrm>
                    <a:prstGeom prst="rect">
                      <a:avLst/>
                    </a:prstGeom>
                  </pic:spPr>
                </pic:pic>
              </a:graphicData>
            </a:graphic>
          </wp:inline>
        </w:drawing>
      </w:r>
      <w:r>
        <w:rPr>
          <w:rFonts w:hint="eastAsia" w:ascii="仿宋_GB2312" w:hAnsi="仿宋_GB2312" w:eastAsia="仿宋_GB2312" w:cs="仿宋_GB2312"/>
          <w:i w:val="0"/>
          <w:iCs w:val="0"/>
          <w:caps w:val="0"/>
          <w:color w:val="FF0000"/>
          <w:spacing w:val="0"/>
          <w:sz w:val="24"/>
          <w:szCs w:val="24"/>
          <w:lang w:val="en-US" w:eastAsia="zh-CN"/>
        </w:rPr>
        <w:t xml:space="preserve">   </w:t>
      </w:r>
      <w:r>
        <w:rPr>
          <w:rFonts w:hint="default" w:ascii="仿宋_GB2312" w:hAnsi="仿宋_GB2312" w:eastAsia="仿宋_GB2312" w:cs="仿宋_GB2312"/>
          <w:i w:val="0"/>
          <w:iCs w:val="0"/>
          <w:caps w:val="0"/>
          <w:color w:val="FF0000"/>
          <w:spacing w:val="0"/>
          <w:sz w:val="24"/>
          <w:szCs w:val="24"/>
          <w:lang w:val="en-US" w:eastAsia="zh-CN"/>
        </w:rPr>
        <w:drawing>
          <wp:inline distT="0" distB="0" distL="114300" distR="114300">
            <wp:extent cx="2530475" cy="1862455"/>
            <wp:effectExtent l="0" t="0" r="14605" b="12065"/>
            <wp:docPr id="19" name="图片 19" descr="天龙渔舫系缆情况"/>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9" descr="天龙渔舫系缆情况"/>
                    <pic:cNvPicPr>
                      <a:picLocks noChangeAspect="true"/>
                    </pic:cNvPicPr>
                  </pic:nvPicPr>
                  <pic:blipFill>
                    <a:blip r:embed="rId10"/>
                    <a:stretch>
                      <a:fillRect/>
                    </a:stretch>
                  </pic:blipFill>
                  <pic:spPr>
                    <a:xfrm>
                      <a:off x="0" y="0"/>
                      <a:ext cx="2530475" cy="1862455"/>
                    </a:xfrm>
                    <a:prstGeom prst="rect">
                      <a:avLst/>
                    </a:prstGeom>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ind w:firstLine="3120" w:firstLineChars="1300"/>
        <w:jc w:val="both"/>
        <w:textAlignment w:val="auto"/>
        <w:rPr>
          <w:rFonts w:hint="eastAsia" w:ascii="仿宋_GB2312" w:hAnsi="仿宋_GB2312" w:eastAsia="仿宋_GB2312" w:cs="仿宋_GB2312"/>
          <w:i w:val="0"/>
          <w:iCs w:val="0"/>
          <w:caps w:val="0"/>
          <w:color w:val="000000" w:themeColor="text1"/>
          <w:spacing w:val="0"/>
          <w:sz w:val="24"/>
          <w:szCs w:val="24"/>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lang w:val="en-US" w:eastAsia="zh-CN"/>
          <w14:textFill>
            <w14:solidFill>
              <w14:schemeClr w14:val="tx1"/>
            </w14:solidFill>
          </w14:textFill>
        </w:rPr>
        <w:t>（“天龙渔舫”轮轮停泊情况附图）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2018年5月至2024年6月，岳阳市陵峰旅游开发有限公司白天安排熊望保（持二类船长适任证书）负责“天龙渔舫”轮的值班值守，晚上未安排其他值班值守人员。2024年6月熊望保离职后，公司再未安排其他值班值守人员，由叶定和不定期对“天龙渔舫”轮进行查看和抽排船舱积水，2025年12月后至事发前，叶定和再未进行过抽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FF0000"/>
          <w:spacing w:val="0"/>
          <w:sz w:val="32"/>
          <w:szCs w:val="32"/>
          <w:u w:val="none"/>
          <w:lang w:val="en-US" w:eastAsia="zh-CN"/>
        </w:rPr>
        <w:t xml:space="preserve">    </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2025年10月左右，周边游泳爱好者未经同意，擅自将“天龙渔舫”轮一楼右舷第一间房作为休息室，用来寄存游泳设备、活动设备和临时更衣室。2025年12月16日，在岳阳县公安局水上派出所的见证下，游泳爱好者签署了《洞庭湖游泳跳水安全承诺书》，递交给了岳阳县公安局水上派出所、岳阳市银帆快艇有限公司、</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岳阳市陵峰旅游开发有限公司</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，叶定和同意将“天龙渔舫”轮一楼右舷第一间房作为游泳爱好者的固定休息室。</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2"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lang w:val="en-US" w:eastAsia="zh-CN"/>
          <w14:textFill>
            <w14:solidFill>
              <w14:schemeClr w14:val="tx1"/>
            </w14:solidFill>
          </w14:textFill>
        </w:rPr>
        <w:t>5.船舶</w:t>
      </w:r>
      <w:r>
        <w:rPr>
          <w:rFonts w:hint="eastAsia" w:ascii="仿宋_GB2312" w:hAnsi="仿宋_GB2312" w:eastAsia="仿宋_GB2312" w:cs="仿宋_GB2312"/>
          <w:b/>
          <w:bCs/>
          <w:color w:val="000000" w:themeColor="text1"/>
          <w:sz w:val="32"/>
          <w:szCs w:val="32"/>
          <w14:textFill>
            <w14:solidFill>
              <w14:schemeClr w14:val="tx1"/>
            </w14:solidFill>
          </w14:textFill>
        </w:rPr>
        <w:t>勘验</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情况</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pPr>
      <w:r>
        <w:rPr>
          <w:rFonts w:hint="eastAsia" w:ascii="仿宋_GB2312" w:hAnsi="仿宋_GB2312" w:eastAsia="仿宋_GB2312" w:cs="仿宋_GB2312"/>
          <w:i w:val="0"/>
          <w:iCs w:val="0"/>
          <w:caps w:val="0"/>
          <w:color w:val="000000"/>
          <w:spacing w:val="0"/>
          <w:sz w:val="32"/>
          <w:szCs w:val="32"/>
          <w:lang w:val="en-US" w:eastAsia="zh-CN"/>
        </w:rPr>
        <w:t>“天龙渔舫”轮打捞出水后</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被拖带停放至</w:t>
      </w:r>
      <w:r>
        <w:rPr>
          <w:rFonts w:hint="eastAsia" w:ascii="仿宋_GB2312" w:hAnsi="仿宋_GB2312" w:eastAsia="仿宋_GB2312" w:cs="仿宋_GB2312"/>
          <w:i w:val="0"/>
          <w:iCs w:val="0"/>
          <w:caps w:val="0"/>
          <w:color w:val="000000"/>
          <w:spacing w:val="0"/>
          <w:sz w:val="32"/>
          <w:szCs w:val="32"/>
          <w:lang w:val="en-US" w:eastAsia="zh-CN"/>
        </w:rPr>
        <w:t>屈原区</w:t>
      </w:r>
      <w:r>
        <w:rPr>
          <w:rFonts w:hint="eastAsia" w:ascii="仿宋_GB2312" w:hAnsi="仿宋_GB2312" w:eastAsia="仿宋_GB2312" w:cs="仿宋_GB2312"/>
          <w:sz w:val="32"/>
          <w:szCs w:val="32"/>
          <w:lang w:val="en-US" w:eastAsia="zh-CN"/>
        </w:rPr>
        <w:t>湖南伟业农牧集团灏东船舶科技有限公司（以下简称“</w:t>
      </w:r>
      <w:r>
        <w:rPr>
          <w:rFonts w:hint="eastAsia" w:ascii="仿宋_GB2312" w:hAnsi="仿宋_GB2312" w:eastAsia="仿宋_GB2312" w:cs="仿宋_GB2312"/>
          <w:i w:val="0"/>
          <w:iCs w:val="0"/>
          <w:caps w:val="0"/>
          <w:color w:val="000000"/>
          <w:spacing w:val="0"/>
          <w:sz w:val="32"/>
          <w:szCs w:val="32"/>
          <w:lang w:val="en-US" w:eastAsia="zh-CN"/>
        </w:rPr>
        <w:t>灏东船厂</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i w:val="0"/>
          <w:iCs w:val="0"/>
          <w:caps w:val="0"/>
          <w:color w:val="000000"/>
          <w:spacing w:val="0"/>
          <w:sz w:val="32"/>
          <w:szCs w:val="32"/>
          <w:lang w:val="en-US" w:eastAsia="zh-CN"/>
        </w:rPr>
        <w:t>船台。2026年5月8日，调查组赴灏东船厂对“天龙渔舫”轮进行了现场勘验，制作了《水上交通事故现场勘查记录》（见附件），</w:t>
      </w:r>
      <w:r>
        <w:rPr>
          <w:rFonts w:hint="eastAsia" w:ascii="仿宋_GB2312" w:hAnsi="仿宋_GB2312" w:eastAsia="仿宋_GB2312" w:cs="仿宋_GB2312"/>
          <w:i w:val="0"/>
          <w:iCs w:val="0"/>
          <w:caps w:val="0"/>
          <w:color w:val="000000"/>
          <w:spacing w:val="0"/>
          <w:sz w:val="32"/>
          <w:szCs w:val="32"/>
        </w:rPr>
        <w:t>岳阳市陵峰旅游开发有限公司</w:t>
      </w:r>
      <w:r>
        <w:rPr>
          <w:rFonts w:hint="eastAsia" w:ascii="仿宋_GB2312" w:hAnsi="仿宋_GB2312" w:eastAsia="仿宋_GB2312" w:cs="仿宋_GB2312"/>
          <w:i w:val="0"/>
          <w:iCs w:val="0"/>
          <w:caps w:val="0"/>
          <w:color w:val="000000"/>
          <w:spacing w:val="0"/>
          <w:sz w:val="32"/>
          <w:szCs w:val="32"/>
          <w:lang w:val="en-US" w:eastAsia="zh-CN"/>
        </w:rPr>
        <w:t>法定代表人叶定和现场全程见证调查组的现场勘验，并在《水上交通事故现场勘查记录》签字确认。</w:t>
      </w:r>
      <w:r>
        <w:rPr>
          <w:rFonts w:hint="eastAsia"/>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eastAsia" w:eastAsia="宋体"/>
          <w:lang w:val="en-US" w:eastAsia="zh-CN"/>
        </w:rPr>
      </w:pPr>
      <w:r>
        <w:rPr>
          <w:rFonts w:hint="eastAsia" w:eastAsia="宋体"/>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r>
        <w:drawing>
          <wp:inline distT="0" distB="0" distL="114300" distR="114300">
            <wp:extent cx="2656205" cy="1663065"/>
            <wp:effectExtent l="0" t="0" r="0" b="0"/>
            <wp:docPr id="3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true"/>
                    </pic:cNvPicPr>
                  </pic:nvPicPr>
                  <pic:blipFill>
                    <a:blip r:embed="rId11"/>
                    <a:srcRect r="381" b="16831"/>
                    <a:stretch>
                      <a:fillRect/>
                    </a:stretch>
                  </pic:blipFill>
                  <pic:spPr>
                    <a:xfrm>
                      <a:off x="0" y="0"/>
                      <a:ext cx="2656205" cy="1663065"/>
                    </a:xfrm>
                    <a:prstGeom prst="rect">
                      <a:avLst/>
                    </a:prstGeom>
                    <a:noFill/>
                    <a:ln>
                      <a:noFill/>
                    </a:ln>
                  </pic:spPr>
                </pic:pic>
              </a:graphicData>
            </a:graphic>
          </wp:inline>
        </w:drawing>
      </w:r>
      <w:r>
        <w:rPr>
          <w:rFonts w:hint="eastAsia" w:eastAsia="宋体"/>
          <w:lang w:val="en-US" w:eastAsia="zh-CN"/>
        </w:rPr>
        <w:t xml:space="preserve"> 、</w:t>
      </w:r>
      <w:r>
        <w:drawing>
          <wp:inline distT="0" distB="0" distL="114300" distR="114300">
            <wp:extent cx="2695575" cy="1674495"/>
            <wp:effectExtent l="0" t="0" r="0" b="0"/>
            <wp:docPr id="3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true"/>
                    </pic:cNvPicPr>
                  </pic:nvPicPr>
                  <pic:blipFill>
                    <a:blip r:embed="rId12"/>
                    <a:srcRect r="-712" b="17687"/>
                    <a:stretch>
                      <a:fillRect/>
                    </a:stretch>
                  </pic:blipFill>
                  <pic:spPr>
                    <a:xfrm>
                      <a:off x="0" y="0"/>
                      <a:ext cx="2695575" cy="1674495"/>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eastAsia" w:eastAsia="宋体"/>
          <w:lang w:val="en-US" w:eastAsia="zh-CN"/>
        </w:rPr>
      </w:pPr>
      <w:r>
        <w:rPr>
          <w:rFonts w:hint="eastAsia" w:eastAsia="宋体"/>
          <w:lang w:val="en-US" w:eastAsia="zh-CN"/>
        </w:rPr>
        <w:t xml:space="preserve">           天龙渔舫侧艏照片                            天龙渔舫侧艉照片 </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r>
        <w:drawing>
          <wp:inline distT="0" distB="0" distL="114300" distR="114300">
            <wp:extent cx="2683510" cy="1657350"/>
            <wp:effectExtent l="0" t="0" r="0" b="0"/>
            <wp:docPr id="36"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true"/>
                    </pic:cNvPicPr>
                  </pic:nvPicPr>
                  <pic:blipFill>
                    <a:blip r:embed="rId13"/>
                    <a:srcRect t="17405" r="-285"/>
                    <a:stretch>
                      <a:fillRect/>
                    </a:stretch>
                  </pic:blipFill>
                  <pic:spPr>
                    <a:xfrm>
                      <a:off x="0" y="0"/>
                      <a:ext cx="2683510" cy="1657350"/>
                    </a:xfrm>
                    <a:prstGeom prst="rect">
                      <a:avLst/>
                    </a:prstGeom>
                    <a:noFill/>
                    <a:ln>
                      <a:noFill/>
                    </a:ln>
                  </pic:spPr>
                </pic:pic>
              </a:graphicData>
            </a:graphic>
          </wp:inline>
        </w:drawing>
      </w:r>
      <w:r>
        <w:rPr>
          <w:rFonts w:hint="eastAsia" w:eastAsia="宋体"/>
          <w:lang w:val="en-US" w:eastAsia="zh-CN"/>
        </w:rPr>
        <w:t xml:space="preserve">   </w:t>
      </w:r>
      <w:r>
        <w:drawing>
          <wp:inline distT="0" distB="0" distL="114300" distR="114300">
            <wp:extent cx="2672080" cy="1655445"/>
            <wp:effectExtent l="0" t="0" r="0" b="0"/>
            <wp:docPr id="37"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true"/>
                    </pic:cNvPicPr>
                  </pic:nvPicPr>
                  <pic:blipFill>
                    <a:blip r:embed="rId14"/>
                    <a:srcRect t="7009" r="-71" b="10308"/>
                    <a:stretch>
                      <a:fillRect/>
                    </a:stretch>
                  </pic:blipFill>
                  <pic:spPr>
                    <a:xfrm>
                      <a:off x="0" y="0"/>
                      <a:ext cx="2672080" cy="1655445"/>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eastAsia"/>
          <w:lang w:val="en-US" w:eastAsia="zh-CN"/>
        </w:rPr>
      </w:pPr>
      <w:r>
        <w:rPr>
          <w:rFonts w:hint="eastAsia" w:eastAsia="宋体"/>
          <w:lang w:val="en-US" w:eastAsia="zh-CN"/>
        </w:rPr>
        <w:t xml:space="preserve">         天龙渔舫右正横照片                         天龙渔舫左正横照片</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r>
        <w:drawing>
          <wp:inline distT="0" distB="0" distL="114300" distR="114300">
            <wp:extent cx="2674620" cy="1365885"/>
            <wp:effectExtent l="0" t="0" r="7620" b="5715"/>
            <wp:docPr id="38"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8"/>
                    <pic:cNvPicPr>
                      <a:picLocks noChangeAspect="true"/>
                    </pic:cNvPicPr>
                  </pic:nvPicPr>
                  <pic:blipFill>
                    <a:blip r:embed="rId15"/>
                    <a:srcRect t="13650" r="208" b="11898"/>
                    <a:stretch>
                      <a:fillRect/>
                    </a:stretch>
                  </pic:blipFill>
                  <pic:spPr>
                    <a:xfrm>
                      <a:off x="0" y="0"/>
                      <a:ext cx="2674620" cy="1365885"/>
                    </a:xfrm>
                    <a:prstGeom prst="rect">
                      <a:avLst/>
                    </a:prstGeom>
                    <a:noFill/>
                    <a:ln>
                      <a:noFill/>
                    </a:ln>
                  </pic:spPr>
                </pic:pic>
              </a:graphicData>
            </a:graphic>
          </wp:inline>
        </w:drawing>
      </w:r>
      <w:r>
        <w:rPr>
          <w:rFonts w:hint="eastAsia"/>
          <w:lang w:val="en-US" w:eastAsia="zh-CN"/>
        </w:rPr>
        <w:t xml:space="preserve">  </w:t>
      </w:r>
      <w:r>
        <w:rPr>
          <w:rFonts w:hint="eastAsia" w:eastAsia="宋体"/>
          <w:lang w:val="en-US" w:eastAsia="zh-CN"/>
        </w:rPr>
        <w:t xml:space="preserve"> </w:t>
      </w:r>
      <w:r>
        <w:drawing>
          <wp:inline distT="0" distB="0" distL="114300" distR="114300">
            <wp:extent cx="2656840" cy="1371600"/>
            <wp:effectExtent l="0" t="0" r="10160" b="0"/>
            <wp:docPr id="39"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9"/>
                    <pic:cNvPicPr>
                      <a:picLocks noChangeAspect="true"/>
                    </pic:cNvPicPr>
                  </pic:nvPicPr>
                  <pic:blipFill>
                    <a:blip r:embed="rId16"/>
                    <a:srcRect t="13275" r="161" b="12619"/>
                    <a:stretch>
                      <a:fillRect/>
                    </a:stretch>
                  </pic:blipFill>
                  <pic:spPr>
                    <a:xfrm>
                      <a:off x="0" y="0"/>
                      <a:ext cx="2656840" cy="1371600"/>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pPr>
      <w:r>
        <w:rPr>
          <w:rFonts w:hint="eastAsia" w:eastAsia="宋体"/>
          <w:lang w:val="en-US" w:eastAsia="zh-CN"/>
        </w:rPr>
        <w:t>调查组与叶定和在勘验现场</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r>
        <w:drawing>
          <wp:inline distT="0" distB="0" distL="114300" distR="114300">
            <wp:extent cx="3985260" cy="2335530"/>
            <wp:effectExtent l="0" t="0" r="0" b="0"/>
            <wp:docPr id="40"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10"/>
                    <pic:cNvPicPr>
                      <a:picLocks noChangeAspect="true"/>
                    </pic:cNvPicPr>
                  </pic:nvPicPr>
                  <pic:blipFill>
                    <a:blip r:embed="rId17"/>
                    <a:srcRect l="13935" t="13083" r="5770" b="14229"/>
                    <a:stretch>
                      <a:fillRect/>
                    </a:stretch>
                  </pic:blipFill>
                  <pic:spPr>
                    <a:xfrm>
                      <a:off x="0" y="0"/>
                      <a:ext cx="3985260" cy="2335530"/>
                    </a:xfrm>
                    <a:prstGeom prst="rect">
                      <a:avLst/>
                    </a:prstGeom>
                    <a:noFill/>
                    <a:ln>
                      <a:noFill/>
                    </a:ln>
                  </pic:spPr>
                </pic:pic>
              </a:graphicData>
            </a:graphic>
          </wp:inline>
        </w:drawing>
      </w:r>
      <w:r>
        <w:drawing>
          <wp:inline distT="0" distB="0" distL="114300" distR="114300">
            <wp:extent cx="1746250" cy="2327910"/>
            <wp:effectExtent l="0" t="0" r="6350" b="3810"/>
            <wp:docPr id="41"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11"/>
                    <pic:cNvPicPr>
                      <a:picLocks noChangeAspect="true"/>
                    </pic:cNvPicPr>
                  </pic:nvPicPr>
                  <pic:blipFill>
                    <a:blip r:embed="rId18"/>
                    <a:srcRect l="18857" t="20547" r="13089" b="17600"/>
                    <a:stretch>
                      <a:fillRect/>
                    </a:stretch>
                  </pic:blipFill>
                  <pic:spPr>
                    <a:xfrm>
                      <a:off x="0" y="0"/>
                      <a:ext cx="1746250" cy="2327910"/>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default" w:eastAsia="宋体"/>
          <w:lang w:val="en-US" w:eastAsia="zh-CN"/>
        </w:rPr>
      </w:pPr>
      <w:r>
        <w:rPr>
          <w:rFonts w:hint="eastAsia" w:eastAsia="宋体"/>
          <w:lang w:val="en-US" w:eastAsia="zh-CN"/>
        </w:rPr>
        <w:t>左图：右舷船体外板10#肋位共7处锈蚀穿孔</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eastAsia"/>
          <w:lang w:val="en-US" w:eastAsia="zh-CN"/>
        </w:rPr>
      </w:pPr>
      <w:r>
        <w:rPr>
          <w:rFonts w:hint="eastAsia" w:eastAsia="宋体"/>
          <w:lang w:val="en-US" w:eastAsia="zh-CN"/>
        </w:rPr>
        <w:t>右图：右舷船体外板10#肋位处1号穿孔位置局部放大，清晰可见船体内部结构件</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r>
        <w:rPr>
          <w:rFonts w:hint="eastAsia"/>
          <w:lang w:val="en-US" w:eastAsia="zh-CN"/>
        </w:rPr>
        <w:t xml:space="preserve">    </w:t>
      </w:r>
      <w:r>
        <w:drawing>
          <wp:inline distT="0" distB="0" distL="114300" distR="114300">
            <wp:extent cx="5147310" cy="2134235"/>
            <wp:effectExtent l="0" t="0" r="0" b="0"/>
            <wp:docPr id="42"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12"/>
                    <pic:cNvPicPr>
                      <a:picLocks noChangeAspect="true"/>
                    </pic:cNvPicPr>
                  </pic:nvPicPr>
                  <pic:blipFill>
                    <a:blip r:embed="rId19"/>
                    <a:srcRect t="13488" r="479" b="13160"/>
                    <a:stretch>
                      <a:fillRect/>
                    </a:stretch>
                  </pic:blipFill>
                  <pic:spPr>
                    <a:xfrm>
                      <a:off x="0" y="0"/>
                      <a:ext cx="5147310" cy="2134235"/>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ind w:firstLine="420" w:firstLineChars="200"/>
        <w:jc w:val="both"/>
        <w:textAlignment w:val="auto"/>
      </w:pPr>
      <w:r>
        <w:rPr>
          <w:rFonts w:hint="eastAsia" w:eastAsia="宋体"/>
          <w:lang w:val="en-US" w:eastAsia="zh-CN"/>
        </w:rPr>
        <w:t>右舷船体外板46#肋位至48#肋位共计4处锈蚀穿孔。</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default"/>
          <w:lang w:val="en-US" w:eastAsia="zh-CN"/>
        </w:rPr>
      </w:pPr>
      <w:r>
        <w:rPr>
          <w:rFonts w:hint="eastAsia"/>
          <w:lang w:val="en-US" w:eastAsia="zh-CN"/>
        </w:rPr>
        <w:t xml:space="preserve">    </w:t>
      </w:r>
      <w:r>
        <w:drawing>
          <wp:inline distT="0" distB="0" distL="114300" distR="114300">
            <wp:extent cx="5146675" cy="2351405"/>
            <wp:effectExtent l="0" t="0" r="4445" b="10795"/>
            <wp:docPr id="49"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9" name="图片 13"/>
                    <pic:cNvPicPr>
                      <a:picLocks noChangeAspect="true"/>
                    </pic:cNvPicPr>
                  </pic:nvPicPr>
                  <pic:blipFill>
                    <a:blip r:embed="rId20"/>
                    <a:srcRect l="8560" t="12530" r="434" b="13557"/>
                    <a:stretch>
                      <a:fillRect/>
                    </a:stretch>
                  </pic:blipFill>
                  <pic:spPr>
                    <a:xfrm>
                      <a:off x="0" y="0"/>
                      <a:ext cx="5146675" cy="2351405"/>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ind w:firstLine="1890" w:firstLineChars="900"/>
        <w:jc w:val="both"/>
        <w:textAlignment w:val="auto"/>
        <w:rPr>
          <w:rFonts w:hint="eastAsia" w:eastAsia="宋体"/>
          <w:lang w:val="en-US" w:eastAsia="zh-CN"/>
        </w:rPr>
      </w:pPr>
      <w:r>
        <w:rPr>
          <w:rFonts w:hint="eastAsia" w:eastAsia="宋体"/>
          <w:lang w:val="en-US" w:eastAsia="zh-CN"/>
        </w:rPr>
        <w:t>船舶主甲板左舷客舱出入口通道外，甲板锈蚀穿孔4处。</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r>
        <w:rPr>
          <w:rFonts w:hint="eastAsia"/>
          <w:lang w:val="en-US" w:eastAsia="zh-CN"/>
        </w:rPr>
        <w:t xml:space="preserve">    </w:t>
      </w:r>
      <w:r>
        <w:drawing>
          <wp:inline distT="0" distB="0" distL="114300" distR="114300">
            <wp:extent cx="5111750" cy="2359025"/>
            <wp:effectExtent l="0" t="0" r="0" b="0"/>
            <wp:docPr id="44"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4" name="图片 14"/>
                    <pic:cNvPicPr>
                      <a:picLocks noChangeAspect="true"/>
                    </pic:cNvPicPr>
                  </pic:nvPicPr>
                  <pic:blipFill>
                    <a:blip r:embed="rId21"/>
                    <a:srcRect l="5147" t="13024" r="5359" b="13557"/>
                    <a:stretch>
                      <a:fillRect/>
                    </a:stretch>
                  </pic:blipFill>
                  <pic:spPr>
                    <a:xfrm>
                      <a:off x="0" y="0"/>
                      <a:ext cx="5111750" cy="2359025"/>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ind w:firstLine="1890" w:firstLineChars="900"/>
        <w:jc w:val="both"/>
        <w:textAlignment w:val="auto"/>
      </w:pPr>
      <w:r>
        <w:rPr>
          <w:rFonts w:hint="eastAsia" w:eastAsia="宋体"/>
          <w:lang w:val="en-US" w:eastAsia="zh-CN"/>
        </w:rPr>
        <w:t>船舶主甲板右舷9#肋位至13#肋位锈蚀穿孔共5处</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eastAsia"/>
          <w:lang w:val="en-US" w:eastAsia="zh-CN"/>
        </w:rPr>
      </w:pPr>
      <w:r>
        <w:rPr>
          <w:rFonts w:hint="eastAsia"/>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r>
        <w:rPr>
          <w:rFonts w:hint="eastAsia"/>
          <w:lang w:val="en-US" w:eastAsia="zh-CN"/>
        </w:rPr>
        <w:t xml:space="preserve">    </w:t>
      </w:r>
      <w:r>
        <w:drawing>
          <wp:inline distT="0" distB="0" distL="114300" distR="114300">
            <wp:extent cx="5136515" cy="2360930"/>
            <wp:effectExtent l="0" t="0" r="0" b="0"/>
            <wp:docPr id="45"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5" name="图片 15"/>
                    <pic:cNvPicPr>
                      <a:picLocks noChangeAspect="true"/>
                    </pic:cNvPicPr>
                  </pic:nvPicPr>
                  <pic:blipFill>
                    <a:blip r:embed="rId22"/>
                    <a:srcRect l="6971" t="13300" r="3102" b="13221"/>
                    <a:stretch>
                      <a:fillRect/>
                    </a:stretch>
                  </pic:blipFill>
                  <pic:spPr>
                    <a:xfrm>
                      <a:off x="0" y="0"/>
                      <a:ext cx="5136515" cy="2360930"/>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ind w:firstLine="1680" w:firstLineChars="800"/>
        <w:jc w:val="both"/>
        <w:textAlignment w:val="auto"/>
      </w:pPr>
      <w:r>
        <w:rPr>
          <w:rFonts w:hint="eastAsia" w:eastAsia="宋体"/>
          <w:lang w:val="en-US" w:eastAsia="zh-CN"/>
        </w:rPr>
        <w:t>船舶主甲板尾部2#肋位至3#肋位间锈蚀穿孔共3处</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eastAsia"/>
          <w:lang w:val="en-US" w:eastAsia="zh-CN"/>
        </w:rPr>
      </w:pPr>
      <w:r>
        <w:rPr>
          <w:rFonts w:hint="eastAsia"/>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r>
        <w:rPr>
          <w:rFonts w:hint="eastAsia"/>
          <w:lang w:val="en-US" w:eastAsia="zh-CN"/>
        </w:rPr>
        <w:t xml:space="preserve">    </w:t>
      </w:r>
      <w:r>
        <w:drawing>
          <wp:inline distT="0" distB="0" distL="114300" distR="114300">
            <wp:extent cx="5132705" cy="2369820"/>
            <wp:effectExtent l="0" t="0" r="0" b="0"/>
            <wp:docPr id="46"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6" name="图片 16"/>
                    <pic:cNvPicPr>
                      <a:picLocks noChangeAspect="true"/>
                    </pic:cNvPicPr>
                  </pic:nvPicPr>
                  <pic:blipFill>
                    <a:blip r:embed="rId23"/>
                    <a:srcRect l="2269" t="13029" r="7619" b="12972"/>
                    <a:stretch>
                      <a:fillRect/>
                    </a:stretch>
                  </pic:blipFill>
                  <pic:spPr>
                    <a:xfrm>
                      <a:off x="0" y="0"/>
                      <a:ext cx="5132705" cy="2369820"/>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pPr>
      <w:r>
        <w:rPr>
          <w:rFonts w:hint="eastAsia"/>
          <w:lang w:val="en-US" w:eastAsia="zh-CN"/>
        </w:rPr>
        <w:t xml:space="preserve">    </w:t>
      </w:r>
      <w:r>
        <w:drawing>
          <wp:inline distT="0" distB="0" distL="114300" distR="114300">
            <wp:extent cx="1951990" cy="2067560"/>
            <wp:effectExtent l="0" t="0" r="13970" b="5080"/>
            <wp:docPr id="48"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8" name="图片 19"/>
                    <pic:cNvPicPr>
                      <a:picLocks noChangeAspect="true"/>
                    </pic:cNvPicPr>
                  </pic:nvPicPr>
                  <pic:blipFill>
                    <a:blip r:embed="rId24"/>
                    <a:srcRect l="13027" t="5859" r="13362" b="5912"/>
                    <a:stretch>
                      <a:fillRect/>
                    </a:stretch>
                  </pic:blipFill>
                  <pic:spPr>
                    <a:xfrm>
                      <a:off x="0" y="0"/>
                      <a:ext cx="1951990" cy="2067560"/>
                    </a:xfrm>
                    <a:prstGeom prst="rect">
                      <a:avLst/>
                    </a:prstGeom>
                    <a:noFill/>
                    <a:ln>
                      <a:noFill/>
                    </a:ln>
                  </pic:spPr>
                </pic:pic>
              </a:graphicData>
            </a:graphic>
          </wp:inline>
        </w:drawing>
      </w:r>
      <w:r>
        <w:rPr>
          <w:rFonts w:hint="eastAsia"/>
          <w:lang w:val="en-US" w:eastAsia="zh-CN"/>
        </w:rPr>
        <w:t xml:space="preserve">  </w:t>
      </w:r>
      <w:r>
        <w:rPr>
          <w:rFonts w:hint="eastAsia" w:eastAsia="宋体"/>
          <w:lang w:val="en-US" w:eastAsia="zh-CN"/>
        </w:rPr>
        <w:t xml:space="preserve">                 </w:t>
      </w:r>
      <w:r>
        <w:drawing>
          <wp:inline distT="0" distB="0" distL="114300" distR="114300">
            <wp:extent cx="1929765" cy="2045970"/>
            <wp:effectExtent l="0" t="0" r="5715" b="11430"/>
            <wp:docPr id="47"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17"/>
                    <pic:cNvPicPr>
                      <a:picLocks noChangeAspect="true"/>
                    </pic:cNvPicPr>
                  </pic:nvPicPr>
                  <pic:blipFill>
                    <a:blip r:embed="rId25"/>
                    <a:srcRect l="13735" t="12239" r="13544"/>
                    <a:stretch>
                      <a:fillRect/>
                    </a:stretch>
                  </pic:blipFill>
                  <pic:spPr>
                    <a:xfrm>
                      <a:off x="0" y="0"/>
                      <a:ext cx="1929765" cy="2045970"/>
                    </a:xfrm>
                    <a:prstGeom prst="rect">
                      <a:avLst/>
                    </a:prstGeom>
                    <a:noFill/>
                    <a:ln>
                      <a:noFill/>
                    </a:ln>
                  </pic:spPr>
                </pic:pic>
              </a:graphicData>
            </a:graphic>
          </wp:inline>
        </w:drawing>
      </w:r>
      <w:r>
        <w:rPr>
          <w:rFonts w:hint="eastAsia" w:eastAsia="宋体"/>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240" w:lineRule="auto"/>
        <w:ind w:firstLine="210" w:firstLineChars="100"/>
        <w:jc w:val="both"/>
        <w:textAlignment w:val="auto"/>
        <w:rPr>
          <w:rFonts w:hint="default" w:eastAsiaTheme="minorEastAsia"/>
          <w:lang w:val="en-US" w:eastAsia="zh-CN"/>
        </w:rPr>
      </w:pPr>
      <w:r>
        <w:rPr>
          <w:rFonts w:hint="eastAsia" w:eastAsia="宋体"/>
          <w:lang w:val="en-US" w:eastAsia="zh-CN"/>
        </w:rPr>
        <w:t>（左舷一侧浸湿线距离主甲板高度0.60米）         （右舷一侧浸湿线距离主甲板高度0.42米）</w:t>
      </w:r>
    </w:p>
    <w:p>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default"/>
          <w:lang w:val="en-US"/>
        </w:rPr>
      </w:pPr>
      <w:r>
        <w:rPr>
          <w:rFonts w:hint="eastAsia" w:eastAsia="宋体"/>
          <w:lang w:val="en-US" w:eastAsia="zh-CN"/>
        </w:rPr>
        <w:t>根据“天龙渔舫”轮轮左、右舷实际“浸湿”线在《“天龙渔舫”轮轮机舱管系局部横剖图》上绘制的船舶浮态，蓝色虚线为水面，其中：左舷甲板距水面0.60米，右舷甲板距水面0.42米，左、右两舷吃水差0.18米，事发前船舶呈右倾状态。</w:t>
      </w:r>
    </w:p>
    <w:p>
      <w:pPr>
        <w:numPr>
          <w:ilvl w:val="0"/>
          <w:numId w:val="0"/>
        </w:numPr>
        <w:ind w:firstLine="642" w:firstLineChars="200"/>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t>（二）银帆快艇水泥趸船情况</w:t>
      </w:r>
    </w:p>
    <w:p>
      <w:pPr>
        <w:numPr>
          <w:ilvl w:val="0"/>
          <w:numId w:val="0"/>
        </w:numPr>
        <w:ind w:firstLine="640" w:firstLineChars="200"/>
        <w:rPr>
          <w:rFonts w:hint="default" w:ascii="仿宋_GB2312" w:hAnsi="仿宋_GB2312" w:eastAsia="仿宋_GB2312" w:cs="仿宋_GB2312"/>
          <w:b w:val="0"/>
          <w:bCs w:val="0"/>
          <w:i w:val="0"/>
          <w:iCs w:val="0"/>
          <w:caps w:val="0"/>
          <w:color w:val="FF0000"/>
          <w:spacing w:val="0"/>
          <w:sz w:val="32"/>
          <w:szCs w:val="32"/>
          <w:u w:val="none"/>
          <w:lang w:val="en-US" w:eastAsia="zh-CN"/>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根据湖南省岳阳市地方海事局2月28日《关于支持银帆快艇公司搬至南岳坡码头有关事项的会议纪要》（岳地海阅〔2011〕1号）要求，由湖南省岳阳市地方海事局将该趸船赠送给岳阳市银帆快艇有限公司，一直停靠在南岳坡码头，船舶材质为钢丝网水泥结构，总长65.00米，船宽13.20米，型深2.85米。</w:t>
      </w:r>
    </w:p>
    <w:p>
      <w:pPr>
        <w:numPr>
          <w:ilvl w:val="0"/>
          <w:numId w:val="0"/>
        </w:numPr>
        <w:ind w:left="570" w:leftChars="0"/>
        <w:rPr>
          <w:rFonts w:hint="eastAsia" w:ascii="楷体_GB2312" w:hAnsi="楷体_GB2312" w:eastAsia="楷体_GB2312" w:cs="楷体_GB2312"/>
          <w:b/>
          <w:bCs/>
          <w:i w:val="0"/>
          <w:iCs w:val="0"/>
          <w:caps w:val="0"/>
          <w:color w:val="FF0000"/>
          <w:spacing w:val="0"/>
          <w:sz w:val="32"/>
          <w:szCs w:val="32"/>
          <w:u w:val="none"/>
          <w:lang w:val="en-US" w:eastAsia="zh-CN"/>
        </w:rPr>
      </w:pPr>
      <w:r>
        <w:rPr>
          <w:rFonts w:hint="eastAsia" w:ascii="楷体_GB2312" w:hAnsi="楷体_GB2312" w:eastAsia="楷体_GB2312" w:cs="楷体_GB2312"/>
          <w:b/>
          <w:bCs/>
          <w:i w:val="0"/>
          <w:iCs w:val="0"/>
          <w:caps w:val="0"/>
          <w:color w:val="FF0000"/>
          <w:spacing w:val="0"/>
          <w:sz w:val="32"/>
          <w:szCs w:val="32"/>
          <w:u w:val="none"/>
          <w:lang w:val="en-US" w:eastAsia="zh-CN"/>
        </w:rPr>
        <w:drawing>
          <wp:inline distT="0" distB="0" distL="114300" distR="114300">
            <wp:extent cx="5704205" cy="2573655"/>
            <wp:effectExtent l="0" t="0" r="0" b="0"/>
            <wp:docPr id="9" name="图片 9" descr="微信图片_20260522103226_22_8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微信图片_20260522103226_22_86"/>
                    <pic:cNvPicPr>
                      <a:picLocks noChangeAspect="true"/>
                    </pic:cNvPicPr>
                  </pic:nvPicPr>
                  <pic:blipFill>
                    <a:blip r:embed="rId26"/>
                    <a:srcRect t="8289" r="498" b="31826"/>
                    <a:stretch>
                      <a:fillRect/>
                    </a:stretch>
                  </pic:blipFill>
                  <pic:spPr>
                    <a:xfrm>
                      <a:off x="0" y="0"/>
                      <a:ext cx="5704205" cy="2573655"/>
                    </a:xfrm>
                    <a:prstGeom prst="rect">
                      <a:avLst/>
                    </a:prstGeom>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jc w:val="center"/>
        <w:textAlignment w:val="auto"/>
        <w:rPr>
          <w:rFonts w:hint="eastAsia" w:ascii="仿宋_GB2312" w:hAnsi="仿宋_GB2312" w:eastAsia="仿宋_GB2312" w:cs="仿宋_GB2312"/>
          <w:b w:val="0"/>
          <w:bCs w:val="0"/>
          <w:i w:val="0"/>
          <w:iCs w:val="0"/>
          <w:caps w:val="0"/>
          <w:color w:val="FF0000"/>
          <w:spacing w:val="0"/>
          <w:sz w:val="28"/>
          <w:szCs w:val="28"/>
          <w:lang w:val="en-US" w:eastAsia="zh-CN"/>
        </w:rPr>
      </w:pPr>
      <w:r>
        <w:rPr>
          <w:rFonts w:hint="eastAsia" w:ascii="仿宋_GB2312" w:hAnsi="仿宋_GB2312" w:eastAsia="仿宋_GB2312" w:cs="仿宋_GB2312"/>
          <w:b w:val="0"/>
          <w:bCs w:val="0"/>
          <w:i w:val="0"/>
          <w:iCs w:val="0"/>
          <w:caps w:val="0"/>
          <w:color w:val="000000" w:themeColor="text1"/>
          <w:spacing w:val="0"/>
          <w:sz w:val="28"/>
          <w:szCs w:val="28"/>
          <w:u w:val="none"/>
          <w:lang w:val="en-US" w:eastAsia="zh-CN"/>
          <w14:textFill>
            <w14:solidFill>
              <w14:schemeClr w14:val="tx1"/>
            </w14:solidFill>
          </w14:textFill>
        </w:rPr>
        <w:t>（银帆快艇水泥趸船）</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t>二、事故发生的时间和地点</w:t>
      </w:r>
    </w:p>
    <w:p>
      <w:pPr>
        <w:numPr>
          <w:ilvl w:val="0"/>
          <w:numId w:val="0"/>
        </w:numPr>
        <w:ind w:firstLine="640" w:firstLineChars="20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1.事发发生时间：2026年4月21日2029时。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i w:val="0"/>
          <w:iCs w:val="0"/>
          <w:caps w:val="0"/>
          <w:color w:val="000000" w:themeColor="text1"/>
          <w:spacing w:val="-11"/>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2.事故发生地点：岳阳市岳阳楼区南岳坡码头岳阳市银帆快艇有限公司水泥趸船右舷，纬度N29.378255，经度E113.084607。</w:t>
      </w:r>
    </w:p>
    <w:p>
      <w:pPr>
        <w:keepNext w:val="0"/>
        <w:keepLines w:val="0"/>
        <w:pageBreakBefore w:val="0"/>
        <w:numPr>
          <w:ilvl w:val="0"/>
          <w:numId w:val="0"/>
        </w:numPr>
        <w:kinsoku/>
        <w:wordWrap/>
        <w:overflowPunct/>
        <w:topLinePunct w:val="0"/>
        <w:autoSpaceDE/>
        <w:autoSpaceDN/>
        <w:bidi w:val="0"/>
        <w:adjustRightInd/>
        <w:snapToGrid/>
        <w:spacing w:line="240" w:lineRule="auto"/>
        <w:ind w:leftChars="200" w:firstLine="320" w:firstLineChars="100"/>
        <w:jc w:val="both"/>
        <w:textAlignment w:val="auto"/>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t>三、事故发生时水文、气象情况</w:t>
      </w:r>
    </w:p>
    <w:p>
      <w:pPr>
        <w:numPr>
          <w:ilvl w:val="0"/>
          <w:numId w:val="0"/>
        </w:numPr>
        <w:ind w:firstLine="640" w:firstLineChars="20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1.气象情况：2026年4月29日，岳阳市气象局出具《刑（民）事、经济保险理赔案件气象证明报告》（岳气证字〔2026〕046号）：2026年4月21日18时-21时累计降雨量12.3毫米，极大风速为7.5m/s（北风4级）。</w:t>
      </w:r>
    </w:p>
    <w:p>
      <w:pPr>
        <w:numPr>
          <w:ilvl w:val="0"/>
          <w:numId w:val="0"/>
        </w:numPr>
        <w:ind w:firstLine="640" w:firstLineChars="200"/>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据证人熊和平描述：事发时事发水域水上风力可达5-6级。</w:t>
      </w:r>
    </w:p>
    <w:p>
      <w:pPr>
        <w:numPr>
          <w:ilvl w:val="0"/>
          <w:numId w:val="0"/>
        </w:numPr>
        <w:ind w:firstLine="640" w:firstLineChars="200"/>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2.水文情况：2026年5月1日，长江水利委员会水文局长江中游水文水资源勘测局出具的《关于提供水文监测数据的复函》（中游局〔2026〕57号）及</w:t>
      </w:r>
      <w:r>
        <w:rPr>
          <w:rFonts w:ascii="仿宋_GB2312" w:hAnsi="宋体" w:eastAsia="仿宋_GB2312" w:cs="仿宋_GB2312"/>
          <w:b w:val="0"/>
          <w:bCs w:val="0"/>
          <w:color w:val="0F1115"/>
          <w:sz w:val="31"/>
          <w:szCs w:val="31"/>
        </w:rPr>
        <w:t>附件</w:t>
      </w:r>
      <w:r>
        <w:rPr>
          <w:rFonts w:hint="eastAsia" w:ascii="仿宋_GB2312" w:hAnsi="宋体" w:eastAsia="仿宋_GB2312" w:cs="仿宋_GB2312"/>
          <w:b w:val="0"/>
          <w:bCs w:val="0"/>
          <w:color w:val="0F1115"/>
          <w:sz w:val="31"/>
          <w:szCs w:val="31"/>
          <w:lang w:eastAsia="zh-CN"/>
        </w:rPr>
        <w:t>“</w:t>
      </w:r>
      <w:r>
        <w:rPr>
          <w:rFonts w:ascii="仿宋_GB2312" w:hAnsi="宋体" w:eastAsia="仿宋_GB2312" w:cs="仿宋_GB2312"/>
          <w:b w:val="0"/>
          <w:bCs w:val="0"/>
          <w:color w:val="0F1115"/>
          <w:sz w:val="31"/>
          <w:szCs w:val="31"/>
        </w:rPr>
        <w:t>4月19-21日岳阳——城陵矶水文数据</w:t>
      </w:r>
      <w:r>
        <w:rPr>
          <w:rFonts w:hint="eastAsia" w:ascii="仿宋_GB2312" w:hAnsi="宋体" w:eastAsia="仿宋_GB2312" w:cs="仿宋_GB2312"/>
          <w:b w:val="0"/>
          <w:bCs w:val="0"/>
          <w:color w:val="0F1115"/>
          <w:sz w:val="31"/>
          <w:szCs w:val="31"/>
          <w:lang w:eastAsia="zh-CN"/>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显示：</w:t>
      </w:r>
      <w:r>
        <w:rPr>
          <w:rFonts w:ascii="仿宋_GB2312" w:hAnsi="宋体" w:eastAsia="仿宋_GB2312" w:cs="仿宋_GB2312"/>
          <w:b w:val="0"/>
          <w:bCs w:val="0"/>
          <w:color w:val="0F1115"/>
          <w:sz w:val="31"/>
          <w:szCs w:val="31"/>
        </w:rPr>
        <w:t>在岳阳南岳坡码头区域附近有国家基本水文站城陵矶（七里山）水文站及水位站岳阳水位站，</w:t>
      </w:r>
      <w:r>
        <w:rPr>
          <w:rFonts w:hint="eastAsia" w:ascii="仿宋_GB2312" w:hAnsi="宋体" w:eastAsia="仿宋_GB2312" w:cs="仿宋_GB2312"/>
          <w:b w:val="0"/>
          <w:bCs w:val="0"/>
          <w:color w:val="0F1115"/>
          <w:sz w:val="31"/>
          <w:szCs w:val="31"/>
          <w:lang w:val="en-US" w:eastAsia="zh-CN"/>
        </w:rPr>
        <w:t>因</w:t>
      </w:r>
      <w:r>
        <w:rPr>
          <w:rFonts w:hint="eastAsia" w:ascii="仿宋_GB2312" w:hAnsi="宋体" w:eastAsia="仿宋_GB2312" w:cs="仿宋_GB2312"/>
          <w:b w:val="0"/>
          <w:bCs w:val="0"/>
          <w:color w:val="0F1115"/>
          <w:sz w:val="31"/>
          <w:szCs w:val="31"/>
        </w:rPr>
        <w:t>岳阳水位站暂无实时监测设备及相关测算条件，无法提供流量、流速等其他水文数据</w:t>
      </w:r>
      <w:r>
        <w:rPr>
          <w:rFonts w:hint="eastAsia" w:ascii="仿宋_GB2312" w:hAnsi="宋体" w:eastAsia="仿宋_GB2312" w:cs="仿宋_GB2312"/>
          <w:b w:val="0"/>
          <w:bCs w:val="0"/>
          <w:color w:val="0F1115"/>
          <w:sz w:val="31"/>
          <w:szCs w:val="31"/>
          <w:lang w:eastAsia="zh-CN"/>
        </w:rPr>
        <w:t>，</w:t>
      </w:r>
      <w:r>
        <w:rPr>
          <w:rFonts w:ascii="仿宋_GB2312" w:hAnsi="宋体" w:eastAsia="仿宋_GB2312" w:cs="仿宋_GB2312"/>
          <w:b w:val="0"/>
          <w:bCs w:val="0"/>
          <w:color w:val="0F1115"/>
          <w:sz w:val="31"/>
          <w:szCs w:val="31"/>
        </w:rPr>
        <w:t>2026年4</w:t>
      </w:r>
      <w:r>
        <w:rPr>
          <w:rFonts w:hint="eastAsia" w:ascii="仿宋_GB2312" w:hAnsi="宋体" w:eastAsia="仿宋_GB2312" w:cs="仿宋_GB2312"/>
          <w:b w:val="0"/>
          <w:bCs w:val="0"/>
          <w:color w:val="0F1115"/>
          <w:sz w:val="31"/>
          <w:szCs w:val="31"/>
        </w:rPr>
        <w:t>月19日至21日城陵矶（七里山）水文站四段制水位、流量、流速数据及岳阳水位站四段制水位数据</w:t>
      </w:r>
      <w:r>
        <w:rPr>
          <w:rFonts w:hint="eastAsia" w:ascii="仿宋_GB2312" w:hAnsi="宋体" w:eastAsia="仿宋_GB2312" w:cs="仿宋_GB2312"/>
          <w:b w:val="0"/>
          <w:bCs w:val="0"/>
          <w:color w:val="0F1115"/>
          <w:sz w:val="31"/>
          <w:szCs w:val="31"/>
          <w:lang w:val="en-US" w:eastAsia="zh-CN"/>
        </w:rPr>
        <w:t>情况</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实测水文数据为“2026年4月21日8时实测水位27.17米、流量15300m³/s、水流流速0.94m/s；14时实测水位27.22米、流量15400m³/s、水流流速0.94m/s；20时，实测水位27.30米、流量15700m³/s、水流流速0.96m/s。”</w:t>
      </w:r>
    </w:p>
    <w:p>
      <w:pPr>
        <w:keepNext w:val="0"/>
        <w:keepLines w:val="0"/>
        <w:pageBreakBefore w:val="0"/>
        <w:numPr>
          <w:ilvl w:val="0"/>
          <w:numId w:val="0"/>
        </w:numPr>
        <w:kinsoku/>
        <w:wordWrap/>
        <w:overflowPunct/>
        <w:topLinePunct w:val="0"/>
        <w:autoSpaceDE/>
        <w:autoSpaceDN/>
        <w:bidi w:val="0"/>
        <w:adjustRightInd/>
        <w:snapToGrid/>
        <w:spacing w:line="240" w:lineRule="auto"/>
        <w:ind w:left="160" w:leftChars="0" w:firstLine="640" w:firstLineChars="200"/>
        <w:jc w:val="both"/>
        <w:textAlignment w:val="auto"/>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t>四、事故经过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宋体" w:hAnsi="宋体" w:eastAsia="宋体" w:cs="宋体"/>
          <w:color w:val="FF0000"/>
          <w:kern w:val="0"/>
          <w:sz w:val="30"/>
          <w:szCs w:val="30"/>
          <w:lang w:val="en-US" w:eastAsia="zh-CN" w:bidi="ar"/>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 xml:space="preserve"> 事故调查组综合视频录像、现场勘验、水文气象、询问笔录等证据材料分析，事故经过如下：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天龙渔舫”轮2018年达到强制报废年限后，一直系泊于岳阳市岳阳楼区南岳坡码头银帆快艇水泥趸船右舷，周边无其他船舶停靠。事发前，“天龙渔舫”轮船体外板及主甲板多处锈蚀穿孔，且船舶右舷比左舷锈蚀严重，主甲板右舷9#肋位至13#肋位间有4处大面积锈蚀穿孔，船体右舷外板10#肋位附近有7处锈蚀穿孔，船体右舷外板46#至48 #肋位之间有4处锈蚀穿孔，船尾主甲板2#肋位与3#肋位之间有3处大面积锈蚀穿孔。</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船体</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右舷外板10#肋位附近7处锈蚀穿孔离水面较近，江水随浪涌通过锈蚀穿孔处进入船体，雨水通过其他锈蚀穿孔处进入船体。2026年4月正逢湘北地区的梅雨季节和湘江流域“桃花汛”，降水频繁，雨水通过船体锈蚀部位流入船舱，并且逐渐向船尾聚集，船舶浮态发生变化，船舶呈轻微右倾状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firstLineChars="200"/>
        <w:jc w:val="left"/>
        <w:rPr>
          <w:color w:val="FF0000"/>
        </w:rPr>
      </w:pPr>
      <w:r>
        <w:rPr>
          <w:color w:val="FF0000"/>
        </w:rPr>
        <w:drawing>
          <wp:inline distT="0" distB="0" distL="114300" distR="114300">
            <wp:extent cx="5273040" cy="2558415"/>
            <wp:effectExtent l="0" t="0" r="0" b="1905"/>
            <wp:docPr id="10"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true"/>
                    </pic:cNvPicPr>
                  </pic:nvPicPr>
                  <pic:blipFill>
                    <a:blip r:embed="rId27"/>
                    <a:stretch>
                      <a:fillRect/>
                    </a:stretch>
                  </pic:blipFill>
                  <pic:spPr>
                    <a:xfrm>
                      <a:off x="0" y="0"/>
                      <a:ext cx="5273040" cy="255841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center"/>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(4月21日1700时事发水域情况截图）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default"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2026年4月21日，事发水域有间歇性降雨，</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18时-21时累计降雨量12.3毫米，极大风速为7.5m/s（北风4级）。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1700时，事发水域开始下小雨，并伴有2-3级北风，此时“天龙渔舫”轮除</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呈轻微右倾状态外，</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未出现其他明显异常；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2000时，事发水域降雨增大，风力逐步增强，且一直保持至事发时，“天龙渔舫”轮开始向右倾斜；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2026时45秒，“天龙渔舫”轮向右倾斜幅度加大；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2028时31秒，“天龙渔舫”轮大角度向右倾斜；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2028时33秒，“天龙渔舫”轮继续向右倾斜，左舷船体明显抬升，船舶开始向右翻沉；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default"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2028时45秒，“天龙渔舫”轮船尾在视频画面中消失，船体下沉并向下游漂移；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default"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2028时57秒，“天龙渔舫”轮船体停止向下游漂移，继续下沉；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default"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2029时03秒，“天龙渔舫”轮在视频画面中消失，沉入江中。</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jc w:val="both"/>
        <w:textAlignment w:val="auto"/>
        <w:rPr>
          <w:rFonts w:hint="default" w:ascii="仿宋_GB2312" w:hAnsi="仿宋_GB2312" w:eastAsia="仿宋_GB2312" w:cs="仿宋_GB2312"/>
          <w:i w:val="0"/>
          <w:iCs w:val="0"/>
          <w:caps w:val="0"/>
          <w:color w:val="FF0000"/>
          <w:spacing w:val="0"/>
          <w:sz w:val="32"/>
          <w:szCs w:val="32"/>
          <w:lang w:val="en-US" w:eastAsia="zh-CN"/>
        </w:rPr>
      </w:pPr>
      <w:r>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t>五、事故报警及应急处置情况</w:t>
      </w:r>
    </w:p>
    <w:p>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642" w:firstLineChars="200"/>
        <w:jc w:val="both"/>
        <w:textAlignment w:val="auto"/>
        <w:rPr>
          <w:rFonts w:hint="eastAsia" w:ascii="仿宋_GB2312" w:hAnsi="仿宋_GB2312" w:eastAsia="仿宋_GB2312" w:cs="仿宋_GB2312"/>
          <w:b/>
          <w:bCs/>
          <w:i w:val="0"/>
          <w:iCs w:val="0"/>
          <w:caps w:val="0"/>
          <w:color w:val="000000" w:themeColor="text1"/>
          <w:spacing w:val="0"/>
          <w:sz w:val="32"/>
          <w:szCs w:val="32"/>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lang w:val="en-US" w:eastAsia="zh-CN"/>
          <w14:textFill>
            <w14:solidFill>
              <w14:schemeClr w14:val="tx1"/>
            </w14:solidFill>
          </w14:textFill>
        </w:rPr>
        <w:t>（一）报警情况</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2026年4月21日2031时，岳阳市银帆快艇有限公司值班人员熊和平用手机向公司负责人曾兴旺报告“天龙渔舫”轮翻沉情况。</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2032时，</w:t>
      </w:r>
      <w:bookmarkStart w:id="0" w:name="OLE_LINK3"/>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曾兴旺</w:t>
      </w:r>
      <w:bookmarkEnd w:id="0"/>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用手机向叶定和告知“天龙渔舫”轮翻沉情况。</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2110时，曾兴旺受叶定和委托，用手机向岳阳市水运事务中心救援指挥所报警。</w:t>
      </w:r>
    </w:p>
    <w:p>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642" w:firstLineChars="200"/>
        <w:jc w:val="both"/>
        <w:textAlignment w:val="auto"/>
        <w:rPr>
          <w:rFonts w:hint="eastAsia" w:ascii="楷体_GB2312" w:hAnsi="楷体_GB2312" w:eastAsia="楷体_GB2312" w:cs="楷体_GB2312"/>
          <w:b/>
          <w:bCs/>
          <w:i w:val="0"/>
          <w:iCs w:val="0"/>
          <w:caps w:val="0"/>
          <w:color w:val="000000" w:themeColor="text1"/>
          <w:spacing w:val="0"/>
          <w:sz w:val="32"/>
          <w:szCs w:val="32"/>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lang w:val="en-US" w:eastAsia="zh-CN"/>
          <w14:textFill>
            <w14:solidFill>
              <w14:schemeClr w14:val="tx1"/>
            </w14:solidFill>
          </w14:textFill>
        </w:rPr>
        <w:t>（二）应急处置情况</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事故发生后，岳阳市交通运输局、</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岳阳</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市交通运输综合行政执法支队、</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岳阳</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市水运事务中心</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湖南省长沙航道事务中心岳阳航道事务所、</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岳阳县东洞庭湖综合行政执法局、岳阳县源成残油垃圾接收有限公司、岳阳市扬子航务打捞工程有限公司</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等</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单位立即</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赶赴现场开展应急处置工作</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textAlignment w:val="auto"/>
        <w:rPr>
          <w:rFonts w:hint="default"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1.在沉船“天龙渔舫”轮左艏锚处与银帆快艇水泥趸船1#带缆桩之间加系一根钢丝绳，防止沉船移动。</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立即划定事发水域警戒区域</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设置航标</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，实施临时交通管制，疏散周边无关船舶及人员</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开展水域防污染监测，布设围油栏，防范水域污染</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adjustRightInd/>
        <w:snapToGrid/>
        <w:spacing w:line="240" w:lineRule="auto"/>
        <w:ind w:left="0" w:firstLine="640" w:firstLineChars="200"/>
        <w:textAlignment w:val="auto"/>
        <w:rPr>
          <w:rFonts w:hint="default"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组织专业力量对沉船</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“天龙渔舫”轮</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位置</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及</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水下状态进行探摸</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和打捞，2026年4月29日1710时，沉船整体打捞出水，4月30日1910时，被拖带停放至灏东船厂，7月5日，在灏东船厂拆解完毕。</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b w:val="0"/>
          <w:bCs w:val="0"/>
          <w:i w:val="0"/>
          <w:iCs w:val="0"/>
          <w:caps w:val="0"/>
          <w:color w:val="000000" w:themeColor="text1"/>
          <w:spacing w:val="0"/>
          <w:sz w:val="32"/>
          <w:szCs w:val="32"/>
          <w:u w:val="none"/>
          <w:lang w:val="en-US"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u w:val="none"/>
          <w:lang w:val="en-US" w:eastAsia="zh-CN"/>
          <w14:textFill>
            <w14:solidFill>
              <w14:schemeClr w14:val="tx1"/>
            </w14:solidFill>
          </w14:textFill>
        </w:rPr>
        <w:t>六．事故损失情况</w:t>
      </w:r>
    </w:p>
    <w:p>
      <w:pPr>
        <w:numPr>
          <w:ilvl w:val="0"/>
          <w:numId w:val="0"/>
        </w:numPr>
        <w:ind w:firstLine="640" w:firstLineChars="200"/>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本次事故未造成</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人员伤亡</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和水域环境污染</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，具体</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损失情况</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如下：</w:t>
      </w:r>
    </w:p>
    <w:p>
      <w:pPr>
        <w:numPr>
          <w:ilvl w:val="0"/>
          <w:numId w:val="0"/>
        </w:numPr>
        <w:ind w:firstLine="640" w:firstLineChars="20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船舶打捞费28万元（未做财评）。</w:t>
      </w:r>
    </w:p>
    <w:p>
      <w:pPr>
        <w:numPr>
          <w:ilvl w:val="0"/>
          <w:numId w:val="0"/>
        </w:numPr>
        <w:ind w:firstLine="64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2.船舶救助（拖带）费5万元（未做财评）。</w:t>
      </w:r>
    </w:p>
    <w:p>
      <w:pPr>
        <w:numPr>
          <w:ilvl w:val="0"/>
          <w:numId w:val="0"/>
        </w:numPr>
        <w:ind w:firstLine="64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3.清污费15万元。</w:t>
      </w:r>
    </w:p>
    <w:p>
      <w:pPr>
        <w:numPr>
          <w:ilvl w:val="0"/>
          <w:numId w:val="0"/>
        </w:numPr>
        <w:ind w:firstLine="640"/>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4.“天龙渔舫”轮沉没。</w:t>
      </w:r>
    </w:p>
    <w:p>
      <w:pPr>
        <w:keepNext w:val="0"/>
        <w:keepLines w:val="0"/>
        <w:pageBreakBefore w:val="0"/>
        <w:numPr>
          <w:ilvl w:val="0"/>
          <w:numId w:val="1"/>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t>事故原因分析</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2" w:firstLineChars="200"/>
        <w:jc w:val="both"/>
        <w:textAlignment w:val="auto"/>
        <w:rPr>
          <w:rFonts w:hint="eastAsia" w:ascii="楷体_GB2312" w:hAnsi="楷体_GB2312" w:eastAsia="楷体_GB2312" w:cs="楷体_GB2312"/>
          <w:b/>
          <w:bCs/>
          <w:i w:val="0"/>
          <w:iCs w:val="0"/>
          <w:caps w:val="0"/>
          <w:color w:val="FF0000"/>
          <w:spacing w:val="0"/>
          <w:sz w:val="32"/>
          <w:szCs w:val="32"/>
          <w:u w:val="none"/>
          <w:lang w:val="en-US" w:eastAsia="zh-CN"/>
        </w:rPr>
      </w:pPr>
      <w:r>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t>（一）直接原因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“天龙渔舫”轮年久失修，船体外板及主甲板多处锈蚀穿孔，船舶水密性变差，江水、雨水通过船体锈蚀部位不断流入船舱，导致船舶储备浮力、稳性不足，致使船舶右倾直至翻沉是本次事故发生的直接原因。</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“天龙渔舫”轮改造时，《内河船舶法定检验技术规则（2004）》未对该轮有抗沉性要求。经现场勘验，“天龙渔舫”轮船体钢板大面积腐蚀变薄，</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船体外板及主甲板多处锈蚀穿孔，且船舶右舷比左舷锈蚀严重，主甲板</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右舷9#</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肋位</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至13#</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肋位间</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有4</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处大面积锈蚀穿孔</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船体</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右舷外板10#肋位附近有7处锈蚀穿孔，</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船体</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右舷外板46#至48 #肋位之间有4处锈蚀穿孔，船尾主甲板2#肋位与3#肋位之间有3处大面积锈蚀穿孔。</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该轮部分舱室完全丧失水密性，</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江水、雨水通过船体锈蚀部位流入船舱，且逐渐向船尾聚集，船舶浮态发生变化，船舶呈轻微右倾状态</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default" w:ascii="仿宋_GB2312" w:hAnsi="仿宋_GB2312" w:eastAsia="仿宋_GB2312" w:cs="仿宋_GB2312"/>
          <w:color w:val="000000" w:themeColor="text1"/>
          <w:position w:val="-53"/>
          <w:sz w:val="32"/>
          <w:szCs w:val="32"/>
          <w:lang w:val="en-US"/>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2026年4月正逢湘北地区的梅雨季节和湘江流域“桃花汛”，降水频繁，</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事发前几日持续降雨，船体内部进水量增多。事发时，降雨增大、风力增强，</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通过船体锈蚀部位流入船舱向船尾聚集的江水、雨水增多，导致船舶持续右倾，“天龙渔舫”轮与银帆快艇水泥趸船之间的系固缆绳除船艏的一根尼龙绳未断裂外，其余缆绳自船尾向船首方向依次撕裂或断裂，船舶失去系固约束力，加速向右倾斜，</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江水快速、大量涌入舱室，</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船舶储备浮力或稳性不足，</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船舶快速翻沉。</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2" w:firstLineChars="200"/>
        <w:jc w:val="both"/>
        <w:textAlignment w:val="auto"/>
        <w:rPr>
          <w:rFonts w:hint="eastAsia" w:ascii="楷体_GB2312" w:hAnsi="楷体_GB2312" w:eastAsia="楷体_GB2312" w:cs="楷体_GB2312"/>
          <w:b/>
          <w:bCs/>
          <w:i w:val="0"/>
          <w:iCs w:val="0"/>
          <w:caps w:val="0"/>
          <w:color w:val="FF0000"/>
          <w:spacing w:val="0"/>
          <w:sz w:val="32"/>
          <w:szCs w:val="32"/>
          <w:u w:val="none"/>
          <w:lang w:val="en-US" w:eastAsia="zh-CN"/>
        </w:rPr>
      </w:pPr>
      <w:r>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t>（二）间接原因</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2" w:firstLineChars="200"/>
        <w:jc w:val="left"/>
        <w:rPr>
          <w:rFonts w:hint="eastAsia" w:ascii="仿宋_GB2312" w:hAnsi="仿宋_GB2312" w:eastAsia="仿宋_GB2312" w:cs="仿宋_GB2312"/>
          <w:b/>
          <w:bCs/>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u w:val="none"/>
          <w:lang w:val="en-US" w:eastAsia="zh-CN"/>
          <w14:textFill>
            <w14:solidFill>
              <w14:schemeClr w14:val="tx1"/>
            </w14:solidFill>
          </w14:textFill>
        </w:rPr>
        <w:t>1.企业未落实安全生产主体责任是导致事故发生的主要原因。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天龙渔舫”轮船舶所有人岳阳市陵峰旅游开发有限公司未落实安全生产主体责任，未建立安全管理制度和船舶安全管理制度。未开展隐患排查，未能及时发现船舶存在的安全隐患；未进行有效的维修保养，仅对发现的船体锈蚀穿孔部位采用防水胶布粘贴，未按照船舶修理基本要求进行修复；未建立值班值守制度，2024年6月，熊望保离职后，未安排人员对“天龙渔舫”轮值班值守，仅由叶定和不定期对“天龙渔舫”轮进行查看和抽排船舱积水，但2025年12月后至事发前，叶定和未抽排过积水，江水、雨水流向船舱且向船尾聚集，船舶浮态发生变化，船舶右倾。</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2" w:firstLineChars="200"/>
        <w:jc w:val="left"/>
        <w:rPr>
          <w:rFonts w:hint="eastAsia" w:ascii="仿宋_GB2312" w:hAnsi="仿宋_GB2312" w:eastAsia="仿宋_GB2312" w:cs="仿宋_GB2312"/>
          <w:b/>
          <w:bCs/>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u w:val="none"/>
          <w:lang w:val="en-US" w:eastAsia="zh-CN"/>
          <w14:textFill>
            <w14:solidFill>
              <w14:schemeClr w14:val="tx1"/>
            </w14:solidFill>
          </w14:textFill>
        </w:rPr>
        <w:t>2.气象水文因素是导致事故发生的次要原因。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2026年4月正逢湘北地区的梅雨季节和湘江流域“桃花汛”，降水频繁。事发当日18时-21时累计降雨量12.3毫米，极大风速为7.5m/s（北风4级），</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湖面</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风力</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4级</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水位上升，流量和流速加大，通过</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船体锈蚀部位流入船舱的</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江水量和雨水量增加</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，加剧船舶右倾。</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t>八、事故责任认定</w:t>
      </w:r>
    </w:p>
    <w:p>
      <w:pPr>
        <w:numPr>
          <w:ilvl w:val="0"/>
          <w:numId w:val="0"/>
        </w:numPr>
        <w:ind w:firstLine="640" w:firstLineChars="20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岳阳南岳坡码头“4・21”“天龙渔舫”轮自沉事故是一起因“天龙渔舫”轮年久失修、船舶水密性变差和企业未落实安全生产主体责任而导致的一般等级水上交通事故。</w:t>
      </w:r>
    </w:p>
    <w:p>
      <w:pPr>
        <w:numPr>
          <w:ilvl w:val="0"/>
          <w:numId w:val="0"/>
        </w:numPr>
        <w:ind w:firstLine="640" w:firstLineChars="20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“天龙渔舫”轮违反《中华人民共和国内河交通安全管理条例》第八条第一款、第十条、第十一条、第二十四条第三款和《湖南省水上交通安全条例》第九条第一款之规定，应负本次事故的全部责任。</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default" w:ascii="黑体" w:hAnsi="黑体" w:eastAsia="黑体" w:cs="黑体"/>
          <w:i w:val="0"/>
          <w:iCs w:val="0"/>
          <w:caps w:val="0"/>
          <w:color w:val="000000" w:themeColor="text1"/>
          <w:spacing w:val="0"/>
          <w:sz w:val="32"/>
          <w:szCs w:val="32"/>
          <w:lang w:val="en-US"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t>九、安全管理建议</w:t>
      </w:r>
    </w:p>
    <w:p>
      <w:pPr>
        <w:numPr>
          <w:ilvl w:val="0"/>
          <w:numId w:val="0"/>
        </w:numPr>
        <w:ind w:firstLine="642" w:firstLineChars="200"/>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t>（一）企业应全面落实安全生产主体责任。</w:t>
      </w:r>
    </w:p>
    <w:p>
      <w:pPr>
        <w:numPr>
          <w:ilvl w:val="0"/>
          <w:numId w:val="0"/>
        </w:numPr>
        <w:ind w:firstLine="640" w:firstLineChars="20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岳阳市陵峰旅游开发有限公司应深刻汲取事故教训，举一反三，全面落实安全生产主体责任。建立健全各项安全生产责任制度，制定船舶安全管理相关管理制度，严禁游泳爱好者等无关人员驻留船上。开展安全生产培训教育，督促相关人员严格遵守水上交通安全相关法律法规，加强安全隐患排查、维护保养和值班值守，及时发现和消除安全隐患。</w:t>
      </w:r>
    </w:p>
    <w:p>
      <w:pPr>
        <w:numPr>
          <w:ilvl w:val="0"/>
          <w:numId w:val="0"/>
        </w:numPr>
        <w:ind w:firstLine="642" w:firstLineChars="200"/>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t>（二）切实加强对长期停泊船舶的安全管理。</w:t>
      </w:r>
    </w:p>
    <w:p>
      <w:pPr>
        <w:numPr>
          <w:ilvl w:val="0"/>
          <w:numId w:val="0"/>
        </w:numPr>
        <w:ind w:firstLine="640" w:firstLineChars="20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各相关管理单位应对辖区内长期停泊船舶进行摸排，建立包括船舶数量、位置、所有人信息等内容的工作台账，“一船一策”制定整治措施。码头管理单位、船舶所有人应严格落实船舶停泊安全管理规定，安排专人定期对船体、系泊设施、消防救生等进行有效的维修保养；建立24小时值班值守制度，明确值班人员岗位职责，加强对气象水文信息的监测预警，遇大风、暴雨等恶劣天气应及时采取加固系泊、转移避险等措施；严禁游泳爱好者等无关人员驻留船上。</w:t>
      </w:r>
    </w:p>
    <w:p>
      <w:pPr>
        <w:numPr>
          <w:ilvl w:val="0"/>
          <w:numId w:val="0"/>
        </w:numPr>
        <w:ind w:firstLine="642" w:firstLineChars="200"/>
        <w:rPr>
          <w:rFonts w:hint="default"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t>（三）全面加强自用船舶安全管理。</w:t>
      </w:r>
    </w:p>
    <w:p>
      <w:pPr>
        <w:numPr>
          <w:ilvl w:val="0"/>
          <w:numId w:val="0"/>
        </w:numPr>
        <w:ind w:firstLine="640" w:firstLineChars="20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地方政府及相关部门应按照岳阳市应急和安全生产委员会《岳阳市乡镇自用船舶安全管理指导意见（试行）》要求，落实安全管理责任，加强乡镇自用船舶安全管理，严厉打击违章违法行为，对长期停泊闲置、无人管理、所有人不明的船舶，严格履行公告程序和处置程序，从源头上消除安全隐患。</w:t>
      </w:r>
    </w:p>
    <w:p>
      <w:pPr>
        <w:numPr>
          <w:ilvl w:val="0"/>
          <w:numId w:val="0"/>
        </w:numPr>
        <w:ind w:firstLine="642" w:firstLineChars="200"/>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u w:val="none"/>
          <w:lang w:val="en-US" w:eastAsia="zh-CN"/>
          <w14:textFill>
            <w14:solidFill>
              <w14:schemeClr w14:val="tx1"/>
            </w14:solidFill>
          </w14:textFill>
        </w:rPr>
        <w:t>（四）推进涉水领域安全生产“打非治违”专项整治行动走深走实。</w:t>
      </w:r>
    </w:p>
    <w:p>
      <w:pPr>
        <w:numPr>
          <w:ilvl w:val="0"/>
          <w:numId w:val="0"/>
        </w:numPr>
        <w:ind w:firstLine="640" w:firstLineChars="200"/>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各水上执法机构应聚焦重点水域、重点船舶、重点环节，持续开展涉水领域安全生产“打非治违”专项整治行动，严厉打击船舶无证运营、超期未检、报废船舶违规航行、停泊、作业以及码头无证经营等违法违规行为，建立问题隐患和整改责任“两个清单”，实行销号管理，坚决杜绝“只检查不整改、只处罚不处置”的现象，强化信息共享、协同联动，形成监管合力，提升执法效能。各水运事务中心应加强日常巡查，督促落实企业安全生产主体责任，加强水上交通安全宣传教育，提升从业人员安全防范意识。</w:t>
      </w:r>
    </w:p>
    <w:p>
      <w:pPr>
        <w:numPr>
          <w:ilvl w:val="0"/>
          <w:numId w:val="0"/>
        </w:numPr>
        <w:jc w:val="right"/>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p>
    <w:p>
      <w:pPr>
        <w:numPr>
          <w:ilvl w:val="0"/>
          <w:numId w:val="0"/>
        </w:numPr>
        <w:jc w:val="right"/>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p>
    <w:p>
      <w:pPr>
        <w:numPr>
          <w:ilvl w:val="0"/>
          <w:numId w:val="0"/>
        </w:numPr>
        <w:jc w:val="right"/>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p>
    <w:p>
      <w:pPr>
        <w:numPr>
          <w:ilvl w:val="0"/>
          <w:numId w:val="0"/>
        </w:numPr>
        <w:jc w:val="right"/>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岳阳南岳坡码头“4·21”“天龙渔舫”轮自沉事故调查组</w:t>
      </w:r>
    </w:p>
    <w:p>
      <w:pPr>
        <w:numPr>
          <w:ilvl w:val="0"/>
          <w:numId w:val="0"/>
        </w:numPr>
        <w:jc w:val="right"/>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2026年7月16日</w:t>
      </w:r>
    </w:p>
    <w:sectPr>
      <w:headerReference r:id="rId3" w:type="default"/>
      <w:footerReference r:id="rId4" w:type="default"/>
      <w:pgSz w:w="11906" w:h="16838"/>
      <w:pgMar w:top="1440" w:right="126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宋体">
    <w:panose1 w:val="02010600040101010101"/>
    <w:charset w:val="86"/>
    <w:family w:val="auto"/>
    <w:pitch w:val="default"/>
    <w:sig w:usb0="00000287" w:usb1="080F0000" w:usb2="00000000" w:usb3="00000000" w:csb0="0004009F" w:csb1="DFD70000"/>
  </w:font>
  <w:font w:name="方正公文小标宋">
    <w:altName w:val="方正小标宋_GBK"/>
    <w:panose1 w:val="02000500000000000000"/>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A81D65"/>
    <w:multiLevelType w:val="singleLevel"/>
    <w:tmpl w:val="A9A81D65"/>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NWQ4ZmQzNTdkMzgzYzQyYzNkZjE4NmYzNzc0NDIifQ=="/>
  </w:docVars>
  <w:rsids>
    <w:rsidRoot w:val="2BBB74F5"/>
    <w:rsid w:val="007578DC"/>
    <w:rsid w:val="010335A7"/>
    <w:rsid w:val="011D3067"/>
    <w:rsid w:val="017E6097"/>
    <w:rsid w:val="01D4523A"/>
    <w:rsid w:val="01D86637"/>
    <w:rsid w:val="026F59D0"/>
    <w:rsid w:val="0283019E"/>
    <w:rsid w:val="02850AAA"/>
    <w:rsid w:val="02C24513"/>
    <w:rsid w:val="02F22095"/>
    <w:rsid w:val="036473F8"/>
    <w:rsid w:val="04125D86"/>
    <w:rsid w:val="04356CB0"/>
    <w:rsid w:val="04AA1D4F"/>
    <w:rsid w:val="052250B6"/>
    <w:rsid w:val="058D17D4"/>
    <w:rsid w:val="05946FA8"/>
    <w:rsid w:val="05FD2B10"/>
    <w:rsid w:val="06C13B3D"/>
    <w:rsid w:val="07BC033E"/>
    <w:rsid w:val="08962DA7"/>
    <w:rsid w:val="09B83CB0"/>
    <w:rsid w:val="0A927AB9"/>
    <w:rsid w:val="0A993C81"/>
    <w:rsid w:val="0AF65D7F"/>
    <w:rsid w:val="0B8B1410"/>
    <w:rsid w:val="0CB67574"/>
    <w:rsid w:val="0D4C01FA"/>
    <w:rsid w:val="0D7226D5"/>
    <w:rsid w:val="0D8E5F16"/>
    <w:rsid w:val="0DC940A3"/>
    <w:rsid w:val="0DE032B5"/>
    <w:rsid w:val="0E1D3E9B"/>
    <w:rsid w:val="0E2315D2"/>
    <w:rsid w:val="0E596F18"/>
    <w:rsid w:val="0F20161D"/>
    <w:rsid w:val="0F6B6962"/>
    <w:rsid w:val="0FFD75C9"/>
    <w:rsid w:val="107C4E2A"/>
    <w:rsid w:val="108106D1"/>
    <w:rsid w:val="108300B5"/>
    <w:rsid w:val="11121FC4"/>
    <w:rsid w:val="114159B8"/>
    <w:rsid w:val="114E57C3"/>
    <w:rsid w:val="11D52036"/>
    <w:rsid w:val="120F22E7"/>
    <w:rsid w:val="122A764E"/>
    <w:rsid w:val="12421A01"/>
    <w:rsid w:val="131754B0"/>
    <w:rsid w:val="13CD0C44"/>
    <w:rsid w:val="15170DCC"/>
    <w:rsid w:val="15180FF2"/>
    <w:rsid w:val="15986F14"/>
    <w:rsid w:val="16157673"/>
    <w:rsid w:val="161D46D5"/>
    <w:rsid w:val="16671E27"/>
    <w:rsid w:val="16D6129D"/>
    <w:rsid w:val="16ED23AA"/>
    <w:rsid w:val="17602EFE"/>
    <w:rsid w:val="17957055"/>
    <w:rsid w:val="181F221E"/>
    <w:rsid w:val="18B30A11"/>
    <w:rsid w:val="195A15F6"/>
    <w:rsid w:val="195E0D77"/>
    <w:rsid w:val="19B233B5"/>
    <w:rsid w:val="19C31523"/>
    <w:rsid w:val="1A0E621F"/>
    <w:rsid w:val="1A156117"/>
    <w:rsid w:val="1A607D8E"/>
    <w:rsid w:val="1B142779"/>
    <w:rsid w:val="1B345B2F"/>
    <w:rsid w:val="1B826AB2"/>
    <w:rsid w:val="1C33298F"/>
    <w:rsid w:val="1C9176B6"/>
    <w:rsid w:val="1C9868B6"/>
    <w:rsid w:val="1CDD7D33"/>
    <w:rsid w:val="1DDA4574"/>
    <w:rsid w:val="1DEB6311"/>
    <w:rsid w:val="1E652BA8"/>
    <w:rsid w:val="1E8A6008"/>
    <w:rsid w:val="1ED631A5"/>
    <w:rsid w:val="1FC508AF"/>
    <w:rsid w:val="1FEF7EF5"/>
    <w:rsid w:val="20717F2A"/>
    <w:rsid w:val="219F1015"/>
    <w:rsid w:val="221435F7"/>
    <w:rsid w:val="22CF0F38"/>
    <w:rsid w:val="23090D82"/>
    <w:rsid w:val="230E7092"/>
    <w:rsid w:val="232F5F2C"/>
    <w:rsid w:val="24406C3B"/>
    <w:rsid w:val="252A11DF"/>
    <w:rsid w:val="2599171D"/>
    <w:rsid w:val="261603D3"/>
    <w:rsid w:val="26233510"/>
    <w:rsid w:val="267C7FC6"/>
    <w:rsid w:val="27051AB1"/>
    <w:rsid w:val="27202A1A"/>
    <w:rsid w:val="27233CC4"/>
    <w:rsid w:val="28595FFA"/>
    <w:rsid w:val="291E3F48"/>
    <w:rsid w:val="29210A9F"/>
    <w:rsid w:val="2972283F"/>
    <w:rsid w:val="2A7B0E62"/>
    <w:rsid w:val="2A982071"/>
    <w:rsid w:val="2AD934B6"/>
    <w:rsid w:val="2B20030F"/>
    <w:rsid w:val="2B9E5140"/>
    <w:rsid w:val="2BBB74F5"/>
    <w:rsid w:val="2C413C53"/>
    <w:rsid w:val="2C4F7706"/>
    <w:rsid w:val="2C7776D6"/>
    <w:rsid w:val="2C90798A"/>
    <w:rsid w:val="2CC97D88"/>
    <w:rsid w:val="2CDE06F5"/>
    <w:rsid w:val="2D075AE0"/>
    <w:rsid w:val="2D4A425D"/>
    <w:rsid w:val="2D644938"/>
    <w:rsid w:val="2E806AD4"/>
    <w:rsid w:val="2EBE0643"/>
    <w:rsid w:val="2ECD7B84"/>
    <w:rsid w:val="2ED56CC5"/>
    <w:rsid w:val="2F897553"/>
    <w:rsid w:val="2FFB6945"/>
    <w:rsid w:val="305807BF"/>
    <w:rsid w:val="308D3CB6"/>
    <w:rsid w:val="30BA0A78"/>
    <w:rsid w:val="30D30591"/>
    <w:rsid w:val="30D306FF"/>
    <w:rsid w:val="30D73C67"/>
    <w:rsid w:val="31273D62"/>
    <w:rsid w:val="314122CB"/>
    <w:rsid w:val="316B282B"/>
    <w:rsid w:val="317F3B29"/>
    <w:rsid w:val="31FE0EF2"/>
    <w:rsid w:val="31FE7144"/>
    <w:rsid w:val="332948C4"/>
    <w:rsid w:val="3333415B"/>
    <w:rsid w:val="33E42E51"/>
    <w:rsid w:val="34563E84"/>
    <w:rsid w:val="348D41C6"/>
    <w:rsid w:val="34E170AD"/>
    <w:rsid w:val="351916D5"/>
    <w:rsid w:val="35844495"/>
    <w:rsid w:val="36584B38"/>
    <w:rsid w:val="3698771E"/>
    <w:rsid w:val="36D83D8B"/>
    <w:rsid w:val="36DF5796"/>
    <w:rsid w:val="36E759B2"/>
    <w:rsid w:val="387E793E"/>
    <w:rsid w:val="392774A6"/>
    <w:rsid w:val="3A525F5E"/>
    <w:rsid w:val="3A917251"/>
    <w:rsid w:val="3AAC46D0"/>
    <w:rsid w:val="3BA31556"/>
    <w:rsid w:val="3BB37481"/>
    <w:rsid w:val="3BE652E9"/>
    <w:rsid w:val="3C601843"/>
    <w:rsid w:val="3D251A29"/>
    <w:rsid w:val="3D387A7D"/>
    <w:rsid w:val="3D8E24FD"/>
    <w:rsid w:val="3DB35777"/>
    <w:rsid w:val="3E4E5A87"/>
    <w:rsid w:val="3E846C23"/>
    <w:rsid w:val="3E895925"/>
    <w:rsid w:val="3FEC0F24"/>
    <w:rsid w:val="4047615A"/>
    <w:rsid w:val="406E75F8"/>
    <w:rsid w:val="40E26D14"/>
    <w:rsid w:val="41807B75"/>
    <w:rsid w:val="41B90BA5"/>
    <w:rsid w:val="41F7515B"/>
    <w:rsid w:val="422624CB"/>
    <w:rsid w:val="42554B5E"/>
    <w:rsid w:val="427C0E32"/>
    <w:rsid w:val="42A866EA"/>
    <w:rsid w:val="43553FA0"/>
    <w:rsid w:val="442758AC"/>
    <w:rsid w:val="44DB485B"/>
    <w:rsid w:val="45157CB9"/>
    <w:rsid w:val="45573E33"/>
    <w:rsid w:val="45EC0A45"/>
    <w:rsid w:val="467E7FB4"/>
    <w:rsid w:val="46CB75B9"/>
    <w:rsid w:val="47224611"/>
    <w:rsid w:val="47DC7E96"/>
    <w:rsid w:val="48A36C61"/>
    <w:rsid w:val="48B9364D"/>
    <w:rsid w:val="48BB5360"/>
    <w:rsid w:val="48DA5DBD"/>
    <w:rsid w:val="49C1268F"/>
    <w:rsid w:val="49E12144"/>
    <w:rsid w:val="49E30645"/>
    <w:rsid w:val="49F9606C"/>
    <w:rsid w:val="4A622219"/>
    <w:rsid w:val="4ACB20FA"/>
    <w:rsid w:val="4BB801A9"/>
    <w:rsid w:val="4BEF077B"/>
    <w:rsid w:val="4BEF4259"/>
    <w:rsid w:val="4C8272C8"/>
    <w:rsid w:val="4CDC6614"/>
    <w:rsid w:val="4D223721"/>
    <w:rsid w:val="4EB66F04"/>
    <w:rsid w:val="4EBE7C21"/>
    <w:rsid w:val="4ED11A10"/>
    <w:rsid w:val="4F5E0A5E"/>
    <w:rsid w:val="50141E82"/>
    <w:rsid w:val="503735A8"/>
    <w:rsid w:val="50E417A7"/>
    <w:rsid w:val="51081D48"/>
    <w:rsid w:val="522B125E"/>
    <w:rsid w:val="52495D62"/>
    <w:rsid w:val="52685F18"/>
    <w:rsid w:val="538C4158"/>
    <w:rsid w:val="54060D07"/>
    <w:rsid w:val="54330A77"/>
    <w:rsid w:val="543C588D"/>
    <w:rsid w:val="54473D53"/>
    <w:rsid w:val="54851D38"/>
    <w:rsid w:val="54C71029"/>
    <w:rsid w:val="54C75B47"/>
    <w:rsid w:val="554D5B69"/>
    <w:rsid w:val="55B84EAE"/>
    <w:rsid w:val="55D403F2"/>
    <w:rsid w:val="55FB4337"/>
    <w:rsid w:val="561577C6"/>
    <w:rsid w:val="57324AEF"/>
    <w:rsid w:val="57DB7132"/>
    <w:rsid w:val="58727098"/>
    <w:rsid w:val="58CC2D8A"/>
    <w:rsid w:val="5900523D"/>
    <w:rsid w:val="5902065F"/>
    <w:rsid w:val="593E4146"/>
    <w:rsid w:val="594F1802"/>
    <w:rsid w:val="597651FA"/>
    <w:rsid w:val="5A1124DF"/>
    <w:rsid w:val="5A1F075D"/>
    <w:rsid w:val="5AC36B75"/>
    <w:rsid w:val="5AEC6F0B"/>
    <w:rsid w:val="5B820F06"/>
    <w:rsid w:val="5C1D52FE"/>
    <w:rsid w:val="5C4E7981"/>
    <w:rsid w:val="5D6F32DB"/>
    <w:rsid w:val="5D862F00"/>
    <w:rsid w:val="5D8B3B05"/>
    <w:rsid w:val="5E0A394B"/>
    <w:rsid w:val="5E6202E5"/>
    <w:rsid w:val="5EB80CF4"/>
    <w:rsid w:val="5F3B23E1"/>
    <w:rsid w:val="5F8428D0"/>
    <w:rsid w:val="605E78A2"/>
    <w:rsid w:val="608326B6"/>
    <w:rsid w:val="62FF1978"/>
    <w:rsid w:val="63514A76"/>
    <w:rsid w:val="63647CB4"/>
    <w:rsid w:val="63C915E6"/>
    <w:rsid w:val="643C71B0"/>
    <w:rsid w:val="65A62B50"/>
    <w:rsid w:val="660063F4"/>
    <w:rsid w:val="664A365E"/>
    <w:rsid w:val="66615FC4"/>
    <w:rsid w:val="66622E45"/>
    <w:rsid w:val="673456DD"/>
    <w:rsid w:val="673D5294"/>
    <w:rsid w:val="678A3FEA"/>
    <w:rsid w:val="67FC3B0F"/>
    <w:rsid w:val="68DF692E"/>
    <w:rsid w:val="69CB6290"/>
    <w:rsid w:val="69F30635"/>
    <w:rsid w:val="6A641BB5"/>
    <w:rsid w:val="6B464D0B"/>
    <w:rsid w:val="6C21109E"/>
    <w:rsid w:val="6C6E3873"/>
    <w:rsid w:val="6CC862CB"/>
    <w:rsid w:val="6D4F0278"/>
    <w:rsid w:val="6D724E66"/>
    <w:rsid w:val="6D843218"/>
    <w:rsid w:val="6D8D5B32"/>
    <w:rsid w:val="6EDA5EEB"/>
    <w:rsid w:val="6F167103"/>
    <w:rsid w:val="6F714959"/>
    <w:rsid w:val="6F7F6931"/>
    <w:rsid w:val="6F9FC5E1"/>
    <w:rsid w:val="6FFB577E"/>
    <w:rsid w:val="700C2FEF"/>
    <w:rsid w:val="706C390D"/>
    <w:rsid w:val="708A5F5B"/>
    <w:rsid w:val="71B047FB"/>
    <w:rsid w:val="72361171"/>
    <w:rsid w:val="72A279B9"/>
    <w:rsid w:val="73743703"/>
    <w:rsid w:val="73AD5CF9"/>
    <w:rsid w:val="743B0E6B"/>
    <w:rsid w:val="74447963"/>
    <w:rsid w:val="74466952"/>
    <w:rsid w:val="745E4618"/>
    <w:rsid w:val="747A55D2"/>
    <w:rsid w:val="74BE0CC9"/>
    <w:rsid w:val="74CC6652"/>
    <w:rsid w:val="751E6F55"/>
    <w:rsid w:val="753D3294"/>
    <w:rsid w:val="75742F72"/>
    <w:rsid w:val="76C07F60"/>
    <w:rsid w:val="76C435A7"/>
    <w:rsid w:val="76EF3E60"/>
    <w:rsid w:val="775C3D3A"/>
    <w:rsid w:val="777A0BD8"/>
    <w:rsid w:val="77FA3C86"/>
    <w:rsid w:val="7840771E"/>
    <w:rsid w:val="787A7B01"/>
    <w:rsid w:val="78C935D5"/>
    <w:rsid w:val="78E26CE0"/>
    <w:rsid w:val="790351F8"/>
    <w:rsid w:val="792C5912"/>
    <w:rsid w:val="792E7A21"/>
    <w:rsid w:val="794F5333"/>
    <w:rsid w:val="79C3303F"/>
    <w:rsid w:val="7A7D7E3A"/>
    <w:rsid w:val="7B3A3063"/>
    <w:rsid w:val="7B5F325A"/>
    <w:rsid w:val="7B6B418C"/>
    <w:rsid w:val="7B765937"/>
    <w:rsid w:val="7B8A593A"/>
    <w:rsid w:val="7BA02144"/>
    <w:rsid w:val="7BB704F6"/>
    <w:rsid w:val="7C4B37FA"/>
    <w:rsid w:val="7D3768FA"/>
    <w:rsid w:val="7F6D246F"/>
    <w:rsid w:val="7FC95A9E"/>
    <w:rsid w:val="7FFB9FD3"/>
    <w:rsid w:val="96E7C2FD"/>
    <w:rsid w:val="FA650562"/>
    <w:rsid w:val="FD7E7951"/>
    <w:rsid w:val="FDBA2B16"/>
    <w:rsid w:val="FFBFD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华文宋体" w:hAnsi="华文宋体" w:eastAsia="华文宋体" w:cs="华文宋体"/>
      <w:sz w:val="16"/>
      <w:szCs w:val="16"/>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7177</Words>
  <Characters>7894</Characters>
  <Lines>0</Lines>
  <Paragraphs>0</Paragraphs>
  <TotalTime>14</TotalTime>
  <ScaleCrop>false</ScaleCrop>
  <LinksUpToDate>false</LinksUpToDate>
  <CharactersWithSpaces>8068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2026-05-11T01:55:00Z</dcterms:created>
  <dc:creator>邓黎鸣</dc:creator>
  <cp:lastModifiedBy>xjkp</cp:lastModifiedBy>
  <dcterms:modified xsi:type="dcterms:W3CDTF">2026-07-20T10:25:26Z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55ABDDDBC6A74E0197CE2346BE605A9F_13</vt:lpwstr>
  </property>
  <property fmtid="{D5CDD505-2E9C-101B-9397-08002B2CF9AE}" pid="4" name="KSOTemplateDocerSaveRecord">
    <vt:lpwstr>eyJoZGlkIjoiNDY3MjY0MDdhZjM1MDA3ZTc4ZDhjZTNkMDdlODE0OWYiLCJ1c2VySWQiOiIxNTE5MDA4OTEifQ==</vt:lpwstr>
  </property>
</Properties>
</file>