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lang w:val="en-US" w:eastAsia="zh-CN"/>
        </w:rPr>
        <w:t>岳阳市文学艺术研究所</w:t>
      </w:r>
      <w:r>
        <w:rPr>
          <w:rFonts w:eastAsia="仿宋_GB2312"/>
          <w:sz w:val="32"/>
          <w:szCs w:val="32"/>
          <w:u w:val="single"/>
        </w:rPr>
        <w:t xml:space="preserve">     </w:t>
      </w:r>
      <w:r>
        <w:rPr>
          <w:rFonts w:eastAsia="仿宋_GB2312"/>
          <w:sz w:val="32"/>
          <w:szCs w:val="32"/>
          <w:u w:val="none"/>
        </w:rPr>
        <w:t xml:space="preserve">     </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501003</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2022年6</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1172"/>
        <w:gridCol w:w="1115"/>
        <w:gridCol w:w="226"/>
        <w:gridCol w:w="196"/>
        <w:gridCol w:w="173"/>
        <w:gridCol w:w="1166"/>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9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刘丹</w:t>
            </w: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8216371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925"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负责为专业艺术表演团体提供戏曲台本、舞美设计，并为其舞台剧本作曲、配器、指挥;负责为专业艺术团体实施二度创作;负责地方剧种音乐的收集、整理;</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完成市文化局交办的其他工作。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完成非遗过大年网络春晚活动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完成“欢乐潇湘·幸福岳阳·百团百角唱百年”庆祝中国共产党成立100周年展演活动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开启《巴陵话研究》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推进“三供一业”分离改革工作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根据局党组部署，高水准完成了非遗过大年网络春晚活动；</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已创作大型戏曲剧本《徐特立》《求索》《我娘是片钥匙》、《毛主席三请小英雄》、大型木偶皮影剧《钢铁小战士》，小品剧《未来的模样》、《走边》，小型戏剧剧本《抢专干》、《一条新床单》、《装疯救父》等共9个。</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3、精心组织完成了“欢乐潇湘·幸福岳阳·百团百角唱百年”庆祝中国共产党成立100周年展演活动；</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4、组织岳阳老人，开启《巴陵话研究》，已收录巴陵话词条余个，论文十余篇；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5、积极推进市直机关职工住宅“三供一业”分离改革工作各项工作已基本完成。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44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岳阳市文学艺术研究所</w:t>
            </w:r>
          </w:p>
        </w:tc>
        <w:tc>
          <w:tcPr>
            <w:tcW w:w="1080" w:type="dxa"/>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182.0</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4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134.82</w:t>
            </w:r>
          </w:p>
        </w:tc>
        <w:tc>
          <w:tcPr>
            <w:tcW w:w="13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44"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41"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54"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66"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4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6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岳阳市文学艺术研究所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139.66</w:t>
            </w:r>
          </w:p>
        </w:tc>
        <w:tc>
          <w:tcPr>
            <w:tcW w:w="144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94.30</w:t>
            </w:r>
          </w:p>
        </w:tc>
        <w:tc>
          <w:tcPr>
            <w:tcW w:w="171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45.36</w:t>
            </w:r>
          </w:p>
        </w:tc>
        <w:tc>
          <w:tcPr>
            <w:tcW w:w="1166"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44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1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0"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岳阳市文学艺术研究所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0.3</w:t>
            </w:r>
          </w:p>
        </w:tc>
        <w:tc>
          <w:tcPr>
            <w:tcW w:w="144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1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1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99"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80"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岳阳市文学艺术研究所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10.75</w:t>
            </w:r>
          </w:p>
        </w:tc>
        <w:tc>
          <w:tcPr>
            <w:tcW w:w="2799"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10.75</w:t>
            </w:r>
          </w:p>
        </w:tc>
        <w:tc>
          <w:tcPr>
            <w:tcW w:w="3280"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138"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221"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4138" w:type="dxa"/>
            <w:gridSpan w:val="7"/>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高水准完成非遗过大年网络春晚活动；</w:t>
            </w:r>
          </w:p>
          <w:p>
            <w:pPr>
              <w:numPr>
                <w:ilvl w:val="0"/>
                <w:numId w:val="0"/>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2、积极鼓励开展创作；</w:t>
            </w:r>
          </w:p>
          <w:p>
            <w:pPr>
              <w:numPr>
                <w:ilvl w:val="0"/>
                <w:numId w:val="0"/>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3、配合党组做好改革工作；</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4、开启《巴陵话研究》；</w:t>
            </w:r>
          </w:p>
          <w:p>
            <w:pPr>
              <w:numPr>
                <w:ilvl w:val="0"/>
                <w:numId w:val="0"/>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5、积极推进市直机关职工住宅“三供一业”分离改革工作</w:t>
            </w:r>
          </w:p>
        </w:tc>
        <w:tc>
          <w:tcPr>
            <w:tcW w:w="4221" w:type="dxa"/>
            <w:gridSpan w:val="9"/>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1、根据局党组部署，高水准完成了非遗过大年网络春晚活动；</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已创作大型戏曲剧本《徐特立》《求索》《我娘是片钥匙》、《毛主席三请小英雄》、大型木偶皮影剧《钢铁小战士》，小品剧《未来的模样》、《走边》，小型戏剧剧本《抢专干》、《一条新床单》、《装疯救父》等共9个。</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3、精心组织完成了“欢乐潇湘·幸福岳阳·百团百角唱百年”庆祝中国共产党成立100周年展演活动；</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4、组织岳阳老人，开启《巴陵话研究》，已收录巴陵话词条余个，论文十余篇；</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5、积极推进市直机关职工住宅“三供一业”分离改革工作各项工作已基本完成。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”三供一业”分</w:t>
            </w:r>
            <w:r>
              <w:rPr>
                <w:rFonts w:hint="eastAsia" w:ascii="仿宋_GB2312" w:hAnsi="仿宋_GB2312" w:eastAsia="仿宋_GB2312" w:cs="仿宋_GB2312"/>
                <w:color w:val="000000"/>
                <w:sz w:val="24"/>
                <w:lang w:val="en-US" w:eastAsia="zh-CN"/>
              </w:rPr>
              <w:t>离</w:t>
            </w:r>
            <w:r>
              <w:rPr>
                <w:rFonts w:hint="eastAsia" w:ascii="仿宋_GB2312" w:hAnsi="仿宋_GB2312" w:eastAsia="仿宋_GB2312" w:cs="仿宋_GB2312"/>
                <w:color w:val="000000"/>
                <w:sz w:val="24"/>
              </w:rPr>
              <w:t>工作</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各项工作已基本完成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完成非遗过大年网络春晚活动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高水准完成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积极鼓励开展创作</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创作</w:t>
            </w:r>
            <w:r>
              <w:rPr>
                <w:rFonts w:hint="eastAsia" w:ascii="仿宋_GB2312" w:hAnsi="仿宋_GB2312" w:eastAsia="仿宋_GB2312" w:cs="仿宋_GB2312"/>
                <w:color w:val="000000"/>
                <w:sz w:val="24"/>
              </w:rPr>
              <w:t>共9个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1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000000"/>
                <w:sz w:val="24"/>
                <w:lang w:eastAsia="zh-CN"/>
              </w:rPr>
              <w:t>开启《巴陵话研究》收录巴陵话词条余个，</w:t>
            </w:r>
            <w:r>
              <w:rPr>
                <w:rFonts w:hint="eastAsia" w:ascii="仿宋_GB2312" w:hAnsi="仿宋_GB2312" w:eastAsia="仿宋_GB2312" w:cs="仿宋_GB2312"/>
                <w:color w:val="000000"/>
                <w:sz w:val="24"/>
                <w:lang w:val="en-US" w:eastAsia="zh-CN"/>
              </w:rPr>
              <w:t>编写论文</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000000"/>
                <w:sz w:val="24"/>
                <w:lang w:eastAsia="zh-CN"/>
              </w:rPr>
              <w:t>论文十余篇</w:t>
            </w:r>
          </w:p>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时效指标</w:t>
            </w: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目标任务完成及时率100%</w:t>
            </w:r>
          </w:p>
        </w:tc>
        <w:tc>
          <w:tcPr>
            <w:tcW w:w="268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成本指标</w:t>
            </w: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预算成本控制≤</w:t>
            </w:r>
            <w:r>
              <w:rPr>
                <w:rFonts w:hint="eastAsia" w:ascii="仿宋_GB2312" w:hAnsi="仿宋_GB2312" w:eastAsia="仿宋_GB2312" w:cs="仿宋_GB2312"/>
                <w:sz w:val="24"/>
                <w:lang w:val="en-US" w:eastAsia="zh-CN"/>
              </w:rPr>
              <w:t>182</w:t>
            </w:r>
            <w:r>
              <w:rPr>
                <w:rFonts w:hint="eastAsia" w:ascii="仿宋_GB2312" w:hAnsi="仿宋_GB2312" w:eastAsia="仿宋_GB2312" w:cs="仿宋_GB2312"/>
                <w:color w:val="000000"/>
                <w:sz w:val="24"/>
                <w:lang w:eastAsia="zh-CN"/>
              </w:rPr>
              <w:t>万</w:t>
            </w:r>
          </w:p>
        </w:tc>
        <w:tc>
          <w:tcPr>
            <w:tcW w:w="268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sz w:val="24"/>
                <w:lang w:val="en-US" w:eastAsia="zh-CN"/>
              </w:rPr>
              <w:t>182</w:t>
            </w:r>
            <w:r>
              <w:rPr>
                <w:rFonts w:hint="eastAsia" w:ascii="仿宋_GB2312" w:hAnsi="仿宋_GB2312" w:eastAsia="仿宋_GB2312" w:cs="仿宋_GB2312"/>
                <w:color w:val="000000"/>
                <w:sz w:val="24"/>
                <w:lang w:eastAsia="zh-CN"/>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积极</w:t>
            </w:r>
            <w:r>
              <w:rPr>
                <w:rFonts w:hint="eastAsia" w:ascii="仿宋_GB2312" w:hAnsi="仿宋_GB2312" w:eastAsia="仿宋_GB2312" w:cs="仿宋_GB2312"/>
                <w:color w:val="000000"/>
                <w:sz w:val="24"/>
              </w:rPr>
              <w:t>开展创作</w:t>
            </w:r>
            <w:r>
              <w:rPr>
                <w:rFonts w:hint="eastAsia" w:ascii="仿宋_GB2312" w:hAnsi="仿宋_GB2312" w:eastAsia="仿宋_GB2312" w:cs="仿宋_GB2312"/>
                <w:color w:val="000000"/>
                <w:sz w:val="24"/>
                <w:lang w:val="en-US" w:eastAsia="zh-CN"/>
              </w:rPr>
              <w:t>及编辑</w:t>
            </w:r>
          </w:p>
        </w:tc>
        <w:tc>
          <w:tcPr>
            <w:tcW w:w="2684" w:type="dxa"/>
            <w:gridSpan w:val="6"/>
            <w:vAlign w:val="center"/>
          </w:tcPr>
          <w:p>
            <w:pPr>
              <w:autoSpaceDN w:val="0"/>
              <w:spacing w:line="3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精心创作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社会公众满意度≥90%</w:t>
            </w:r>
          </w:p>
        </w:tc>
        <w:tc>
          <w:tcPr>
            <w:tcW w:w="2684" w:type="dxa"/>
            <w:gridSpan w:val="6"/>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9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喻存远</w:t>
            </w:r>
          </w:p>
        </w:tc>
        <w:tc>
          <w:tcPr>
            <w:tcW w:w="3925"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yellow"/>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分管领导</w:t>
            </w: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刘丹</w:t>
            </w:r>
          </w:p>
        </w:tc>
        <w:tc>
          <w:tcPr>
            <w:tcW w:w="3925"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highlight w:val="yellow"/>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会计</w:t>
            </w: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925" w:type="dxa"/>
            <w:gridSpan w:val="6"/>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9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1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eastAsia="zh-CN"/>
              </w:rPr>
              <w:t>岳阳市文学艺术研究所为公益一类全额事业单位，主要从事文学艺术创作以及艺术研究、艺术理论成果研究出版、艺术咨询服务等工作。截止2021年12月31日，在职在编7人，其中岗位管理4名，专技岗位3名，退休13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182.0</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134.82</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其他收入47.18万元</w:t>
            </w:r>
            <w:r>
              <w:rPr>
                <w:rFonts w:hint="eastAsia" w:ascii="仿宋_GB2312" w:hAnsi="仿宋_GB2312" w:eastAsia="仿宋_GB2312" w:cs="仿宋_GB2312"/>
                <w:bCs/>
                <w:sz w:val="28"/>
                <w:szCs w:val="28"/>
              </w:rPr>
              <w:t>，上年结转</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1年支出</w:t>
            </w:r>
            <w:r>
              <w:rPr>
                <w:rFonts w:hint="eastAsia" w:ascii="仿宋_GB2312" w:hAnsi="仿宋_GB2312" w:eastAsia="仿宋_GB2312" w:cs="仿宋_GB2312"/>
                <w:bCs/>
                <w:sz w:val="28"/>
                <w:szCs w:val="28"/>
                <w:lang w:val="en-US" w:eastAsia="zh-CN"/>
              </w:rPr>
              <w:t>182.0</w:t>
            </w:r>
            <w:r>
              <w:rPr>
                <w:rFonts w:hint="eastAsia" w:ascii="仿宋_GB2312" w:hAnsi="仿宋_GB2312" w:eastAsia="仿宋_GB2312" w:cs="仿宋_GB2312"/>
                <w:bCs/>
                <w:sz w:val="28"/>
                <w:szCs w:val="28"/>
              </w:rPr>
              <w:t>万元，其中，一般公共服务</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文化旅游体育与传媒支出151.68万元，社会保障和就业支出11.87万元，卫生健康支出3.45万元，结余0万元。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基本支出139.66万元，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numPr>
                <w:ilvl w:val="0"/>
                <w:numId w:val="2"/>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pPr>
              <w:spacing w:line="560" w:lineRule="exact"/>
              <w:ind w:firstLine="560" w:firstLineChars="200"/>
              <w:rPr>
                <w:rFonts w:hint="default"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sz w:val="28"/>
                <w:szCs w:val="28"/>
                <w:highlight w:val="none"/>
              </w:rPr>
              <w:t>2021年项目支出数为</w:t>
            </w:r>
            <w:r>
              <w:rPr>
                <w:rFonts w:hint="eastAsia" w:ascii="仿宋_GB2312" w:hAnsi="仿宋_GB2312" w:eastAsia="仿宋_GB2312" w:cs="仿宋_GB2312"/>
                <w:bCs/>
                <w:sz w:val="28"/>
                <w:szCs w:val="28"/>
                <w:highlight w:val="none"/>
                <w:lang w:val="en-US" w:eastAsia="zh-CN"/>
              </w:rPr>
              <w:t>42.34</w:t>
            </w:r>
            <w:r>
              <w:rPr>
                <w:rFonts w:hint="eastAsia"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val="en-US" w:eastAsia="zh-CN"/>
              </w:rPr>
              <w:t>主要用于中国共产党成立100周年系列活动经费、精品艺术创作经费、省级文化综合发展专项资金--花鼓戏《抢专干》等。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三）三公经费的使用和管理情况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本单位2021年“三公”经费预算数</w:t>
            </w:r>
            <w:r>
              <w:rPr>
                <w:rFonts w:hint="eastAsia" w:ascii="仿宋_GB2312" w:hAnsi="仿宋_GB2312" w:eastAsia="仿宋_GB2312" w:cs="仿宋_GB2312"/>
                <w:bCs/>
                <w:sz w:val="28"/>
                <w:szCs w:val="28"/>
                <w:lang w:val="en-US" w:eastAsia="zh-CN"/>
              </w:rPr>
              <w:t>0.3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实际拨付0.3万元，主要用于公务接待</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（四）固定资产使用情况</w:t>
            </w:r>
          </w:p>
          <w:p>
            <w:pPr>
              <w:spacing w:line="560" w:lineRule="exact"/>
              <w:ind w:firstLine="560" w:firstLineChars="200"/>
            </w:pPr>
            <w:r>
              <w:rPr>
                <w:rFonts w:hint="eastAsia" w:ascii="仿宋_GB2312" w:hAnsi="仿宋_GB2312" w:eastAsia="仿宋_GB2312" w:cs="仿宋_GB2312"/>
                <w:bCs/>
                <w:sz w:val="28"/>
                <w:szCs w:val="28"/>
              </w:rPr>
              <w:t>截至2021年12月底，本单位固定资产合计</w:t>
            </w:r>
            <w:r>
              <w:rPr>
                <w:rFonts w:hint="eastAsia" w:ascii="仿宋_GB2312" w:hAnsi="仿宋_GB2312" w:eastAsia="仿宋_GB2312" w:cs="仿宋_GB2312"/>
                <w:bCs/>
                <w:sz w:val="28"/>
                <w:szCs w:val="28"/>
                <w:lang w:val="en-US" w:eastAsia="zh-CN"/>
              </w:rPr>
              <w:t>10.75</w:t>
            </w:r>
            <w:r>
              <w:rPr>
                <w:rFonts w:ascii="仿宋_GB2312" w:hAnsi="仿宋_GB2312" w:eastAsia="仿宋_GB2312" w:cs="仿宋_GB2312"/>
                <w:bCs/>
                <w:sz w:val="28"/>
                <w:szCs w:val="28"/>
              </w:rPr>
              <w:t>万元，其中在用固定资产</w:t>
            </w:r>
            <w:r>
              <w:rPr>
                <w:rFonts w:hint="eastAsia" w:ascii="仿宋_GB2312" w:hAnsi="仿宋_GB2312" w:eastAsia="仿宋_GB2312" w:cs="仿宋_GB2312"/>
                <w:bCs/>
                <w:sz w:val="28"/>
                <w:szCs w:val="28"/>
                <w:lang w:val="en-US" w:eastAsia="zh-CN"/>
              </w:rPr>
              <w:t>10.75</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rPr>
              <w:t>。</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为认真落实中共湖南省委宣传部下发的《关于开展“欢乐潇湘·百团百角唱百年”全省文艺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团竞演活动的通知》（湘宣电[2021]10号）文件精神，在岳阳市委宣传部的精心部署下，我市认真筹划，积极推进岳阳市“欢乐潇湘•幸福岳阳•百团百角唱百年”全市文艺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团竞演活动。经过县（市区）初赛、市级初赛、决赛，已圆满落下帷幕。现将我市开展此次活动情况总结如下：</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高度重视、及时部署</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我市自接到指示精神，即出台了岳阳市“欢乐潇湘•幸福岳阳•百团百角唱百年”全市文艺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工作方案，制订了实施步骤，成立了组委会。组委会主任由市委宣传部领导担任，副主任由岳阳市文旅广电局相关领导担任，成员为各县（市区）委宣传部、县（市区）文旅广电局相关负责人。组委会办公室设市文旅广电局艺术科，由组委会办公室统一安排，具体实施此项活动。</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机构成立后，即于3月15日召开了岳阳市“欢乐潇湘•幸福岳阳•百团百角唱百年”全市文艺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团竞演活动工作部署会，组委会相关负责人就如何开展此次活动进行了部署，宣传部领导特别强调，此项活动是庆祝中国共产党成立100周年的系列活动之一，旨在进一步激发文艺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的生机活力，鼓励广大文艺工作者从党的光辉历史中汲取砥砺奋进的精神力量，创演一批群众喜闻乐见的优秀文艺节目，推出一批德艺双馨的文艺人才。要求各县市区精心组织，广泛发动以社会文艺团体参与造声势，以专业文艺团体为核心出精品，切实做到举旗帜、聚民心、兴文化、育新人、用实际行动向党的百年华诞献礼。</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上下联动、推进有序</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使此次活动开展得有声有色，我们采取由市到县、由县到乡，自上而下、上下联动的形式，实行层级推进、层层选拔的模式，既营造声势高昂的热烈氛围，又确保剧（节）目的整体水准，保证了活动的有序推进。</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过县（市区）初赛，选拔了32个节目进入市级初赛，4月22日，组委会组织专家集中对32个节目进行了评选，确定19个节目参加市级决赛。4月23日，19个节目的19名演员再次角逐，按照终审评委给出的分数，评选出了此次竞演活动的“十佳演员”，确定了6个节目推荐报送。</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增进广大群众的参予感，扩大活动的影响力，在决赛阶段对此次比赛进行了全程直播，整个决赛活动有33.86万人观看了此次比赛，我市各大网站、媒体均发布了“欢乐潇湘•幸福岳阳•百团百角唱百年”全市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团竞演活动系列报道。</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参予广泛、种类丰富</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按照上下联动的模式，通过广泛发动，在县（市区）组织的竟演活动中，共有120个文艺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团、1600余名演员参与，其中民营</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占95%，生产排练节目135个，涵盖有小戏、小品、歌曲、舞蹈、诗朗诵等艺术形式，参演剧种有巴陵戏、长沙花鼓戏、岳阳花鼓戏、临湘嗡琴戏、平江花灯戏、平江丝弦等，艺术种类丰富，艺术门类齐全，新创作品紧扣建党100周年主题。讴歌时代先进人物，弘扬社会主义核心价值，表现党的光辉历史，颂扬革命先烈的新创剧（节）目10余个。如临湘选送的《算账》，以全国道德模范李国武为原型，通过他无私援助同行的善举，表达了食品安全大于天，食品经营更要算良心账这一主题；屈原区报送的《美政今朝》，是由民营剧团自己投资创作的一出小戏，通过百代词祖屈原与戏曲人物徐九经的在另一空间的聚合演唱，讴歌了在共产党领导下的好政策、好制度。平江县表演的平江丝弦《黄金十六两》是根据大革命年代“平江惨案”的烈士涂正坤之妻朱引梅按照烈士遗嘱背着黄金讨米历时十余年，最终将十六两黄金作为党费交给党组织的感人事迹而创作，反映了革命老区人民朴素忠贞的高尚情怀；湘阴县报送的《无字家书》以情景舞蹈的形式，再现了共和国第九烈士，湘阴籍红军将领陈毅安和妻子李志强的一封无字家书的感人故事，唱响了共产党员舍生忘死前赴后继的英雄壮歌。</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四</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共同发力，反响热烈</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百团百角唱百年”自筹备至竞演以来，一直广受各级领导和社会各界人士的广泛关注和一致好评。中共临湘市委常委、宣传部长李孟阳说：“本次活动是各个镇（街道）群众文化活动的一次大检阅，也是各镇（街道）形象的一次大展示。搞好这次竞演活动，对于营造庆祝建党百年浓厚氛围、增强广大干部群众文化自信、推进文化强市建设具有重要意义。”“我们坚持‘种文化’，想把文化‘种’到百姓的心坎上去。就是要让百姓唱主角，让草根当明星，给群众提供自我展示自我教育的舞台。”在平江选拔比赛直播中一位叫“绿化使者古董宠物”的网友在评论区写了这样一首打油诗：“平江憨老乡，做事从不慌。昨天握锄头，今天上舞台。排练把话听，表演可卖劲。精神实可嘉，人人把他夸。传统发扬好，人民把他表。”在“欢乐潇湘·幸福岳阳·百团百角唱百年”全市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决赛的直播中，一位名叫“阳光之心”的网友留言道：“看完后，最大最好的感觉是岳舞台（巴陵戏）后继有人了，祝贺祝贺祝贺！”“很多节目看后让我们仿佛又回到了那个激情燃烧弹岁月，同时也让我们来百姓感受到了共产党的伟大。”这次活动对我来说是个宝贵的学习教育的机会，通过活动激发了我们文艺工作者爱国爱党的热情，进一步坚定了我做一名有信仰、有情怀、有担当的新时代文艺工作的信心。</w:t>
            </w:r>
          </w:p>
          <w:p>
            <w:pPr>
              <w:spacing w:line="560" w:lineRule="exact"/>
              <w:ind w:firstLine="560" w:firstLineChars="200"/>
            </w:pPr>
            <w:r>
              <w:rPr>
                <w:rFonts w:hint="eastAsia" w:ascii="仿宋_GB2312" w:hAnsi="仿宋_GB2312" w:eastAsia="仿宋_GB2312" w:cs="仿宋_GB2312"/>
                <w:bCs/>
                <w:sz w:val="28"/>
                <w:szCs w:val="28"/>
              </w:rPr>
              <w:t>“欢乐潇湘•幸福岳阳•百团百角唱百年”岳阳市文艺</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团竞演活动是一项意义宏远的活动，虽然我市高站位、高效率、高标准完成了这项活动的市级初赛决赛的组织，选拔、推荐，但离出精品、离省委宣传部的要求还有一定距离。在省委宣传部的具体指导下，我们将继续发力，对选拔推荐的剧（节）目进一步加工打磨，力争以优秀的成绩向党的百年华诞献礼。</w:t>
            </w:r>
          </w:p>
          <w:p>
            <w:pPr>
              <w:numPr>
                <w:ilvl w:val="0"/>
                <w:numId w:val="3"/>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1、根据局党组部署，</w:t>
            </w:r>
            <w:r>
              <w:rPr>
                <w:rFonts w:hint="eastAsia" w:ascii="仿宋_GB2312" w:hAnsi="仿宋_GB2312" w:eastAsia="仿宋_GB2312" w:cs="仿宋_GB2312"/>
                <w:bCs/>
                <w:sz w:val="28"/>
                <w:szCs w:val="28"/>
                <w:lang w:val="en-US" w:eastAsia="zh-CN"/>
              </w:rPr>
              <w:t>我所具体承办，</w:t>
            </w:r>
            <w:r>
              <w:rPr>
                <w:rFonts w:hint="eastAsia" w:ascii="仿宋_GB2312" w:hAnsi="仿宋_GB2312" w:eastAsia="仿宋_GB2312" w:cs="仿宋_GB2312"/>
                <w:bCs/>
                <w:sz w:val="28"/>
                <w:szCs w:val="28"/>
                <w:lang w:eastAsia="zh-CN"/>
              </w:rPr>
              <w:t>高水准完成了非遗过大年网络春晚活动。</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2、</w:t>
            </w:r>
            <w:r>
              <w:rPr>
                <w:rFonts w:hint="eastAsia" w:ascii="仿宋_GB2312" w:hAnsi="仿宋_GB2312" w:eastAsia="仿宋_GB2312" w:cs="仿宋_GB2312"/>
                <w:bCs/>
                <w:sz w:val="28"/>
                <w:szCs w:val="28"/>
                <w:lang w:val="en-US" w:eastAsia="zh-CN"/>
              </w:rPr>
              <w:t>积极鼓励开展创作，</w:t>
            </w:r>
            <w:r>
              <w:rPr>
                <w:rFonts w:hint="eastAsia" w:ascii="仿宋_GB2312" w:hAnsi="仿宋_GB2312" w:eastAsia="仿宋_GB2312" w:cs="仿宋_GB2312"/>
                <w:bCs/>
                <w:sz w:val="28"/>
                <w:szCs w:val="28"/>
                <w:lang w:eastAsia="zh-CN"/>
              </w:rPr>
              <w:t>已创作大型戏曲剧本《徐特立》《求索》《我娘是片钥匙》、《毛主席三请小英雄》、大型木偶皮影剧《</w:t>
            </w:r>
            <w:r>
              <w:rPr>
                <w:rFonts w:hint="eastAsia" w:ascii="仿宋_GB2312" w:hAnsi="仿宋_GB2312" w:eastAsia="仿宋_GB2312" w:cs="仿宋_GB2312"/>
                <w:bCs/>
                <w:sz w:val="28"/>
                <w:szCs w:val="28"/>
                <w:lang w:val="en-US" w:eastAsia="zh-CN"/>
              </w:rPr>
              <w:t>钢铁小战士</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小品剧《未来的模样》、《走边》，小型戏剧剧本</w:t>
            </w:r>
            <w:r>
              <w:rPr>
                <w:rFonts w:hint="eastAsia" w:ascii="仿宋_GB2312" w:hAnsi="仿宋_GB2312" w:eastAsia="仿宋_GB2312" w:cs="仿宋_GB2312"/>
                <w:bCs/>
                <w:sz w:val="28"/>
                <w:szCs w:val="28"/>
                <w:lang w:eastAsia="zh-CN"/>
              </w:rPr>
              <w:t>《抢专干》、《一条新床单》、《装疯救父》等</w:t>
            </w:r>
            <w:r>
              <w:rPr>
                <w:rFonts w:hint="eastAsia" w:ascii="仿宋_GB2312" w:hAnsi="仿宋_GB2312" w:eastAsia="仿宋_GB2312" w:cs="仿宋_GB2312"/>
                <w:bCs/>
                <w:sz w:val="28"/>
                <w:szCs w:val="28"/>
                <w:lang w:val="en-US" w:eastAsia="zh-CN"/>
              </w:rPr>
              <w:t>共9个。</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3、精心组织完成了“欢乐潇湘·幸福岳阳·百团百角唱百年”庆祝中国共产党成立100周年展演活动</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4、组织岳阳老人，开启《巴陵话研究》，已收录巴陵话词条余个，论文十余篇</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5、积极推进市直机关职工住宅“三供一业”分离改革工作各项工作已基本完成</w:t>
            </w:r>
          </w:p>
          <w:p>
            <w:pPr>
              <w:spacing w:line="560" w:lineRule="exact"/>
              <w:ind w:firstLine="560" w:firstLineChars="200"/>
            </w:pPr>
            <w:r>
              <w:rPr>
                <w:rFonts w:hint="eastAsia" w:ascii="仿宋_GB2312" w:hAnsi="仿宋_GB2312" w:eastAsia="仿宋_GB2312" w:cs="仿宋_GB2312"/>
                <w:bCs/>
                <w:sz w:val="28"/>
                <w:szCs w:val="28"/>
                <w:lang w:val="en-US" w:eastAsia="zh-CN"/>
              </w:rPr>
              <w:t>6、组织岳阳老人，开启了《巴陵话研究》，已收录巴陵话词条千余个，论文十余篇。</w:t>
            </w:r>
          </w:p>
          <w:p>
            <w:pPr>
              <w:spacing w:line="560" w:lineRule="exact"/>
              <w:ind w:firstLine="560" w:firstLineChars="200"/>
              <w:rPr>
                <w:rFonts w:hint="eastAsia" w:ascii="黑体" w:hAnsi="黑体" w:eastAsia="黑体" w:cs="黑体"/>
                <w:bCs/>
                <w:sz w:val="28"/>
                <w:szCs w:val="28"/>
                <w:highlight w:val="none"/>
              </w:rPr>
            </w:pPr>
            <w:r>
              <w:rPr>
                <w:rFonts w:hint="eastAsia" w:ascii="黑体" w:hAnsi="黑体" w:eastAsia="黑体" w:cs="黑体"/>
                <w:bCs/>
                <w:sz w:val="28"/>
                <w:szCs w:val="28"/>
                <w:highlight w:val="none"/>
              </w:rPr>
              <w:t>五、存在的主要问题</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预算编制与实际支出项目存在差异，预算编制有待更严格的执行。今后工作中，按照预算规定的项目和用途严格财务审计，经费支出严格按预算规定项目的财务支出内容进行财务预算，在预算金额内严控费用支出。推动建立过紧日子的长效机制。推进预算一体化系统建设，使预算管理水平更上台阶。</w:t>
            </w:r>
          </w:p>
          <w:p>
            <w:pPr>
              <w:numPr>
                <w:ilvl w:val="0"/>
                <w:numId w:val="0"/>
              </w:numPr>
              <w:spacing w:line="560" w:lineRule="exact"/>
              <w:ind w:leftChars="200"/>
              <w:rPr>
                <w:rFonts w:hint="eastAsia" w:ascii="黑体" w:hAnsi="黑体" w:eastAsia="黑体" w:cs="黑体"/>
                <w:bCs/>
                <w:sz w:val="28"/>
                <w:szCs w:val="28"/>
                <w:highlight w:val="none"/>
              </w:rPr>
            </w:pPr>
            <w:r>
              <w:rPr>
                <w:rFonts w:hint="eastAsia" w:ascii="黑体" w:hAnsi="黑体" w:eastAsia="黑体" w:cs="黑体"/>
                <w:bCs/>
                <w:sz w:val="28"/>
                <w:szCs w:val="28"/>
                <w:highlight w:val="none"/>
                <w:lang w:val="en-US" w:eastAsia="zh-CN"/>
              </w:rPr>
              <w:t>六、</w:t>
            </w:r>
            <w:r>
              <w:rPr>
                <w:rFonts w:hint="eastAsia" w:ascii="黑体" w:hAnsi="黑体" w:eastAsia="黑体" w:cs="黑体"/>
                <w:bCs/>
                <w:sz w:val="28"/>
                <w:szCs w:val="28"/>
                <w:highlight w:val="none"/>
              </w:rPr>
              <w:t>改进措施和有关建议</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加强绩效目标管理和审核，将绩效目标设置作为预算安排的前置条件。加强对各预算单位的培训指导，提高业务人员分析、提取、细化、量化绩效指标的能力，提高绩效目标编报质量，形成项目实施、项目监控、项目结果评价的依据。</w:t>
            </w:r>
          </w:p>
          <w:p>
            <w:pPr>
              <w:pStyle w:val="2"/>
              <w:numPr>
                <w:ilvl w:val="0"/>
                <w:numId w:val="0"/>
              </w:numPr>
              <w:ind w:leftChars="200"/>
              <w:rPr>
                <w:rFonts w:hint="eastAsia"/>
              </w:rPr>
            </w:pPr>
          </w:p>
          <w:p>
            <w:pPr>
              <w:pStyle w:val="2"/>
              <w:numPr>
                <w:ilvl w:val="0"/>
                <w:numId w:val="0"/>
              </w:numPr>
              <w:ind w:leftChars="200"/>
            </w:pPr>
          </w:p>
          <w:p>
            <w:pPr>
              <w:spacing w:line="380" w:lineRule="exact"/>
              <w:ind w:firstLine="560" w:firstLineChars="200"/>
              <w:rPr>
                <w:rFonts w:eastAsia="楷体_GB2312"/>
                <w:bCs/>
                <w:sz w:val="28"/>
                <w:szCs w:val="28"/>
              </w:rPr>
            </w:pPr>
          </w:p>
        </w:tc>
      </w:tr>
    </w:tbl>
    <w:p/>
    <w:p/>
    <w:p>
      <w:pPr>
        <w:spacing w:line="500"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t>岳阳市文学艺术研究所</w:t>
      </w:r>
    </w:p>
    <w:p>
      <w:pPr>
        <w:spacing w:line="500" w:lineRule="exact"/>
        <w:jc w:val="center"/>
        <w:rPr>
          <w:rFonts w:ascii="仿宋" w:hAnsi="仿宋" w:eastAsia="仿宋" w:cs="仿宋"/>
          <w:color w:val="000000" w:themeColor="text1"/>
          <w:kern w:val="0"/>
          <w:sz w:val="32"/>
          <w:szCs w:val="32"/>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部门整体支出绩效评价自评表</w:t>
      </w:r>
    </w:p>
    <w:tbl>
      <w:tblPr>
        <w:tblStyle w:val="6"/>
        <w:tblpPr w:leftFromText="180" w:rightFromText="180" w:vertAnchor="text" w:horzAnchor="page" w:tblpXSpec="center" w:tblpY="591"/>
        <w:tblOverlap w:val="never"/>
        <w:tblW w:w="10200" w:type="dxa"/>
        <w:jc w:val="center"/>
        <w:tblLayout w:type="fixed"/>
        <w:tblCellMar>
          <w:top w:w="0" w:type="dxa"/>
          <w:left w:w="108" w:type="dxa"/>
          <w:bottom w:w="0" w:type="dxa"/>
          <w:right w:w="108" w:type="dxa"/>
        </w:tblCellMar>
      </w:tblPr>
      <w:tblGrid>
        <w:gridCol w:w="1200"/>
        <w:gridCol w:w="1160"/>
        <w:gridCol w:w="1520"/>
        <w:gridCol w:w="3740"/>
        <w:gridCol w:w="580"/>
        <w:gridCol w:w="700"/>
        <w:gridCol w:w="1300"/>
      </w:tblGrid>
      <w:tr>
        <w:tblPrEx>
          <w:tblCellMar>
            <w:top w:w="0" w:type="dxa"/>
            <w:left w:w="108" w:type="dxa"/>
            <w:bottom w:w="0" w:type="dxa"/>
            <w:right w:w="108" w:type="dxa"/>
          </w:tblCellMar>
        </w:tblPrEx>
        <w:trPr>
          <w:trHeight w:val="498" w:hRule="atLeast"/>
          <w:tblHeader/>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一级指标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二级指标</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三级指标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评分标准</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分值</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自评得分</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扣分原因和其他说明</w:t>
            </w:r>
          </w:p>
        </w:tc>
      </w:tr>
      <w:tr>
        <w:tblPrEx>
          <w:tblCellMar>
            <w:top w:w="0" w:type="dxa"/>
            <w:left w:w="108" w:type="dxa"/>
            <w:bottom w:w="0" w:type="dxa"/>
            <w:right w:w="108" w:type="dxa"/>
          </w:tblCellMar>
        </w:tblPrEx>
        <w:trPr>
          <w:trHeight w:val="855"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投  入</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预算配置</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财政供养人员</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以100%为标准。在职人员控制率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100%，计5分；每超过一个百分点扣0.5分，扣完为止。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变动率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“三公经费”变动率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0,计5分；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“三公经费”＞0，每超过一个百分点扣0.5分，扣完为止。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重点支出</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安排率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重点支出安排率≥90%，计5分；80%（含）-90%，计4分；70%（含）-80%，计3分；60%（含）-70%，计2分；低于60%不得分。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预算执行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预算调整率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预算调整率=0，计3分；0-10%（含），计2分；10-20%（含），计1分；20-30%（含），计0.5分；大于30%不得分。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支付进度</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春节前下达全部专项资金的50%；6月底前所有专项资金指标全部下达完。</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每出现一个专项未按进度完成资金下达扣0.5分，扣完为止。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资金结余</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无结余，3分；有结余，但不超过上年结转，2分；结余超过上年结转，不得分。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宋体" w:cs="宋体"/>
                <w:color w:val="000000" w:themeColor="text1"/>
                <w:kern w:val="0"/>
                <w:sz w:val="20"/>
                <w:lang w:eastAsia="zh-CN"/>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88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以100%为标准。三公经费控制率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100%，计6分；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每超过一个百分点扣1分，扣完为止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6</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6</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0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①已制定或具有预算资金管理办法，内部财务管理制度、会计核算制度等管理制度，1分；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②相关管理制度合法、合规、完整，1分；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③相关管理制度得到有效执行，1分。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219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资金使用</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合规性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①支出符合国家财经法规和财务管理制度规定以及有关专项资金管理办法的规定；</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②资金拨付有完整的审批程序和手续；</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③项目支出按规定经过评估论证；</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④支出符合部门预算批复的用途；</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⑤资金使用无截留、挤占、挪用、虚列支出等情况。</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以上情况每出现一例不符合要求的扣1分，扣完为止。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837" w:hRule="atLeast"/>
          <w:jc w:val="center"/>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预决算信息公开性和完善性</w:t>
            </w:r>
          </w:p>
        </w:tc>
        <w:tc>
          <w:tcPr>
            <w:tcW w:w="374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①按规定内容公开预决算信息，1分；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②按规定时限公开预决算信息，0.5分；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③基础数据信息和会计信息资料真实，0.5分；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④基础数据信息和会计信息资料完整，0.5分；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⑤基础数据信息和汇集信息资料准确，0.5分。                                            </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71" w:hRule="atLeas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政府采购执行率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政府采购执行率等于100%的，得3分；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每减少一个百分点，扣0.2分，扣完为止。</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46" w:hRule="atLeast"/>
          <w:jc w:val="center"/>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公务卡刷卡率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公务卡刷卡率达30％以上的，得3分。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每减少一个百分点，扣0.2分，扣完为止。                                            </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54" w:hRule="atLeast"/>
          <w:jc w:val="center"/>
        </w:trPr>
        <w:tc>
          <w:tcPr>
            <w:tcW w:w="12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（10分）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①已制定或具有资产管理制度，且相关资产管理制度合法、合规、完整，2分；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②相关资产管理制度得到有效执行，1分。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783"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安全性</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①资产保存完整；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②资产配置合理；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③资产处置规范； </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④资产账务管理合规，帐实相符；</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⑤资产有偿使用及处置收入及时足额上缴；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以上情况每出现一例不符合有关要求的扣1分，扣完为止。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78"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固定资产</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利用率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每低于100%一个百分点扣0.1分，扣完为止。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产  出（2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职责履行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质量指标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”三供一业”分</w:t>
            </w:r>
            <w:r>
              <w:rPr>
                <w:rFonts w:hint="eastAsia" w:ascii="仿宋_GB2312" w:hAnsi="宋体" w:cs="宋体"/>
                <w:color w:val="000000" w:themeColor="text1"/>
                <w:kern w:val="0"/>
                <w:sz w:val="20"/>
                <w:lang w:val="en-US" w:eastAsia="zh-CN"/>
                <w14:textFill>
                  <w14:solidFill>
                    <w14:schemeClr w14:val="tx1"/>
                  </w14:solidFill>
                </w14:textFill>
              </w:rPr>
              <w:t>离</w:t>
            </w:r>
            <w:r>
              <w:rPr>
                <w:rFonts w:hint="eastAsia" w:ascii="仿宋_GB2312" w:hAnsi="宋体" w:cs="宋体"/>
                <w:color w:val="000000" w:themeColor="text1"/>
                <w:kern w:val="0"/>
                <w:sz w:val="20"/>
                <w14:textFill>
                  <w14:solidFill>
                    <w14:schemeClr w14:val="tx1"/>
                  </w14:solidFill>
                </w14:textFill>
              </w:rPr>
              <w:t>工作</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ind w:firstLine="200" w:firstLineChars="100"/>
              <w:jc w:val="both"/>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完成非遗过大年网络春晚活动</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5</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5</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数量指标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积极鼓励开展创作</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616" w:hRule="atLeast"/>
          <w:jc w:val="center"/>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开启《巴陵话研究》收录巴陵话词条余个，</w:t>
            </w:r>
            <w:r>
              <w:rPr>
                <w:rFonts w:hint="eastAsia" w:ascii="仿宋_GB2312" w:hAnsi="宋体" w:cs="宋体"/>
                <w:color w:val="000000" w:themeColor="text1"/>
                <w:kern w:val="0"/>
                <w:sz w:val="20"/>
                <w:lang w:val="en-US" w:eastAsia="zh-CN"/>
                <w14:textFill>
                  <w14:solidFill>
                    <w14:schemeClr w14:val="tx1"/>
                  </w14:solidFill>
                </w14:textFill>
              </w:rPr>
              <w:t>编写论文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时效指标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目标任务完成及时率100%</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成本指标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预算成本控制≤</w:t>
            </w:r>
            <w:r>
              <w:rPr>
                <w:rFonts w:hint="eastAsia" w:ascii="仿宋_GB2312" w:hAnsi="宋体" w:cs="宋体"/>
                <w:color w:val="000000" w:themeColor="text1"/>
                <w:kern w:val="0"/>
                <w:sz w:val="20"/>
                <w:lang w:val="en-US" w:eastAsia="zh-CN"/>
                <w14:textFill>
                  <w14:solidFill>
                    <w14:schemeClr w14:val="tx1"/>
                  </w14:solidFill>
                </w14:textFill>
              </w:rPr>
              <w:t>182</w:t>
            </w:r>
            <w:r>
              <w:rPr>
                <w:rFonts w:hint="eastAsia" w:ascii="仿宋_GB2312" w:hAnsi="宋体" w:cs="宋体"/>
                <w:color w:val="000000" w:themeColor="text1"/>
                <w:kern w:val="0"/>
                <w:sz w:val="20"/>
                <w:lang w:eastAsia="zh-CN"/>
                <w14:textFill>
                  <w14:solidFill>
                    <w14:schemeClr w14:val="tx1"/>
                  </w14:solidFill>
                </w14:textFill>
              </w:rPr>
              <w:t>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7" w:hRule="atLeast"/>
          <w:jc w:val="center"/>
        </w:trPr>
        <w:tc>
          <w:tcPr>
            <w:tcW w:w="120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效  果</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0</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履职效益</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w:t>
            </w:r>
            <w:r>
              <w:rPr>
                <w:rFonts w:hint="eastAsia" w:ascii="仿宋_GB2312" w:hAnsi="宋体" w:cs="宋体"/>
                <w:color w:val="000000" w:themeColor="text1"/>
                <w:kern w:val="0"/>
                <w:sz w:val="20"/>
                <w:lang w:val="en-US" w:eastAsia="zh-CN"/>
                <w14:textFill>
                  <w14:solidFill>
                    <w14:schemeClr w14:val="tx1"/>
                  </w14:solidFill>
                </w14:textFill>
              </w:rPr>
              <w:t>20</w:t>
            </w:r>
            <w:r>
              <w:rPr>
                <w:rFonts w:hint="eastAsia" w:ascii="仿宋_GB2312" w:hAnsi="宋体" w:cs="宋体"/>
                <w:color w:val="000000" w:themeColor="text1"/>
                <w:kern w:val="0"/>
                <w:sz w:val="20"/>
                <w14:textFill>
                  <w14:solidFill>
                    <w14:schemeClr w14:val="tx1"/>
                  </w14:solidFill>
                </w14:textFill>
              </w:rPr>
              <w:t>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社会效益</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积极</w:t>
            </w:r>
            <w:r>
              <w:rPr>
                <w:rFonts w:hint="eastAsia" w:ascii="仿宋_GB2312" w:hAnsi="宋体" w:cs="宋体"/>
                <w:color w:val="000000" w:themeColor="text1"/>
                <w:kern w:val="0"/>
                <w:sz w:val="20"/>
                <w14:textFill>
                  <w14:solidFill>
                    <w14:schemeClr w14:val="tx1"/>
                  </w14:solidFill>
                </w14:textFill>
              </w:rPr>
              <w:t>开展创作</w:t>
            </w:r>
            <w:r>
              <w:rPr>
                <w:rFonts w:hint="eastAsia" w:ascii="仿宋_GB2312" w:hAnsi="宋体" w:cs="宋体"/>
                <w:color w:val="000000" w:themeColor="text1"/>
                <w:kern w:val="0"/>
                <w:sz w:val="20"/>
                <w:lang w:val="en-US" w:eastAsia="zh-CN"/>
                <w14:textFill>
                  <w14:solidFill>
                    <w14:schemeClr w14:val="tx1"/>
                  </w14:solidFill>
                </w14:textFill>
              </w:rPr>
              <w:t>及编辑</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r>
              <w:rPr>
                <w:rFonts w:hint="eastAsia" w:ascii="仿宋_GB2312" w:hAnsi="宋体" w:cs="宋体"/>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社会公众或服务对象满意度</w:t>
            </w:r>
          </w:p>
        </w:tc>
        <w:tc>
          <w:tcPr>
            <w:tcW w:w="374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95%（含）以上计</w:t>
            </w:r>
            <w:r>
              <w:rPr>
                <w:rFonts w:hint="eastAsia" w:ascii="仿宋_GB2312" w:hAnsi="宋体" w:cs="宋体"/>
                <w:color w:val="000000" w:themeColor="text1"/>
                <w:kern w:val="0"/>
                <w:sz w:val="20"/>
                <w:lang w:val="en-US" w:eastAsia="zh-CN"/>
                <w14:textFill>
                  <w14:solidFill>
                    <w14:schemeClr w14:val="tx1"/>
                  </w14:solidFill>
                </w14:textFill>
              </w:rPr>
              <w:t>10</w:t>
            </w:r>
            <w:r>
              <w:rPr>
                <w:rFonts w:hint="eastAsia" w:ascii="仿宋_GB2312" w:hAnsi="宋体" w:cs="宋体"/>
                <w:color w:val="000000" w:themeColor="text1"/>
                <w:kern w:val="0"/>
                <w:sz w:val="20"/>
                <w14:textFill>
                  <w14:solidFill>
                    <w14:schemeClr w14:val="tx1"/>
                  </w14:solidFill>
                </w14:textFill>
              </w:rPr>
              <w:t>分；</w:t>
            </w:r>
          </w:p>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85%（含）-95%，计</w:t>
            </w:r>
            <w:r>
              <w:rPr>
                <w:rFonts w:hint="eastAsia" w:ascii="仿宋_GB2312" w:hAnsi="宋体" w:cs="宋体"/>
                <w:color w:val="000000" w:themeColor="text1"/>
                <w:kern w:val="0"/>
                <w:sz w:val="20"/>
                <w:lang w:val="en-US" w:eastAsia="zh-CN"/>
                <w14:textFill>
                  <w14:solidFill>
                    <w14:schemeClr w14:val="tx1"/>
                  </w14:solidFill>
                </w14:textFill>
              </w:rPr>
              <w:t>8</w:t>
            </w:r>
            <w:r>
              <w:rPr>
                <w:rFonts w:hint="eastAsia" w:ascii="仿宋_GB2312" w:hAnsi="宋体" w:cs="宋体"/>
                <w:color w:val="000000" w:themeColor="text1"/>
                <w:kern w:val="0"/>
                <w:sz w:val="20"/>
                <w14:textFill>
                  <w14:solidFill>
                    <w14:schemeClr w14:val="tx1"/>
                  </w14:solidFill>
                </w14:textFill>
              </w:rPr>
              <w:t>分；</w:t>
            </w:r>
          </w:p>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75%（含）-85%，计</w:t>
            </w:r>
            <w:r>
              <w:rPr>
                <w:rFonts w:hint="eastAsia" w:ascii="仿宋_GB2312" w:hAnsi="宋体" w:cs="宋体"/>
                <w:color w:val="000000" w:themeColor="text1"/>
                <w:kern w:val="0"/>
                <w:sz w:val="20"/>
                <w:lang w:val="en-US" w:eastAsia="zh-CN"/>
                <w14:textFill>
                  <w14:solidFill>
                    <w14:schemeClr w14:val="tx1"/>
                  </w14:solidFill>
                </w14:textFill>
              </w:rPr>
              <w:t>3</w:t>
            </w:r>
            <w:r>
              <w:rPr>
                <w:rFonts w:hint="eastAsia" w:ascii="仿宋_GB2312" w:hAnsi="宋体" w:cs="宋体"/>
                <w:color w:val="000000" w:themeColor="text1"/>
                <w:kern w:val="0"/>
                <w:sz w:val="20"/>
                <w14:textFill>
                  <w14:solidFill>
                    <w14:schemeClr w14:val="tx1"/>
                  </w14:solidFill>
                </w14:textFill>
              </w:rPr>
              <w:t>分；</w:t>
            </w:r>
          </w:p>
          <w:p>
            <w:pPr>
              <w:widowControl/>
              <w:spacing w:line="240" w:lineRule="exact"/>
              <w:jc w:val="left"/>
              <w:rPr>
                <w:rFonts w:hint="eastAsia"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低于75%计0分。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default" w:ascii="黑体" w:hAnsi="黑体" w:eastAsia="黑体" w:cs="宋体"/>
                <w:color w:val="000000" w:themeColor="text1"/>
                <w:kern w:val="0"/>
                <w:sz w:val="20"/>
                <w:szCs w:val="28"/>
                <w:lang w:val="en-US" w:eastAsia="zh-CN"/>
                <w14:textFill>
                  <w14:solidFill>
                    <w14:schemeClr w14:val="tx1"/>
                  </w14:solidFill>
                </w14:textFill>
              </w:rPr>
            </w:pPr>
            <w:r>
              <w:rPr>
                <w:rFonts w:hint="eastAsia" w:ascii="黑体" w:hAnsi="黑体" w:eastAsia="黑体" w:cs="宋体"/>
                <w:color w:val="000000" w:themeColor="text1"/>
                <w:kern w:val="0"/>
                <w:sz w:val="20"/>
                <w:szCs w:val="28"/>
                <w:lang w:val="en-US" w:eastAsia="zh-CN"/>
                <w14:textFill>
                  <w14:solidFill>
                    <w14:schemeClr w14:val="tx1"/>
                  </w14:solidFill>
                </w14:textFill>
              </w:rPr>
              <w:t>10</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themeColor="text1"/>
                <w:kern w:val="0"/>
                <w:sz w:val="20"/>
                <w:szCs w:val="28"/>
                <w14:textFill>
                  <w14:solidFill>
                    <w14:schemeClr w14:val="tx1"/>
                  </w14:solidFill>
                </w14:textFill>
              </w:rPr>
            </w:pPr>
            <w:r>
              <w:rPr>
                <w:rFonts w:hint="eastAsia" w:ascii="黑体" w:hAnsi="黑体" w:eastAsia="黑体" w:cs="宋体"/>
                <w:color w:val="000000" w:themeColor="text1"/>
                <w:kern w:val="0"/>
                <w:sz w:val="20"/>
                <w:szCs w:val="28"/>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szCs w:val="28"/>
                <w14:textFill>
                  <w14:solidFill>
                    <w14:schemeClr w14:val="tx1"/>
                  </w14:solidFill>
                </w14:textFill>
              </w:rPr>
            </w:pPr>
            <w:r>
              <w:rPr>
                <w:rFonts w:hint="eastAsia" w:ascii="黑体" w:hAnsi="黑体" w:eastAsia="黑体" w:cs="宋体"/>
                <w:b/>
                <w:bCs/>
                <w:color w:val="000000" w:themeColor="text1"/>
                <w:kern w:val="0"/>
                <w:sz w:val="20"/>
                <w:szCs w:val="28"/>
                <w14:textFill>
                  <w14:solidFill>
                    <w14:schemeClr w14:val="tx1"/>
                  </w14:solidFill>
                </w14:textFill>
              </w:rPr>
              <w:t>总 分</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374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100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lang w:val="en-US" w:eastAsia="zh-CN"/>
                <w14:textFill>
                  <w14:solidFill>
                    <w14:schemeClr w14:val="tx1"/>
                  </w14:solidFill>
                </w14:textFill>
              </w:rPr>
              <w:t>100</w:t>
            </w:r>
            <w:r>
              <w:rPr>
                <w:rFonts w:hint="eastAsia" w:ascii="黑体" w:hAnsi="黑体" w:eastAsia="黑体" w:cs="宋体"/>
                <w:b/>
                <w:bCs/>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42" w:hRule="atLeast"/>
          <w:jc w:val="center"/>
        </w:trPr>
        <w:tc>
          <w:tcPr>
            <w:tcW w:w="10200" w:type="dxa"/>
            <w:gridSpan w:val="7"/>
            <w:tcBorders>
              <w:top w:val="nil"/>
              <w:left w:val="nil"/>
              <w:bottom w:val="nil"/>
              <w:right w:val="nil"/>
            </w:tcBorders>
            <w:vAlign w:val="center"/>
          </w:tcPr>
          <w:p>
            <w:pPr>
              <w:widowControl/>
              <w:spacing w:line="240" w:lineRule="exact"/>
              <w:ind w:firstLine="400" w:firstLineChars="200"/>
              <w:jc w:val="left"/>
              <w:rPr>
                <w:rFonts w:ascii="仿宋_GB2312" w:hAnsi="黑体" w:cs="宋体"/>
                <w:color w:val="000000" w:themeColor="text1"/>
                <w:kern w:val="0"/>
                <w:sz w:val="20"/>
                <w:szCs w:val="28"/>
                <w14:textFill>
                  <w14:solidFill>
                    <w14:schemeClr w14:val="tx1"/>
                  </w14:solidFill>
                </w14:textFill>
              </w:rPr>
            </w:pPr>
          </w:p>
          <w:p>
            <w:pPr>
              <w:widowControl/>
              <w:spacing w:line="240" w:lineRule="exact"/>
              <w:jc w:val="left"/>
              <w:rPr>
                <w:rFonts w:ascii="仿宋_GB2312" w:hAnsi="黑体" w:cs="宋体"/>
                <w:color w:val="000000" w:themeColor="text1"/>
                <w:kern w:val="0"/>
                <w:sz w:val="20"/>
                <w:szCs w:val="28"/>
                <w14:textFill>
                  <w14:solidFill>
                    <w14:schemeClr w14:val="tx1"/>
                  </w14:solidFill>
                </w14:textFill>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1FCE"/>
    <w:multiLevelType w:val="singleLevel"/>
    <w:tmpl w:val="24371FCE"/>
    <w:lvl w:ilvl="0" w:tentative="0">
      <w:start w:val="1"/>
      <w:numFmt w:val="decimal"/>
      <w:suff w:val="nothing"/>
      <w:lvlText w:val="%1、"/>
      <w:lvlJc w:val="left"/>
    </w:lvl>
  </w:abstractNum>
  <w:abstractNum w:abstractNumId="1">
    <w:nsid w:val="3B0FCF1A"/>
    <w:multiLevelType w:val="singleLevel"/>
    <w:tmpl w:val="3B0FCF1A"/>
    <w:lvl w:ilvl="0" w:tentative="0">
      <w:start w:val="3"/>
      <w:numFmt w:val="chineseCounting"/>
      <w:suff w:val="nothing"/>
      <w:lvlText w:val="%1、"/>
      <w:lvlJc w:val="left"/>
      <w:rPr>
        <w:rFonts w:hint="eastAsia"/>
      </w:rPr>
    </w:lvl>
  </w:abstractNum>
  <w:abstractNum w:abstractNumId="2">
    <w:nsid w:val="58EEF73E"/>
    <w:multiLevelType w:val="singleLevel"/>
    <w:tmpl w:val="58EEF73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B17EA"/>
    <w:rsid w:val="06A16B53"/>
    <w:rsid w:val="09DE590F"/>
    <w:rsid w:val="0BE444F9"/>
    <w:rsid w:val="188A351D"/>
    <w:rsid w:val="1F883824"/>
    <w:rsid w:val="20C16382"/>
    <w:rsid w:val="2E410AEE"/>
    <w:rsid w:val="2ECE1785"/>
    <w:rsid w:val="316F6D7F"/>
    <w:rsid w:val="43072036"/>
    <w:rsid w:val="483B17EA"/>
    <w:rsid w:val="4E264125"/>
    <w:rsid w:val="64B16232"/>
    <w:rsid w:val="65166B35"/>
    <w:rsid w:val="65850E6F"/>
    <w:rsid w:val="715901E9"/>
    <w:rsid w:val="7238581C"/>
    <w:rsid w:val="77B77B42"/>
    <w:rsid w:val="7E10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2022-06-15T08:53:00Z</dcterms:created>
  <dc:creator>Moonn~</dc:creator>
  <cp:lastModifiedBy>Moonn~</cp:lastModifiedBy>
  <dcterms:modified xsi:type="dcterms:W3CDTF">2022-06-21T07:37:08Z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