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2-2</w:t>
      </w:r>
    </w:p>
    <w:p>
      <w:pPr>
        <w:spacing w:line="348" w:lineRule="auto"/>
        <w:rPr>
          <w:rFonts w:eastAsia="黑体"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评价类型：项目实施过程评价□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项目完成结果评价</w:t>
      </w:r>
      <w:r>
        <w:rPr>
          <w:rFonts w:hint="eastAsia" w:ascii="仿宋_GB2312" w:eastAsia="仿宋_GB2312" w:cs="仿宋_GB2312"/>
          <w:sz w:val="32"/>
          <w:szCs w:val="32"/>
        </w:rPr>
        <w:t>√</w:t>
      </w:r>
      <w:r>
        <w:rPr>
          <w:rFonts w:hint="eastAsia" w:eastAsia="仿宋_GB2312" w:cs="仿宋_GB2312"/>
          <w:sz w:val="32"/>
          <w:szCs w:val="32"/>
        </w:rPr>
        <w:t>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>202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u w:val="single"/>
        </w:rPr>
        <w:t>年</w:t>
      </w:r>
      <w:r>
        <w:rPr>
          <w:rFonts w:hint="eastAsia" w:eastAsia="仿宋_GB2312" w:cs="仿宋_GB2312"/>
          <w:sz w:val="32"/>
          <w:szCs w:val="32"/>
          <w:u w:val="single"/>
          <w:lang w:eastAsia="zh-CN"/>
        </w:rPr>
        <w:t>高雅艺术惠民演出</w:t>
      </w:r>
      <w:r>
        <w:rPr>
          <w:rFonts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项目单位：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 w:cs="仿宋_GB2312"/>
          <w:sz w:val="32"/>
          <w:szCs w:val="32"/>
          <w:u w:val="single"/>
        </w:rPr>
        <w:t>岳阳</w:t>
      </w:r>
      <w:r>
        <w:rPr>
          <w:rFonts w:hint="eastAsia" w:eastAsia="仿宋_GB2312" w:cs="仿宋_GB2312"/>
          <w:sz w:val="32"/>
          <w:szCs w:val="32"/>
          <w:u w:val="single"/>
          <w:lang w:eastAsia="zh-CN"/>
        </w:rPr>
        <w:t>文化艺术会展中心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主管部门：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eastAsia="zh-CN"/>
        </w:rPr>
        <w:t>文化旅游广播电视局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评价方式：</w:t>
      </w:r>
      <w:r>
        <w:rPr>
          <w:rFonts w:hint="eastAsia" w:eastAsia="仿宋_GB2312" w:cs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32"/>
          <w:szCs w:val="32"/>
        </w:rPr>
        <w:t>评价机构：</w:t>
      </w:r>
      <w:r>
        <w:rPr>
          <w:rFonts w:hint="eastAsia" w:eastAsia="仿宋_GB2312" w:cs="仿宋_GB2312"/>
          <w:sz w:val="28"/>
          <w:szCs w:val="28"/>
        </w:rPr>
        <w:t>部门（单位）评价组</w:t>
      </w:r>
      <w:r>
        <w:rPr>
          <w:rFonts w:eastAsia="仿宋_GB2312"/>
          <w:sz w:val="28"/>
          <w:szCs w:val="28"/>
        </w:rPr>
        <w:t xml:space="preserve">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报告日期：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  <w:szCs w:val="32"/>
        </w:rPr>
      </w:pPr>
    </w:p>
    <w:p>
      <w:pPr>
        <w:spacing w:line="100" w:lineRule="exact"/>
        <w:jc w:val="center"/>
        <w:rPr>
          <w:rFonts w:eastAsia="仿宋_GB2312"/>
          <w:sz w:val="32"/>
          <w:szCs w:val="32"/>
        </w:rPr>
      </w:pPr>
    </w:p>
    <w:p>
      <w:pPr>
        <w:spacing w:line="100" w:lineRule="exact"/>
        <w:jc w:val="center"/>
        <w:rPr>
          <w:rFonts w:eastAsia="仿宋_GB2312"/>
          <w:sz w:val="32"/>
          <w:szCs w:val="32"/>
        </w:rPr>
      </w:pPr>
    </w:p>
    <w:tbl>
      <w:tblPr>
        <w:tblStyle w:val="4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18"/>
        <w:gridCol w:w="1560"/>
        <w:gridCol w:w="240"/>
        <w:gridCol w:w="527"/>
        <w:gridCol w:w="193"/>
        <w:gridCol w:w="768"/>
        <w:gridCol w:w="579"/>
        <w:gridCol w:w="314"/>
        <w:gridCol w:w="770"/>
        <w:gridCol w:w="1545"/>
        <w:gridCol w:w="8"/>
        <w:gridCol w:w="100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61" w:hRule="atLeas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一、项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目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基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本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概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何捷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646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13907300350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岳阳文化艺术会展中心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3646" w:type="dxa"/>
            <w:gridSpan w:val="5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项目起止时间</w:t>
            </w:r>
          </w:p>
        </w:tc>
        <w:tc>
          <w:tcPr>
            <w:tcW w:w="8233" w:type="dxa"/>
            <w:gridSpan w:val="13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1 </w:t>
            </w:r>
            <w:r>
              <w:rPr>
                <w:rFonts w:hint="eastAsia" w:eastAsia="仿宋_GB2312" w:cs="仿宋_GB2312"/>
                <w:sz w:val="24"/>
                <w:szCs w:val="24"/>
              </w:rPr>
              <w:t>月起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至</w:t>
            </w:r>
            <w:r>
              <w:rPr>
                <w:rFonts w:eastAsia="仿宋_GB2312"/>
                <w:sz w:val="24"/>
                <w:szCs w:val="24"/>
              </w:rPr>
              <w:t xml:space="preserve"> 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12 </w:t>
            </w:r>
            <w:r>
              <w:rPr>
                <w:rFonts w:hint="eastAsia" w:eastAsia="仿宋_GB2312" w:cs="仿宋_GB2312"/>
                <w:sz w:val="24"/>
                <w:szCs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77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</w:t>
            </w:r>
          </w:p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县市区财政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县市区财政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8" w:hRule="atLeas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支出内容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实际支出数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会计凭证号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高雅艺术演出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支出合计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  <w:lang w:val="en-US" w:eastAsia="zh-CN"/>
              </w:rPr>
              <w:t>141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剩下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万元的明细如下：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  <w:lang w:eastAsia="zh-CN"/>
              </w:rPr>
              <w:t>支付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  <w:lang w:val="en-US" w:eastAsia="zh-CN"/>
              </w:rPr>
              <w:t>2021年洽谈的高雅艺术演出费用及各项支出。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1" w:hRule="exac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09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预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期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目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26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090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确保我市生活必需品市场供应充足、价格稳定。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09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指标内容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指标（目标）值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项目产出指标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演出场次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高雅艺术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高雅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21年全年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成本指标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演出支出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180万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全年演出项目开支小于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项目效益指标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降低票价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39元</w:t>
            </w:r>
          </w:p>
        </w:tc>
        <w:tc>
          <w:tcPr>
            <w:tcW w:w="3332" w:type="dxa"/>
            <w:gridSpan w:val="4"/>
            <w:vMerge w:val="restart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最低票价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39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元，让群众看得起戏，最大限度发挥社会效益。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70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文化惠民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tabs>
                <w:tab w:val="left" w:pos="301"/>
              </w:tabs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免费增票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演出上座率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75%，让高雅艺术惠及广大市民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市民综合素质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市民综合素质得到提升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服务对象满意度指标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观众、市民满意度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观众满意度力争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绩效自评综合得分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100</w:t>
            </w:r>
            <w:r>
              <w:rPr>
                <w:rFonts w:hint="eastAsia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评价等次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35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何捷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岳阳文化艺术会展中心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8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评价组组长（签字）：</w:t>
            </w:r>
            <w:r>
              <w:rPr>
                <w:rFonts w:eastAsia="仿宋_GB2312"/>
                <w:sz w:val="24"/>
                <w:szCs w:val="24"/>
              </w:rPr>
              <w:t xml:space="preserve">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项目单位负责人（签章）：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主管部门负责人（签章）：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填报人（签名）：</w:t>
      </w:r>
      <w:r>
        <w:rPr>
          <w:rFonts w:eastAsia="仿宋_GB2312"/>
          <w:sz w:val="28"/>
          <w:szCs w:val="28"/>
        </w:rPr>
        <w:t xml:space="preserve">                          </w:t>
      </w:r>
      <w:r>
        <w:rPr>
          <w:rFonts w:hint="eastAsia" w:eastAsia="仿宋_GB2312" w:cs="仿宋_GB2312"/>
          <w:sz w:val="28"/>
          <w:szCs w:val="28"/>
        </w:rPr>
        <w:t>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全年完成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eastAsia="仿宋_GB2312"/>
                <w:sz w:val="30"/>
                <w:szCs w:val="30"/>
              </w:rPr>
              <w:t>场高雅艺术惠民演出项目，涵盖音乐会、话剧、魔术、戏剧、歌舞、室内乐、交响乐等多个高雅艺术门类。降低票价，让更多市民能够看得起高雅艺术演出。为打造岳阳文化艺术会展中心高雅艺术惠民演出品牌，更多高雅艺术惠民演出门票免费送给市民观看，不断提高观众素养，为广大岳阳市民提供高雅艺术演出学习、欣赏平台，提升城市品位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（二）项目资金使用及综合评价结论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为进一步规范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eastAsia="仿宋_GB2312" w:cs="仿宋_GB2312"/>
                <w:sz w:val="30"/>
                <w:szCs w:val="30"/>
              </w:rPr>
              <w:t>资金管理，强化绩效和责任意识，切实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做到专款专用。</w:t>
            </w:r>
            <w:r>
              <w:rPr>
                <w:rFonts w:hint="eastAsia" w:eastAsia="仿宋_GB2312" w:cs="仿宋_GB2312"/>
                <w:sz w:val="30"/>
                <w:szCs w:val="30"/>
              </w:rPr>
              <w:t>严格按照程序进行，即单位申报、市商务粮食局初审、市财政局复审、财政集中支付。自评结果表明，我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eastAsia="仿宋_GB2312" w:cs="仿宋_GB2312"/>
                <w:sz w:val="30"/>
                <w:szCs w:val="30"/>
              </w:rPr>
              <w:t>对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eastAsia="仿宋_GB2312" w:cs="仿宋_GB2312"/>
                <w:sz w:val="30"/>
                <w:szCs w:val="30"/>
              </w:rPr>
              <w:t>资金使用规范、管理有序、监管有力、效果明显。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（三）项目主要绩效情况分析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eastAsia="仿宋_GB2312"/>
                <w:sz w:val="30"/>
                <w:szCs w:val="30"/>
              </w:rPr>
              <w:t xml:space="preserve"> 1</w:t>
            </w:r>
            <w:r>
              <w:rPr>
                <w:rFonts w:hint="eastAsia" w:eastAsia="仿宋_GB2312" w:cs="仿宋_GB2312"/>
                <w:sz w:val="30"/>
                <w:szCs w:val="30"/>
              </w:rPr>
              <w:t>、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项目完成情况。我中心专项资金支出按标准及时支付，支付依据合规合法，主要目的提升全区群众的文化素养，丰富群众文化生活。</w:t>
            </w:r>
          </w:p>
          <w:p>
            <w:pPr>
              <w:spacing w:line="560" w:lineRule="exact"/>
              <w:ind w:firstLine="600" w:firstLineChars="200"/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2、项目效益情况。我中心演出项目提高了群众参与文化演出的积极性。为社区及群众提供更优质的演出和服务，繁荣我去文化艺术工作，并且每年度开展群众满意度调查，都获得了较高评价。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（四）主要经验及做法、存在问题和建议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目前，新冠疫情并没有结束，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导致演出活动不得不大幅的减少，在今后的工作中。一定要更加完善剧院管理运行，提高干部职工的凝聚力，统一思想，，努力实现“渠道，内容，营销，艺术教育”四位一体的工作模式。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spacing w:beforeLines="5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4-7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3-6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)/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lhMzFkNzA2NzFlYTlmN2JlZTQ2NGZjYTFjNzUifQ=="/>
  </w:docVars>
  <w:rsids>
    <w:rsidRoot w:val="3ACB6F92"/>
    <w:rsid w:val="04434CB8"/>
    <w:rsid w:val="0DC21143"/>
    <w:rsid w:val="2A7521CF"/>
    <w:rsid w:val="3ACB6F92"/>
    <w:rsid w:val="5BB91963"/>
    <w:rsid w:val="61B757A7"/>
    <w:rsid w:val="6595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3039</Words>
  <Characters>3172</Characters>
  <Lines>0</Lines>
  <Paragraphs>0</Paragraphs>
  <TotalTime>8</TotalTime>
  <ScaleCrop>false</ScaleCrop>
  <LinksUpToDate>false</LinksUpToDate>
  <CharactersWithSpaces>3778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2022-06-10T06:34:00Z</dcterms:created>
  <dc:creator>妍</dc:creator>
  <cp:lastModifiedBy>妍</cp:lastModifiedBy>
  <cp:lastPrinted>2022-06-21T08:33:21Z</cp:lastPrinted>
  <dcterms:modified xsi:type="dcterms:W3CDTF">2022-06-21T08:34:22Z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A05F81D10142453989EFCDB9FD4F0AF5</vt:lpwstr>
  </property>
</Properties>
</file>