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lang w:eastAsia="zh-CN"/>
        </w:rPr>
      </w:pPr>
      <w:r>
        <w:rPr>
          <w:rFonts w:hint="eastAsia"/>
          <w:sz w:val="84"/>
          <w:szCs w:val="84"/>
          <w:lang w:eastAsia="zh-CN"/>
        </w:rPr>
        <w:t>岳阳市文化旅游广电局</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both"/>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岳阳市文化旅游广电局</w:t>
      </w:r>
      <w:r>
        <w:rPr>
          <w:rFonts w:hint="eastAsia"/>
          <w:b/>
          <w:sz w:val="28"/>
          <w:szCs w:val="28"/>
        </w:rPr>
        <w:t>单位概况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rPr>
        <w:t>及决算单位构成</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岳阳市文化旅游广电局</w:t>
      </w:r>
      <w:r>
        <w:rPr>
          <w:rFonts w:hint="eastAsia"/>
          <w:sz w:val="84"/>
          <w:szCs w:val="84"/>
        </w:rPr>
        <w:t>概况</w:t>
      </w: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（一）研究拟订全市文化、旅游、广播电视、网络视听节目服务管理、文物和博物馆事业的政策措施，加强广播电视阵地管理，把握正确的舆论导向和创作导向。起草文化、文物事业的地方性法规、规章草案。</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（二）统筹规划文化事业、文化产业、旅游业、广播电视业和文物事业发展，拟订发展规划并组织实施，推进文化和旅游融合发展，推进文化和旅游体制机制改革。</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（四）指导、管理文艺事业，指导艺术创作生产，扶持体现社会主义核心价值观、具有导向性代表性示范性的文艺作品，推动各门类艺术、各艺术品种发展。</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（六）指导、推进文化和旅游科技创新发展，推进文化和旅游行业信息化、标准化建设。</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（七）负责推动完善全市文物和博物馆公共文化服务体系建设，拟定文物和博物馆公共资源共享规划并推动实施。指导全市文物和博物馆的业务工作，协调博物馆间的交流与协作。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（八）负责全市非物质文化遗产保护，推动非物质文化遗产的保护、传承、普及、弘扬和振兴。</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九）统筹规划全市文化产业和旅游产业，组织实施文化和旅游资源普查、挖掘、保护和利用工作，促进文化产业和旅游产业发展。指导、协调、推动广播电视领域产业发展，制定发展规划、产业政策并组织实施。</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(十一) 指导全市文化市场综合执法，组织查处全市性、跨区域文化、文物、出版、广播电视、电影、旅游等市场的违法行为，督查督办大案要案，维护市场秩序。</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(十二) 指导、管理全市文化、旅游、广播电视和文物对外及对港澳台交流、合作和宣传、推广工作，组织大型文化和旅游对外及对港澳台交流活动，推动岳阳文化走出去。负责广播电视节目的进口、收录和管理。</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(十三) 指导电视剧行业发展和电视剧创作生产。监督管理、审查广播电视节目、网络视听节目的内容和质量。指导、监管广播电视广告播放。</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(十四) 指导、协调广播电视全市性重大宣传活动，指导实施广播电视节目评价工作。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(十五) 负责推进广播电视与新媒体新技术新业态融合发展，推进广电网与电信网、互联网三网融合。</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(十六) 组织制定广播电视科技发展规划、政策并组织实施和监督检查。负责对广播电视节目传输覆盖、监测和安全播出进行监管，指导、推进国家应急广播体系建设。指导、协调广播电视系统安全和保卫工作。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(十七) 指导文化、旅游、广播电视、网络视听、文物等行业人才队伍建设。</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(十八) 协调指导全市文物和博物馆安全防范工作。履行文物行政执法督察和文物安全督察职责，配合有关部门查处文物违法的重大案件。</w:t>
      </w:r>
    </w:p>
    <w:p>
      <w:pPr>
        <w:keepNext/>
        <w:keepLines/>
        <w:shd w:val="clear" w:color="auto" w:fill="FFFFFF"/>
        <w:spacing w:beforeLines="0" w:afterLines="0"/>
        <w:ind w:firstLine="640"/>
        <w:jc w:val="left"/>
        <w:rPr>
          <w:rFonts w:asciiTheme="minorEastAsia" w:hAnsiTheme="minorEastAsia"/>
          <w:i/>
          <w:iCs/>
          <w:sz w:val="32"/>
          <w:szCs w:val="32"/>
        </w:rPr>
      </w:pPr>
      <w:r>
        <w:rPr>
          <w:rFonts w:hint="eastAsia" w:asciiTheme="minorEastAsia" w:hAnsiTheme="minorEastAsia"/>
          <w:sz w:val="32"/>
          <w:szCs w:val="32"/>
        </w:rPr>
        <w:t>(十九)  承办市委、市政府交办的其他任务。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岳阳市文化旅游广电局</w:t>
      </w:r>
      <w:r>
        <w:rPr>
          <w:rFonts w:hint="eastAsia" w:asciiTheme="minorEastAsia" w:hAnsiTheme="minorEastAsia"/>
          <w:bCs/>
          <w:kern w:val="0"/>
          <w:sz w:val="32"/>
          <w:szCs w:val="32"/>
        </w:rPr>
        <w:t>内设机构包括：办公室、政策法规科、艺术科、 公共服务科、 科技教育科、 非物质文化遗产科、 产业发展科、 资源开发与全域旅游推进科（红色旅游指导科）、 市场管理科（加挂行政审批科）、综合执法监督科、推广传播和交流合作科、 文物科、博物馆科、 传媒机构管理科、宣传和播出管理科、人事科、 财务科。</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机关党委（纪委）。负责机关和直属单位的党群、纪检工作。</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离退休人员管理服务科。负责离退休人员管理服务工作。</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r>
        <w:rPr>
          <w:rFonts w:hint="eastAsia" w:asciiTheme="minorEastAsia" w:hAnsiTheme="minorEastAsia"/>
          <w:bCs/>
          <w:kern w:val="0"/>
          <w:sz w:val="32"/>
          <w:szCs w:val="32"/>
          <w:lang w:eastAsia="zh-CN"/>
        </w:rPr>
        <w:t>岳阳市文化旅游广电局</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1、岳阳市文化旅游广电局本级</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2、岳阳文化艺术会展中心</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3、岳阳市博物馆</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4、岳阳市图书馆</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5、岳阳市巴陵戏传承院</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6、岳阳市文学艺术研究所</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7、岳阳市群众艺术馆</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8、岳阳市美术馆</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highlight w:val="none"/>
          <w:lang w:eastAsia="zh-CN"/>
        </w:rPr>
      </w:pPr>
      <w:r>
        <w:rPr>
          <w:rFonts w:hint="eastAsia" w:eastAsia="仿宋_GB2312" w:cs="仿宋_GB2312"/>
          <w:kern w:val="0"/>
          <w:sz w:val="32"/>
          <w:szCs w:val="32"/>
          <w:lang w:eastAsia="zh-CN"/>
        </w:rPr>
        <w:t>9、岳</w:t>
      </w:r>
      <w:r>
        <w:rPr>
          <w:rFonts w:hint="eastAsia" w:eastAsia="仿宋_GB2312" w:cs="仿宋_GB2312"/>
          <w:kern w:val="0"/>
          <w:sz w:val="32"/>
          <w:szCs w:val="32"/>
          <w:highlight w:val="none"/>
          <w:lang w:eastAsia="zh-CN"/>
        </w:rPr>
        <w:t>阳市城区文物保护中心</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eastAsia="仿宋_GB2312" w:cs="仿宋_GB2312"/>
          <w:kern w:val="0"/>
          <w:sz w:val="32"/>
          <w:szCs w:val="32"/>
          <w:highlight w:val="none"/>
          <w:lang w:val="en-US" w:eastAsia="zh-CN"/>
        </w:rPr>
      </w:pPr>
      <w:r>
        <w:rPr>
          <w:rFonts w:hint="eastAsia" w:eastAsia="仿宋_GB2312" w:cs="仿宋_GB2312"/>
          <w:kern w:val="0"/>
          <w:sz w:val="32"/>
          <w:szCs w:val="32"/>
          <w:highlight w:val="none"/>
          <w:lang w:val="en-US" w:eastAsia="zh-CN"/>
        </w:rPr>
        <w:t>10、</w:t>
      </w:r>
      <w:r>
        <w:rPr>
          <w:rFonts w:hint="eastAsia" w:eastAsia="仿宋_GB2312" w:cs="仿宋_GB2312"/>
          <w:kern w:val="0"/>
          <w:sz w:val="32"/>
          <w:szCs w:val="32"/>
          <w:highlight w:val="none"/>
          <w:lang w:eastAsia="zh-CN"/>
        </w:rPr>
        <w:t>岳阳市岳阳楼文物保护中心</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eastAsia="zh-CN"/>
        </w:rPr>
        <w:t>1</w:t>
      </w:r>
      <w:r>
        <w:rPr>
          <w:rFonts w:hint="eastAsia" w:eastAsia="仿宋_GB2312" w:cs="仿宋_GB2312"/>
          <w:kern w:val="0"/>
          <w:sz w:val="32"/>
          <w:szCs w:val="32"/>
          <w:lang w:val="en-US" w:eastAsia="zh-CN"/>
        </w:rPr>
        <w:t>1</w:t>
      </w:r>
      <w:r>
        <w:rPr>
          <w:rFonts w:hint="eastAsia" w:eastAsia="仿宋_GB2312" w:cs="仿宋_GB2312"/>
          <w:kern w:val="0"/>
          <w:sz w:val="32"/>
          <w:szCs w:val="32"/>
          <w:lang w:eastAsia="zh-CN"/>
        </w:rPr>
        <w:t>、文化市场综合执法局</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eastAsia="仿宋_GB2312" w:cs="仿宋_GB2312"/>
          <w:kern w:val="0"/>
          <w:sz w:val="32"/>
          <w:szCs w:val="32"/>
          <w:lang w:val="en-US" w:eastAsia="zh-CN"/>
        </w:rPr>
      </w:pPr>
      <w:r>
        <w:rPr>
          <w:rFonts w:hint="eastAsia" w:eastAsia="仿宋_GB2312" w:cs="仿宋_GB2312"/>
          <w:kern w:val="0"/>
          <w:sz w:val="32"/>
          <w:szCs w:val="32"/>
          <w:lang w:val="en-US" w:eastAsia="zh-CN"/>
        </w:rPr>
        <w:t>12、君山岛文物管理所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7"/>
        <w:gridCol w:w="811"/>
        <w:gridCol w:w="1490"/>
        <w:gridCol w:w="4345"/>
        <w:gridCol w:w="811"/>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6,949.91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17,696.16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17,852.55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both"/>
        <w:rPr>
          <w:sz w:val="72"/>
          <w:szCs w:val="72"/>
        </w:rPr>
      </w:pPr>
    </w:p>
    <w:tbl>
      <w:tblPr>
        <w:tblStyle w:val="6"/>
        <w:tblW w:w="15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684"/>
        <w:gridCol w:w="1671"/>
        <w:gridCol w:w="709"/>
        <w:gridCol w:w="732"/>
        <w:gridCol w:w="729"/>
        <w:gridCol w:w="72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1552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7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9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0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8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7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07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07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07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16,312.58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9,362.67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6,949.91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其他档案事务支出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8,596.21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8,430.42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6,904.27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艺术表演场所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艺术表演团体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4,232.80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1,703.15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573.05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新闻出版电影</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其他新闻出版电影支出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both"/>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center"/>
        <w:rPr>
          <w:sz w:val="72"/>
          <w:szCs w:val="72"/>
        </w:rPr>
      </w:pPr>
    </w:p>
    <w:tbl>
      <w:tblPr>
        <w:tblStyle w:val="6"/>
        <w:tblW w:w="15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648"/>
        <w:gridCol w:w="1522"/>
        <w:gridCol w:w="1522"/>
        <w:gridCol w:w="668"/>
        <w:gridCol w:w="654"/>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1542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项目</w:t>
            </w:r>
          </w:p>
        </w:tc>
        <w:tc>
          <w:tcPr>
            <w:tcW w:w="1648" w:type="dxa"/>
            <w:vMerge w:val="restart"/>
            <w:tcBorders>
              <w:top w:val="single" w:color="000000" w:sz="4" w:space="0"/>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本年支出合计</w:t>
            </w:r>
          </w:p>
        </w:tc>
        <w:tc>
          <w:tcPr>
            <w:tcW w:w="1522" w:type="dxa"/>
            <w:vMerge w:val="restart"/>
            <w:tcBorders>
              <w:top w:val="single" w:color="000000" w:sz="4" w:space="0"/>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基本支出</w:t>
            </w:r>
          </w:p>
        </w:tc>
        <w:tc>
          <w:tcPr>
            <w:tcW w:w="1522" w:type="dxa"/>
            <w:vMerge w:val="restart"/>
            <w:tcBorders>
              <w:top w:val="single" w:color="000000" w:sz="4" w:space="0"/>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项目支出</w:t>
            </w:r>
          </w:p>
        </w:tc>
        <w:tc>
          <w:tcPr>
            <w:tcW w:w="771" w:type="dxa"/>
            <w:vMerge w:val="restart"/>
            <w:tcBorders>
              <w:top w:val="single" w:color="000000" w:sz="4" w:space="0"/>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上缴上级支出</w:t>
            </w:r>
          </w:p>
        </w:tc>
        <w:tc>
          <w:tcPr>
            <w:tcW w:w="771" w:type="dxa"/>
            <w:vMerge w:val="restart"/>
            <w:tcBorders>
              <w:top w:val="single" w:color="000000" w:sz="4" w:space="0"/>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经营支出</w:t>
            </w:r>
          </w:p>
        </w:tc>
        <w:tc>
          <w:tcPr>
            <w:tcW w:w="1750" w:type="dxa"/>
            <w:vMerge w:val="restart"/>
            <w:tcBorders>
              <w:top w:val="single" w:color="000000" w:sz="4" w:space="0"/>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174" w:type="dxa"/>
            <w:gridSpan w:val="3"/>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科目名称</w:t>
            </w:r>
          </w:p>
        </w:tc>
        <w:tc>
          <w:tcPr>
            <w:tcW w:w="1648"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522"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522"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771"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771"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75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174"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FFFFFF" w:fill="auto"/>
            <w:noWrap/>
            <w:vAlign w:val="center"/>
          </w:tcPr>
          <w:p>
            <w:pPr>
              <w:jc w:val="center"/>
              <w:rPr>
                <w:rFonts w:hint="eastAsia" w:ascii="宋体" w:hAnsi="宋体" w:eastAsia="宋体" w:cs="宋体"/>
                <w:i w:val="0"/>
                <w:iCs w:val="0"/>
                <w:color w:val="000000"/>
                <w:sz w:val="22"/>
                <w:szCs w:val="22"/>
                <w:u w:val="none"/>
                <w:shd w:val="clear" w:color="auto" w:fill="auto"/>
              </w:rPr>
            </w:pPr>
          </w:p>
        </w:tc>
        <w:tc>
          <w:tcPr>
            <w:tcW w:w="1648"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522"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522"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771"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771"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75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174" w:type="dxa"/>
            <w:gridSpan w:val="3"/>
            <w:vMerge w:val="continue"/>
            <w:tcBorders>
              <w:top w:val="nil"/>
              <w:left w:val="single" w:color="000000" w:sz="4" w:space="0"/>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FFFFFF" w:fill="auto"/>
            <w:noWrap/>
            <w:vAlign w:val="center"/>
          </w:tcPr>
          <w:p>
            <w:pPr>
              <w:jc w:val="center"/>
              <w:rPr>
                <w:rFonts w:hint="eastAsia" w:ascii="宋体" w:hAnsi="宋体" w:eastAsia="宋体" w:cs="宋体"/>
                <w:i w:val="0"/>
                <w:iCs w:val="0"/>
                <w:color w:val="000000"/>
                <w:sz w:val="22"/>
                <w:szCs w:val="22"/>
                <w:u w:val="none"/>
                <w:shd w:val="clear" w:color="auto" w:fill="auto"/>
              </w:rPr>
            </w:pPr>
          </w:p>
        </w:tc>
        <w:tc>
          <w:tcPr>
            <w:tcW w:w="1648"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522"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522"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771"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771"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c>
          <w:tcPr>
            <w:tcW w:w="1750" w:type="dxa"/>
            <w:vMerge w:val="continue"/>
            <w:tcBorders>
              <w:top w:val="single" w:color="000000" w:sz="4" w:space="0"/>
              <w:left w:val="nil"/>
              <w:bottom w:val="single" w:color="000000" w:sz="4" w:space="0"/>
              <w:right w:val="single" w:color="000000" w:sz="4" w:space="0"/>
            </w:tcBorders>
            <w:shd w:val="clear" w:color="FFFFFF" w:fill="auto"/>
            <w:vAlign w:val="center"/>
          </w:tcPr>
          <w:p>
            <w:pPr>
              <w:jc w:val="center"/>
              <w:rPr>
                <w:rFonts w:hint="eastAsia" w:ascii="宋体" w:hAnsi="宋体" w:eastAsia="宋体" w:cs="宋体"/>
                <w:i w:val="0"/>
                <w:iCs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栏次</w:t>
            </w:r>
          </w:p>
        </w:tc>
        <w:tc>
          <w:tcPr>
            <w:tcW w:w="1648"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1</w:t>
            </w:r>
          </w:p>
        </w:tc>
        <w:tc>
          <w:tcPr>
            <w:tcW w:w="1522"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2</w:t>
            </w:r>
          </w:p>
        </w:tc>
        <w:tc>
          <w:tcPr>
            <w:tcW w:w="1522"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3</w:t>
            </w:r>
          </w:p>
        </w:tc>
        <w:tc>
          <w:tcPr>
            <w:tcW w:w="771"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4</w:t>
            </w:r>
          </w:p>
        </w:tc>
        <w:tc>
          <w:tcPr>
            <w:tcW w:w="771"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5</w:t>
            </w:r>
          </w:p>
        </w:tc>
        <w:tc>
          <w:tcPr>
            <w:tcW w:w="1750" w:type="dxa"/>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17,696.17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7,949.19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shd w:val="clear" w:color="auto" w:fill="auto"/>
              </w:rPr>
            </w:pPr>
            <w:r>
              <w:rPr>
                <w:rFonts w:hint="eastAsia" w:ascii="宋体" w:hAnsi="宋体" w:eastAsia="宋体" w:cs="宋体"/>
                <w:b/>
                <w:bCs/>
                <w:i w:val="0"/>
                <w:iCs w:val="0"/>
                <w:color w:val="000000"/>
                <w:kern w:val="0"/>
                <w:sz w:val="22"/>
                <w:szCs w:val="22"/>
                <w:u w:val="none"/>
                <w:shd w:val="clear" w:color="auto" w:fill="auto"/>
                <w:lang w:val="en-US" w:eastAsia="zh-CN" w:bidi="ar"/>
              </w:rPr>
              <w:t>9,746.98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其他档案事务支出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11,818.67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4,933.71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8,842.73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3,951.15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艺术表演场所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艺术表演团体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5,770.22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2,670.19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新闻出版电影</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其他新闻出版电影支出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4,871.75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center"/>
        <w:rPr>
          <w:sz w:val="72"/>
          <w:szCs w:val="7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6"/>
        <w:tblW w:w="15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2"/>
        <w:gridCol w:w="528"/>
        <w:gridCol w:w="1462"/>
        <w:gridCol w:w="3945"/>
        <w:gridCol w:w="528"/>
        <w:gridCol w:w="1301"/>
        <w:gridCol w:w="1453"/>
        <w:gridCol w:w="789"/>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28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4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0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9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8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33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9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4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9,533.68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9,533.68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9,362.67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10,537.66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10,537.66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1,175.57</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10,538.24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10,538.24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10,538.24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5280" w:type="dxa"/>
            <w:gridSpan w:val="9"/>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280" w:type="dxa"/>
            <w:gridSpan w:val="9"/>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6"/>
        <w:tblW w:w="14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03"/>
        <w:gridCol w:w="260"/>
        <w:gridCol w:w="260"/>
        <w:gridCol w:w="5494"/>
        <w:gridCol w:w="1685"/>
        <w:gridCol w:w="1532"/>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jc w:val="center"/>
        </w:trPr>
        <w:tc>
          <w:tcPr>
            <w:tcW w:w="1478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9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82"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398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541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0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1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3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1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1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398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1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1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939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939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10,537.66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6,971.09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3,566.57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其他档案事务支出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6,027.70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4,570.29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506.72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艺术表演场所</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艺术表演团体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文化和旅游交流与合作</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文化创作与保护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2,967.54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207.81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新闻出版电影</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其他新闻出版电影支出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6"/>
        <w:tblW w:w="49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2"/>
        <w:gridCol w:w="3253"/>
        <w:gridCol w:w="1119"/>
        <w:gridCol w:w="929"/>
        <w:gridCol w:w="2342"/>
        <w:gridCol w:w="893"/>
        <w:gridCol w:w="1340"/>
        <w:gridCol w:w="2909"/>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4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44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10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8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135"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105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0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76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3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94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9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4,613.96</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1,704.42</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1,731.06</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72.91</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150.78</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53.83</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965.04</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698.37</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460.26</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63.62</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33.32</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210.53</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138.99</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51.27</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112.18</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35.19</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230.81</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60.28</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609.94</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397.91</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219.86</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63.45</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91.64</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166.28</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167.37</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198.72</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4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84.15</w:t>
            </w:r>
          </w:p>
        </w:tc>
        <w:tc>
          <w:tcPr>
            <w:tcW w:w="43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38.05</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43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5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152.06</w:t>
            </w:r>
          </w:p>
        </w:tc>
        <w:tc>
          <w:tcPr>
            <w:tcW w:w="43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00"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5,223.90</w:t>
            </w:r>
          </w:p>
        </w:tc>
        <w:tc>
          <w:tcPr>
            <w:tcW w:w="274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6"/>
        <w:tblW w:w="15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55"/>
        <w:gridCol w:w="1262"/>
        <w:gridCol w:w="988"/>
        <w:gridCol w:w="1142"/>
        <w:gridCol w:w="829"/>
        <w:gridCol w:w="1105"/>
        <w:gridCol w:w="1103"/>
        <w:gridCol w:w="1262"/>
        <w:gridCol w:w="1062"/>
        <w:gridCol w:w="717"/>
        <w:gridCol w:w="1057"/>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1534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305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305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12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959"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30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95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0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83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7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2" w:hRule="atLeast"/>
          <w:jc w:val="center"/>
        </w:trPr>
        <w:tc>
          <w:tcPr>
            <w:tcW w:w="30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75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0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30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33.98</w:t>
            </w: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4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w:t>
            </w:r>
          </w:p>
        </w:tc>
        <w:tc>
          <w:tcPr>
            <w:tcW w:w="1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25.38</w:t>
            </w: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17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53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6"/>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0"/>
        <w:gridCol w:w="300"/>
        <w:gridCol w:w="300"/>
        <w:gridCol w:w="1957"/>
        <w:gridCol w:w="1341"/>
        <w:gridCol w:w="1341"/>
        <w:gridCol w:w="1341"/>
        <w:gridCol w:w="1341"/>
        <w:gridCol w:w="1341"/>
        <w:gridCol w:w="2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536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5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63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7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3414"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7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87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说明：我单位没有政府性基金收入，也没有使用政府性基金安排的支出，故本表无数据。</w:t>
            </w:r>
          </w:p>
        </w:tc>
      </w:tr>
    </w:tbl>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p>
      <w:pPr>
        <w:jc w:val="left"/>
        <w:rPr>
          <w:rFonts w:asciiTheme="minorEastAsia" w:hAnsiTheme="minorEastAsia"/>
          <w:sz w:val="32"/>
          <w:szCs w:val="32"/>
        </w:rPr>
      </w:pPr>
    </w:p>
    <w:tbl>
      <w:tblPr>
        <w:tblStyle w:val="6"/>
        <w:tblW w:w="15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7"/>
        <w:gridCol w:w="346"/>
        <w:gridCol w:w="346"/>
        <w:gridCol w:w="3147"/>
        <w:gridCol w:w="1856"/>
        <w:gridCol w:w="1714"/>
        <w:gridCol w:w="3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1538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部门：岳阳市文化旅游广电局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69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508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60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4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9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50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0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50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0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685" w:type="dxa"/>
            <w:gridSpan w:val="4"/>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68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注：本表反映部门本年度国有资本经营预算财政拨款收入、支出及结转和结余情况。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说明：我单位没有国有资本经营收入，也没有使用国有资本经营安排的支出，故本表无数据。</w:t>
            </w:r>
          </w:p>
        </w:tc>
      </w:tr>
    </w:tbl>
    <w:p>
      <w:pPr>
        <w:jc w:val="left"/>
        <w:rPr>
          <w:rFonts w:asciiTheme="minorEastAsia" w:hAnsiTheme="minorEastAsia"/>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17,852.55</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1531.95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7.90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lang w:eastAsia="zh-CN"/>
        </w:rPr>
        <w:t>单位厉行节约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进一步压缩经费。</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2021年度收入合计16312.58万元，其中：财政拨款收入9362.67万元，占</w:t>
      </w:r>
      <w:r>
        <w:rPr>
          <w:rFonts w:hint="eastAsia" w:asciiTheme="minorEastAsia" w:hAnsiTheme="minorEastAsia" w:eastAsiaTheme="minorEastAsia"/>
          <w:sz w:val="32"/>
          <w:szCs w:val="32"/>
          <w:lang w:val="en-US" w:eastAsia="zh-CN"/>
        </w:rPr>
        <w:t>57.40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%；其他收入6949.91万元，占</w:t>
      </w:r>
      <w:r>
        <w:rPr>
          <w:rFonts w:hint="eastAsia" w:asciiTheme="minorEastAsia" w:hAnsiTheme="minorEastAsia" w:eastAsiaTheme="minorEastAsia"/>
          <w:sz w:val="32"/>
          <w:szCs w:val="32"/>
          <w:lang w:val="en-US" w:eastAsia="zh-CN"/>
        </w:rPr>
        <w:t>42.60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2021年度支出合计17696.17万元，其中：基本支出7949.19万元，占</w:t>
      </w:r>
      <w:r>
        <w:rPr>
          <w:rFonts w:hint="eastAsia" w:asciiTheme="minorEastAsia" w:hAnsiTheme="minorEastAsia" w:eastAsiaTheme="minorEastAsia"/>
          <w:sz w:val="32"/>
          <w:szCs w:val="32"/>
          <w:lang w:val="en-US" w:eastAsia="zh-CN"/>
        </w:rPr>
        <w:t>44.92</w:t>
      </w:r>
      <w:r>
        <w:rPr>
          <w:rFonts w:hint="eastAsia" w:asciiTheme="minorEastAsia" w:hAnsiTheme="minorEastAsia" w:eastAsiaTheme="minorEastAsia"/>
          <w:sz w:val="32"/>
          <w:szCs w:val="32"/>
        </w:rPr>
        <w:t>%；项目支出9746.98万元，占</w:t>
      </w:r>
      <w:r>
        <w:rPr>
          <w:rFonts w:hint="eastAsia" w:asciiTheme="minorEastAsia" w:hAnsiTheme="minorEastAsia" w:eastAsiaTheme="minorEastAsia"/>
          <w:sz w:val="32"/>
          <w:szCs w:val="32"/>
          <w:lang w:val="en-US" w:eastAsia="zh-CN"/>
        </w:rPr>
        <w:t>55.08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i/>
          <w:iCs/>
          <w:sz w:val="32"/>
          <w:szCs w:val="32"/>
          <w:lang w:eastAsia="zh-CN"/>
        </w:rPr>
      </w:pPr>
      <w:r>
        <w:rPr>
          <w:rFonts w:hint="eastAsia" w:asciiTheme="minorEastAsia" w:hAnsiTheme="minorEastAsia" w:eastAsiaTheme="minorEastAsia"/>
          <w:sz w:val="32"/>
          <w:szCs w:val="32"/>
        </w:rPr>
        <w:t xml:space="preserve"> 2021年度财政拨款收、支总计10538.24万元，与上年相比，减少</w:t>
      </w:r>
      <w:r>
        <w:rPr>
          <w:rFonts w:hint="eastAsia" w:asciiTheme="minorEastAsia" w:hAnsiTheme="minorEastAsia" w:eastAsiaTheme="minorEastAsia"/>
          <w:sz w:val="32"/>
          <w:szCs w:val="32"/>
          <w:lang w:val="en-US" w:eastAsia="zh-CN"/>
        </w:rPr>
        <w:t>6092.36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36.63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eastAsia="zh-CN"/>
        </w:rPr>
        <w:t>单位</w:t>
      </w:r>
      <w:r>
        <w:rPr>
          <w:rFonts w:hint="eastAsia" w:asciiTheme="minorEastAsia" w:hAnsiTheme="minorEastAsia" w:eastAsiaTheme="minorEastAsia"/>
          <w:sz w:val="32"/>
          <w:szCs w:val="32"/>
        </w:rPr>
        <w:t>严格执行厉行节约政策</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2021年度财政拨款支出10537.66万元，占本年支出合计的</w:t>
      </w:r>
      <w:r>
        <w:rPr>
          <w:rFonts w:hint="eastAsia" w:asciiTheme="minorEastAsia" w:hAnsiTheme="minorEastAsia" w:eastAsiaTheme="minorEastAsia"/>
          <w:sz w:val="32"/>
          <w:szCs w:val="32"/>
          <w:lang w:val="en-US" w:eastAsia="zh-CN"/>
        </w:rPr>
        <w:t>59.55</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4243.26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28.71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lang w:eastAsia="zh-CN"/>
        </w:rPr>
        <w:t>单位厉行节约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进一步压缩经费。</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2021年度财政拨款支出10537.66万元，主要用于以下方面：一般公共服务（类）支出133.45万元，占</w:t>
      </w:r>
      <w:r>
        <w:rPr>
          <w:rFonts w:hint="eastAsia" w:asciiTheme="minorEastAsia" w:hAnsiTheme="minorEastAsia" w:eastAsiaTheme="minorEastAsia"/>
          <w:sz w:val="32"/>
          <w:szCs w:val="32"/>
          <w:lang w:val="en-US" w:eastAsia="zh-CN"/>
        </w:rPr>
        <w:t>1.27</w:t>
      </w:r>
      <w:r>
        <w:rPr>
          <w:rFonts w:hint="eastAsia" w:asciiTheme="minorEastAsia" w:hAnsiTheme="minorEastAsia" w:eastAsiaTheme="minorEastAsia"/>
          <w:sz w:val="32"/>
          <w:szCs w:val="32"/>
        </w:rPr>
        <w:t>%；科学技术支出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%;文化旅游体育与传媒支出9533.67</w:t>
      </w:r>
      <w:r>
        <w:rPr>
          <w:rFonts w:hint="eastAsia" w:asciiTheme="minorEastAsia" w:hAnsiTheme="minorEastAsia" w:eastAsiaTheme="minorEastAsia"/>
          <w:sz w:val="32"/>
          <w:szCs w:val="32"/>
          <w:lang w:eastAsia="zh-CN"/>
        </w:rPr>
        <w:t>万元，占</w:t>
      </w:r>
      <w:r>
        <w:rPr>
          <w:rFonts w:hint="eastAsia" w:asciiTheme="minorEastAsia" w:hAnsiTheme="minorEastAsia" w:eastAsiaTheme="minorEastAsia"/>
          <w:sz w:val="32"/>
          <w:szCs w:val="32"/>
          <w:lang w:val="en-US" w:eastAsia="zh-CN"/>
        </w:rPr>
        <w:t>90.47%</w:t>
      </w:r>
      <w:r>
        <w:rPr>
          <w:rFonts w:hint="eastAsia" w:asciiTheme="minorEastAsia" w:hAnsiTheme="minorEastAsia" w:eastAsiaTheme="minorEastAsia"/>
          <w:sz w:val="32"/>
          <w:szCs w:val="32"/>
          <w:lang w:eastAsia="zh-CN"/>
        </w:rPr>
        <w:t>；社会保障和就业支出463.47万元，占</w:t>
      </w:r>
      <w:r>
        <w:rPr>
          <w:rFonts w:hint="eastAsia" w:asciiTheme="minorEastAsia" w:hAnsiTheme="minorEastAsia" w:eastAsiaTheme="minorEastAsia"/>
          <w:sz w:val="32"/>
          <w:szCs w:val="32"/>
          <w:lang w:val="en-US" w:eastAsia="zh-CN"/>
        </w:rPr>
        <w:t>4.40%</w:t>
      </w:r>
      <w:r>
        <w:rPr>
          <w:rFonts w:hint="eastAsia" w:asciiTheme="minorEastAsia" w:hAnsiTheme="minorEastAsia" w:eastAsiaTheme="minorEastAsia"/>
          <w:sz w:val="32"/>
          <w:szCs w:val="32"/>
          <w:lang w:eastAsia="zh-CN"/>
        </w:rPr>
        <w:t>；卫生健康支出166.56万元，占</w:t>
      </w:r>
      <w:r>
        <w:rPr>
          <w:rFonts w:hint="eastAsia" w:asciiTheme="minorEastAsia" w:hAnsiTheme="minorEastAsia" w:eastAsiaTheme="minorEastAsia"/>
          <w:sz w:val="32"/>
          <w:szCs w:val="32"/>
          <w:lang w:val="en-US" w:eastAsia="zh-CN"/>
        </w:rPr>
        <w:t>1.58%</w:t>
      </w:r>
      <w:r>
        <w:rPr>
          <w:rFonts w:hint="eastAsia" w:asciiTheme="minorEastAsia" w:hAnsiTheme="minorEastAsia" w:eastAsiaTheme="minorEastAsia"/>
          <w:sz w:val="32"/>
          <w:szCs w:val="32"/>
          <w:lang w:eastAsia="zh-CN"/>
        </w:rPr>
        <w:t>；城乡社区支出237.51万元，占</w:t>
      </w:r>
      <w:r>
        <w:rPr>
          <w:rFonts w:hint="eastAsia" w:asciiTheme="minorEastAsia" w:hAnsiTheme="minorEastAsia" w:eastAsiaTheme="minorEastAsia"/>
          <w:sz w:val="32"/>
          <w:szCs w:val="32"/>
          <w:lang w:val="en-US" w:eastAsia="zh-CN"/>
        </w:rPr>
        <w:t>2.25%。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5327.02</w:t>
      </w:r>
      <w:r>
        <w:rPr>
          <w:rFonts w:hint="eastAsia" w:asciiTheme="minorEastAsia" w:hAnsiTheme="minorEastAsia" w:eastAsiaTheme="minorEastAsia"/>
          <w:sz w:val="32"/>
          <w:szCs w:val="32"/>
        </w:rPr>
        <w:t>万元，支出决算数为10537.66万元，完成年初预算的</w:t>
      </w:r>
      <w:r>
        <w:rPr>
          <w:rFonts w:hint="eastAsia" w:asciiTheme="minorEastAsia" w:hAnsiTheme="minorEastAsia" w:eastAsiaTheme="minorEastAsia"/>
          <w:sz w:val="32"/>
          <w:szCs w:val="32"/>
          <w:lang w:val="en-US" w:eastAsia="zh-CN"/>
        </w:rPr>
        <w:t>197.82</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1、一般公共服务支出（类）档案事务（款）其他档案事务支出（项）。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万元，支出决算为45.65万元，由于预算数为0，无法计算百分比，决算数大于年初预算数的主要原因是：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2、一般公共服务支出（类）党委办公厅（室）及相关机构事务（款）  一般行政管理事务（项）。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55.60</w:t>
      </w:r>
      <w:r>
        <w:rPr>
          <w:rFonts w:hint="eastAsia" w:asciiTheme="minorEastAsia" w:hAnsiTheme="minorEastAsia" w:eastAsiaTheme="minorEastAsia"/>
          <w:sz w:val="32"/>
          <w:szCs w:val="32"/>
        </w:rPr>
        <w:t>万元，支出决算为60.6</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108.99</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、一般公共服务支出（类）宣传事务（款）其他宣传事务支出（项）。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万元，支出决算为7.2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、一般公共服务支出（类）其他一般公共服务支出（款）其他一般公共服务支出（项）。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万元，支出决算为20</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、科学技术支出（类）技术研究与开发（款）其他技术研究与开发支出（项）。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文化旅游体育与传媒支出（类）文化和旅游（款） 行政运行（项）。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万元，支出决算为592.52万元，由于预算数为0，无法计算百分比，决算数大于年初预算数的主要原因是：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一般行政管理事务</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万元，支出决算为1039.51万元，由于预算数为0，无法计算百分比，决算数大于年初预算数的主要原因是：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图书馆</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万元，支出决算为506.72万元，由于预算数为0，无法计算百分比，决算数大于年初预算数的主要原因是：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文化展示及纪念机构</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万元，支出决算为72.37万元，由于预算数为0，无法计算百分比，决算数大于年初预算数的主要原因是：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艺术表演场所</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万元，支出决算为107.9</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艺术表演团体</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万元，支出决算为37.84万元，由于预算数为0，无法计算百分比，决算数大于年初预算数的主要原因是：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文化活动</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万元，支出决算为57.09万元，由于预算数为0，无法计算百分比，决算数大于年初预算数的主要原因是：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群众文化</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万元，支出决算为131.48万元，由于预算数为0，无法计算百分比，决算数大于年初预算数的主要原因是：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文化和旅游交流与合作</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万元，支出决算为130</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文化创作与保护</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万元，支出决算为82</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 xml:space="preserve">文化旅游体育与传媒支出（类）文化和旅游（款） </w:t>
      </w:r>
      <w:r>
        <w:rPr>
          <w:rFonts w:hint="eastAsia" w:asciiTheme="minorEastAsia" w:hAnsiTheme="minorEastAsia" w:eastAsiaTheme="minorEastAsia"/>
          <w:sz w:val="32"/>
          <w:szCs w:val="32"/>
          <w:lang w:val="en-US" w:eastAsia="zh-CN"/>
        </w:rPr>
        <w:t>其他文化和旅游支出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4473.61</w:t>
      </w:r>
      <w:r>
        <w:rPr>
          <w:rFonts w:hint="eastAsia" w:asciiTheme="minorEastAsia" w:hAnsiTheme="minorEastAsia" w:eastAsiaTheme="minorEastAsia"/>
          <w:sz w:val="32"/>
          <w:szCs w:val="32"/>
        </w:rPr>
        <w:t>万元，支出决算为4394.87万元，完成年初预算的</w:t>
      </w:r>
      <w:r>
        <w:rPr>
          <w:rFonts w:hint="eastAsia" w:asciiTheme="minorEastAsia" w:hAnsiTheme="minorEastAsia" w:eastAsiaTheme="minorEastAsia"/>
          <w:sz w:val="32"/>
          <w:szCs w:val="32"/>
          <w:lang w:val="en-US" w:eastAsia="zh-CN"/>
        </w:rPr>
        <w:t>98.24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单位厉行节约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进一步压缩项目经费</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eastAsia="zh-CN"/>
        </w:rPr>
        <w:t>文物</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万元，支出决算为15</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eastAsia="zh-CN"/>
        </w:rPr>
        <w:t>文物</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文物保护</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万元，支出决算为207.81万元，由于预算数为0，无法计算百分比，决算数大于年初预算数的主要原因是：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eastAsia="zh-CN"/>
        </w:rPr>
        <w:t>文物</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博物馆</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万元，支出决算为1166.43万元，由于预算数为0，无法计算百分比，决算数大于年初预算数的主要原因是：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eastAsia="zh-CN"/>
        </w:rPr>
        <w:t>文物</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其他文物支出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万元，支出决算为368.42万元，由于预算数为0，无法计算百分比，决算数大于年初预算数的主要原因是：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eastAsia="zh-CN"/>
        </w:rPr>
        <w:t>新闻出版电影</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万元，支出决算为590.6</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eastAsia="zh-CN"/>
        </w:rPr>
        <w:t>新闻出版电影</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其他新闻出版电影支出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11.00</w:t>
      </w:r>
      <w:r>
        <w:rPr>
          <w:rFonts w:hint="eastAsia" w:asciiTheme="minorEastAsia" w:hAnsiTheme="minorEastAsia" w:eastAsiaTheme="minorEastAsia"/>
          <w:sz w:val="32"/>
          <w:szCs w:val="32"/>
        </w:rPr>
        <w:t>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eastAsia="zh-CN"/>
        </w:rPr>
        <w:t>其他文化旅游体育与传媒支出</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其他文化旅游体育与传媒支出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万元，支出决算为22.11万元，由于预算数为0，无法计算百分比，决算数大于年初预算数的主要原因是：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事业单位离退休</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万元，支出决算为15.61万元，由于预算数为0，无法计算百分比，决算数大于年初预算数的主要原因是：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340.23</w:t>
      </w:r>
      <w:r>
        <w:rPr>
          <w:rFonts w:hint="eastAsia" w:asciiTheme="minorEastAsia" w:hAnsiTheme="minorEastAsia" w:eastAsiaTheme="minorEastAsia"/>
          <w:sz w:val="32"/>
          <w:szCs w:val="32"/>
        </w:rPr>
        <w:t>万元，支出决算为357.55万元，完成年初预算的</w:t>
      </w:r>
      <w:r>
        <w:rPr>
          <w:rFonts w:hint="eastAsia" w:asciiTheme="minorEastAsia" w:hAnsiTheme="minorEastAsia" w:eastAsiaTheme="minorEastAsia"/>
          <w:sz w:val="32"/>
          <w:szCs w:val="32"/>
          <w:lang w:val="en-US" w:eastAsia="zh-CN"/>
        </w:rPr>
        <w:t>105.09</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26、</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行政事业单位养老支出</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其他行政事业单位养老支出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万元，支出决算为0.32万元，由于预算数为0，无法计算百分比，决算数大于年初预算数的主要原因是：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抚恤</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其他优抚支出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万元，支出决算为60.43万元，由于预算数为0，无法计算百分比，决算数大于年初预算数的主要原因是：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残疾人事业</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其他残疾人事业支出</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29.56</w:t>
      </w:r>
      <w:r>
        <w:rPr>
          <w:rFonts w:hint="eastAsia" w:asciiTheme="minorEastAsia" w:hAnsiTheme="minorEastAsia" w:eastAsiaTheme="minorEastAsia"/>
          <w:sz w:val="32"/>
          <w:szCs w:val="32"/>
        </w:rPr>
        <w:t>万元，支出决算为29.56万元，完成年初预算的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60.69</w:t>
      </w:r>
      <w:r>
        <w:rPr>
          <w:rFonts w:hint="eastAsia" w:asciiTheme="minorEastAsia" w:hAnsiTheme="minorEastAsia" w:eastAsiaTheme="minorEastAsia"/>
          <w:sz w:val="32"/>
          <w:szCs w:val="32"/>
        </w:rPr>
        <w:t>万元，支出决算为60.69万元，完成年初预算的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事业单位医疗</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71.74</w:t>
      </w:r>
      <w:r>
        <w:rPr>
          <w:rFonts w:hint="eastAsia" w:asciiTheme="minorEastAsia" w:hAnsiTheme="minorEastAsia" w:eastAsiaTheme="minorEastAsia"/>
          <w:sz w:val="32"/>
          <w:szCs w:val="32"/>
        </w:rPr>
        <w:t>万元，支出决算为105.87万元，完成年初预算的</w:t>
      </w:r>
      <w:r>
        <w:rPr>
          <w:rFonts w:hint="eastAsia" w:asciiTheme="minorEastAsia" w:hAnsiTheme="minorEastAsia" w:eastAsiaTheme="minorEastAsia"/>
          <w:sz w:val="32"/>
          <w:szCs w:val="32"/>
          <w:lang w:val="en-US" w:eastAsia="zh-CN"/>
        </w:rPr>
        <w:t>147.62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color w:val="auto"/>
          <w:sz w:val="32"/>
          <w:szCs w:val="32"/>
          <w:lang w:eastAsia="zh-CN"/>
        </w:rPr>
        <w:t>二级单位人员增加经费相应增加。</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其他城乡社区支出</w:t>
      </w:r>
      <w:r>
        <w:rPr>
          <w:rFonts w:hint="eastAsia" w:asciiTheme="minorEastAsia" w:hAnsiTheme="minorEastAsia" w:eastAsiaTheme="minorEastAsia"/>
          <w:sz w:val="32"/>
          <w:szCs w:val="32"/>
        </w:rPr>
        <w:t xml:space="preserve">（款） </w:t>
      </w:r>
      <w:r>
        <w:rPr>
          <w:rFonts w:hint="eastAsia" w:asciiTheme="minorEastAsia" w:hAnsiTheme="minorEastAsia" w:eastAsiaTheme="minorEastAsia"/>
          <w:sz w:val="32"/>
          <w:szCs w:val="32"/>
          <w:lang w:val="en-US" w:eastAsia="zh-CN"/>
        </w:rPr>
        <w:t>其他城乡社区支出</w:t>
      </w:r>
      <w:r>
        <w:rPr>
          <w:rFonts w:hint="eastAsia" w:asciiTheme="minorEastAsia" w:hAnsiTheme="minorEastAsia" w:eastAsiaTheme="minorEastAsia"/>
          <w:sz w:val="32"/>
          <w:szCs w:val="32"/>
        </w:rPr>
        <w:t>（项）。</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万元，支出决算为237.51万元，完成年初预算的</w:t>
      </w:r>
      <w:r>
        <w:rPr>
          <w:rFonts w:hint="eastAsia" w:asciiTheme="minorEastAsia" w:hAnsiTheme="minorEastAsia" w:eastAsiaTheme="minorEastAsia"/>
          <w:sz w:val="32"/>
          <w:szCs w:val="32"/>
          <w:lang w:val="en-US" w:eastAsia="zh-CN"/>
        </w:rPr>
        <w:t>118.76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年中项目经费较上年增加</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6971.09</w:t>
      </w:r>
      <w:r>
        <w:rPr>
          <w:rFonts w:hint="eastAsia" w:asciiTheme="minorEastAsia" w:hAnsiTheme="minorEastAsia" w:eastAsiaTheme="minorEastAsia"/>
          <w:sz w:val="32"/>
          <w:szCs w:val="32"/>
        </w:rPr>
        <w:t>万元，其中：人员经费5223.9</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74.94</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；公用经费1747.19万元，占基本支出的</w:t>
      </w:r>
      <w:r>
        <w:rPr>
          <w:rFonts w:hint="eastAsia" w:asciiTheme="minorEastAsia" w:hAnsiTheme="minorEastAsia" w:eastAsiaTheme="minorEastAsia"/>
          <w:sz w:val="32"/>
          <w:szCs w:val="32"/>
          <w:lang w:val="en-US" w:eastAsia="zh-CN"/>
        </w:rPr>
        <w:t>25.06</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2021年度“三公”经费财政拨款支出预算为33.98万元，支出决算为25.38万元，完成预算的</w:t>
      </w:r>
      <w:r>
        <w:rPr>
          <w:rFonts w:hint="eastAsia" w:asciiTheme="minorEastAsia" w:hAnsiTheme="minorEastAsia" w:eastAsiaTheme="minorEastAsia"/>
          <w:sz w:val="32"/>
          <w:szCs w:val="32"/>
          <w:lang w:val="en-US" w:eastAsia="zh-CN"/>
        </w:rPr>
        <w:t>74.69</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预算数，主要原因是响应政策，严格执行预算，没有人出国。与上年相比无变化，主要原因是未安排外事出访活动。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13.98</w:t>
      </w:r>
      <w:r>
        <w:rPr>
          <w:rFonts w:hint="eastAsia" w:asciiTheme="minorEastAsia" w:hAnsiTheme="minorEastAsia" w:eastAsiaTheme="minorEastAsia"/>
          <w:sz w:val="32"/>
          <w:szCs w:val="32"/>
        </w:rPr>
        <w:t>万元，支出决算为12.</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92.27</w:t>
      </w:r>
      <w:r>
        <w:rPr>
          <w:rFonts w:hint="eastAsia" w:asciiTheme="minorEastAsia" w:hAnsiTheme="minorEastAsia" w:eastAsiaTheme="minorEastAsia"/>
          <w:sz w:val="32"/>
          <w:szCs w:val="32"/>
        </w:rPr>
        <w:t>%，决算数小于预算数的主要原因是厉行节约，进一步压缩三公经费，与上年相比减少</w:t>
      </w:r>
      <w:r>
        <w:rPr>
          <w:rFonts w:hint="eastAsia" w:asciiTheme="minorEastAsia" w:hAnsiTheme="minorEastAsia" w:eastAsiaTheme="minorEastAsia"/>
          <w:sz w:val="32"/>
          <w:szCs w:val="32"/>
          <w:lang w:val="en-US" w:eastAsia="zh-CN"/>
        </w:rPr>
        <w:t>7.45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36.61</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严格执行厉行节约政策</w:t>
      </w:r>
      <w:r>
        <w:rPr>
          <w:rFonts w:hint="eastAsia" w:asciiTheme="minorEastAsia" w:hAnsiTheme="minorEastAsia" w:eastAsiaTheme="minorEastAsia"/>
          <w:sz w:val="32"/>
          <w:szCs w:val="32"/>
          <w:lang w:eastAsia="zh-CN"/>
        </w:rPr>
        <w:t>。</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预算数，主要原因是没有购置公务车。与上年相比无变化，主要原因为本年未购置公务用车。</w:t>
      </w:r>
      <w:bookmarkStart w:id="0" w:name="_GoBack"/>
      <w:bookmarkEnd w:id="0"/>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公务用车运行维护费支出预算为20</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12.48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62.40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位厉行节约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进一步压缩三公经费</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6.03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32.58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严格执行厉行节约政策</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sz w:val="32"/>
          <w:szCs w:val="32"/>
        </w:rPr>
      </w:pP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2021年度“三公”经费财政拨款支出决算中，公务接待费支出决算12.9</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50.83</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12.48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49.17</w:t>
      </w:r>
      <w:r>
        <w:rPr>
          <w:rFonts w:hint="eastAsia" w:asciiTheme="minorEastAsia" w:hAnsiTheme="minorEastAsia" w:eastAsiaTheme="minorEastAsia"/>
          <w:sz w:val="32"/>
          <w:szCs w:val="32"/>
        </w:rPr>
        <w:t>%。其中：</w:t>
      </w:r>
    </w:p>
    <w:p>
      <w:pPr>
        <w:pStyle w:val="10"/>
        <w:numPr>
          <w:ilvl w:val="0"/>
          <w:numId w:val="3"/>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numPr>
          <w:ilvl w:val="0"/>
          <w:numId w:val="0"/>
        </w:numPr>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12.90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535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工作交流学习</w:t>
      </w:r>
      <w:r>
        <w:rPr>
          <w:rFonts w:hint="eastAsia" w:asciiTheme="minorEastAsia" w:hAnsiTheme="minorEastAsia" w:eastAsiaTheme="minorEastAsia"/>
          <w:sz w:val="32"/>
          <w:szCs w:val="32"/>
        </w:rPr>
        <w:t>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eastAsiaTheme="minorEastAsia"/>
          <w:sz w:val="32"/>
          <w:szCs w:val="32"/>
          <w:lang w:val="en-US" w:eastAsia="zh-CN"/>
        </w:rPr>
        <w:t>12.48</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eastAsiaTheme="minorEastAsia"/>
          <w:sz w:val="32"/>
          <w:szCs w:val="32"/>
          <w:lang w:val="en-US" w:eastAsia="zh-CN"/>
        </w:rPr>
        <w:t>12.48</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公务用车油料费及维修费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highlight w:val="none"/>
          <w:lang w:val="en-US" w:eastAsia="zh-CN"/>
        </w:rPr>
        <w:t>5</w:t>
      </w:r>
      <w:r>
        <w:rPr>
          <w:rFonts w:hint="eastAsia" w:asciiTheme="minorEastAsia" w:hAnsiTheme="minorEastAsia"/>
          <w:sz w:val="32"/>
          <w:szCs w:val="32"/>
        </w:rPr>
        <w:t>辆。</w:t>
      </w:r>
    </w:p>
    <w:p>
      <w:pPr>
        <w:pStyle w:val="10"/>
        <w:rPr>
          <w:rFonts w:hint="eastAsia" w:hAnsi="黑体"/>
          <w:b/>
          <w:sz w:val="32"/>
          <w:szCs w:val="32"/>
        </w:rPr>
      </w:pPr>
      <w:r>
        <w:rPr>
          <w:rFonts w:hint="eastAsia" w:hAnsi="黑体"/>
          <w:b/>
          <w:sz w:val="32"/>
          <w:szCs w:val="32"/>
        </w:rPr>
        <w:t>八、政府性基金预算收入支出决算情况</w:t>
      </w:r>
    </w:p>
    <w:p>
      <w:pPr>
        <w:pStyle w:val="10"/>
        <w:ind w:firstLine="640" w:firstLineChars="200"/>
        <w:rPr>
          <w:rFonts w:hAnsi="黑体"/>
          <w:b/>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岳阳市文化旅游广电局无</w:t>
      </w:r>
      <w:r>
        <w:rPr>
          <w:rFonts w:hint="eastAsia" w:asciiTheme="minorEastAsia" w:hAnsiTheme="minorEastAsia" w:eastAsiaTheme="minorEastAsia"/>
          <w:sz w:val="32"/>
          <w:szCs w:val="32"/>
        </w:rPr>
        <w:t>政府性基金预算财政拨款收支。</w:t>
      </w:r>
    </w:p>
    <w:p>
      <w:pPr>
        <w:pStyle w:val="10"/>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岳阳市文化旅游广电局无国有资本经营预算财政拨款支出</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十、机关运行经费支出说明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715.16</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153.62</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27.36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根据年度工作任务需要，办公费、差旅费等相应增加。</w:t>
      </w:r>
    </w:p>
    <w:p>
      <w:pPr>
        <w:pStyle w:val="10"/>
        <w:rPr>
          <w:rFonts w:hAnsi="黑体"/>
          <w:b/>
          <w:sz w:val="32"/>
          <w:szCs w:val="32"/>
        </w:rPr>
      </w:pPr>
      <w:r>
        <w:rPr>
          <w:rFonts w:hint="eastAsia" w:hAnsi="黑体"/>
          <w:b/>
          <w:sz w:val="32"/>
          <w:szCs w:val="32"/>
        </w:rPr>
        <w:t>十一、一般性支出情况说明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7.66</w:t>
      </w:r>
      <w:r>
        <w:rPr>
          <w:rFonts w:hint="eastAsia" w:asciiTheme="minorEastAsia" w:hAnsiTheme="minorEastAsia" w:eastAsiaTheme="minorEastAsia"/>
          <w:sz w:val="32"/>
          <w:szCs w:val="32"/>
        </w:rPr>
        <w:t>万元，用于召开文化文物和旅游统计工作会议，人数</w:t>
      </w:r>
      <w:r>
        <w:rPr>
          <w:rFonts w:hint="eastAsia" w:asciiTheme="minorEastAsia" w:hAnsiTheme="minorEastAsia" w:eastAsiaTheme="minorEastAsia"/>
          <w:sz w:val="32"/>
          <w:szCs w:val="32"/>
          <w:highlight w:val="none"/>
          <w:lang w:val="en-US" w:eastAsia="zh-CN"/>
        </w:rPr>
        <w:t>24</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开展</w:t>
      </w:r>
      <w:r>
        <w:rPr>
          <w:rFonts w:hint="eastAsia" w:asciiTheme="minorEastAsia" w:hAnsiTheme="minorEastAsia" w:eastAsiaTheme="minorEastAsia"/>
          <w:sz w:val="32"/>
          <w:szCs w:val="32"/>
          <w:highlight w:val="none"/>
        </w:rPr>
        <w:t>文化文物和旅游统计工作；岳阳旅游专列签约仪式</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28</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开展</w:t>
      </w:r>
      <w:r>
        <w:rPr>
          <w:rFonts w:hint="eastAsia" w:asciiTheme="minorEastAsia" w:hAnsiTheme="minorEastAsia" w:eastAsiaTheme="minorEastAsia"/>
          <w:sz w:val="32"/>
          <w:szCs w:val="32"/>
          <w:highlight w:val="none"/>
        </w:rPr>
        <w:t>岳阳旅游专列签约</w:t>
      </w:r>
      <w:r>
        <w:rPr>
          <w:rFonts w:hint="eastAsia" w:asciiTheme="minorEastAsia" w:hAnsiTheme="minorEastAsia" w:eastAsiaTheme="minorEastAsia"/>
          <w:sz w:val="32"/>
          <w:szCs w:val="32"/>
          <w:highlight w:val="none"/>
          <w:lang w:eastAsia="zh-CN"/>
        </w:rPr>
        <w:t>仪式相关工作部署。</w:t>
      </w:r>
      <w:r>
        <w:rPr>
          <w:rFonts w:hint="eastAsia" w:asciiTheme="minorEastAsia" w:hAnsiTheme="minorEastAsia" w:eastAsiaTheme="minorEastAsia"/>
          <w:sz w:val="32"/>
          <w:szCs w:val="32"/>
          <w:highlight w:val="none"/>
        </w:rPr>
        <w:t>开支培训费</w:t>
      </w:r>
      <w:r>
        <w:rPr>
          <w:rFonts w:hint="eastAsia" w:asciiTheme="minorEastAsia" w:hAnsiTheme="minorEastAsia" w:eastAsiaTheme="minorEastAsia"/>
          <w:sz w:val="32"/>
          <w:szCs w:val="32"/>
          <w:highlight w:val="none"/>
          <w:lang w:val="en-US" w:eastAsia="zh-CN"/>
        </w:rPr>
        <w:t>21.85</w:t>
      </w:r>
      <w:r>
        <w:rPr>
          <w:rFonts w:hint="eastAsia" w:asciiTheme="minorEastAsia" w:hAnsiTheme="minorEastAsia" w:eastAsiaTheme="minorEastAsia"/>
          <w:sz w:val="32"/>
          <w:szCs w:val="32"/>
          <w:highlight w:val="none"/>
        </w:rPr>
        <w:t>万元，用于开展全市文化市场综合行政执法培训，人数</w:t>
      </w:r>
      <w:r>
        <w:rPr>
          <w:rFonts w:hint="eastAsia" w:asciiTheme="minorEastAsia" w:hAnsiTheme="minorEastAsia" w:eastAsiaTheme="minorEastAsia"/>
          <w:sz w:val="32"/>
          <w:szCs w:val="32"/>
          <w:highlight w:val="none"/>
          <w:lang w:val="en-US" w:eastAsia="zh-CN"/>
        </w:rPr>
        <w:t>99</w:t>
      </w:r>
      <w:r>
        <w:rPr>
          <w:rFonts w:hint="eastAsia" w:asciiTheme="minorEastAsia" w:hAnsiTheme="minorEastAsia" w:eastAsiaTheme="minorEastAsia"/>
          <w:sz w:val="32"/>
          <w:szCs w:val="32"/>
          <w:highlight w:val="none"/>
        </w:rPr>
        <w:t>人，内容为开展全市文化市场综合行政执法培训；传承人考核暨管理人员传承人培训</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120</w:t>
      </w:r>
      <w:r>
        <w:rPr>
          <w:rFonts w:hint="eastAsia" w:asciiTheme="minorEastAsia" w:hAnsiTheme="minorEastAsia" w:eastAsiaTheme="minorEastAsia"/>
          <w:sz w:val="32"/>
          <w:szCs w:val="32"/>
          <w:highlight w:val="none"/>
        </w:rPr>
        <w:t>人，内容为开展传承人考核暨管理人员传承人培训</w:t>
      </w:r>
      <w:r>
        <w:rPr>
          <w:rFonts w:hint="eastAsia" w:asciiTheme="minorEastAsia" w:hAnsiTheme="minorEastAsia" w:eastAsiaTheme="minorEastAsia"/>
          <w:sz w:val="32"/>
          <w:szCs w:val="32"/>
          <w:highlight w:val="none"/>
          <w:lang w:eastAsia="zh-CN"/>
        </w:rPr>
        <w:t>；内检员培训，</w:t>
      </w:r>
      <w:r>
        <w:rPr>
          <w:rFonts w:hint="eastAsia" w:asciiTheme="minorEastAsia" w:hAnsiTheme="minorEastAsia" w:eastAsiaTheme="minorEastAsia"/>
          <w:sz w:val="32"/>
          <w:szCs w:val="32"/>
          <w:highlight w:val="none"/>
        </w:rPr>
        <w:t>人数</w:t>
      </w:r>
      <w:r>
        <w:rPr>
          <w:rFonts w:hint="eastAsia" w:asciiTheme="minorEastAsia" w:hAnsiTheme="minorEastAsia" w:eastAsiaTheme="minorEastAsia"/>
          <w:sz w:val="32"/>
          <w:szCs w:val="32"/>
          <w:highlight w:val="none"/>
          <w:lang w:val="en-US" w:eastAsia="zh-CN"/>
        </w:rPr>
        <w:t>120</w:t>
      </w:r>
      <w:r>
        <w:rPr>
          <w:rFonts w:hint="eastAsia" w:asciiTheme="minorEastAsia" w:hAnsiTheme="minorEastAsia" w:eastAsiaTheme="minorEastAsia"/>
          <w:sz w:val="32"/>
          <w:szCs w:val="32"/>
          <w:highlight w:val="none"/>
        </w:rPr>
        <w:t>人</w:t>
      </w:r>
      <w:r>
        <w:rPr>
          <w:rFonts w:hint="eastAsia" w:asciiTheme="minorEastAsia" w:hAnsiTheme="minorEastAsia" w:eastAsiaTheme="minorEastAsia"/>
          <w:sz w:val="32"/>
          <w:szCs w:val="32"/>
        </w:rPr>
        <w:t>，内容为开展</w:t>
      </w:r>
      <w:r>
        <w:rPr>
          <w:rFonts w:hint="eastAsia" w:asciiTheme="minorEastAsia" w:hAnsiTheme="minorEastAsia" w:eastAsiaTheme="minorEastAsia"/>
          <w:sz w:val="32"/>
          <w:szCs w:val="32"/>
          <w:lang w:eastAsia="zh-CN"/>
        </w:rPr>
        <w:t>内检员培训。</w:t>
      </w:r>
      <w:r>
        <w:rPr>
          <w:rFonts w:hint="eastAsia" w:asciiTheme="minorEastAsia" w:hAnsiTheme="minorEastAsia" w:eastAsiaTheme="minorEastAsia"/>
          <w:color w:val="auto"/>
          <w:sz w:val="32"/>
          <w:szCs w:val="32"/>
          <w:lang w:val="en-US" w:eastAsia="zh-CN"/>
        </w:rPr>
        <w:t>2021</w:t>
      </w:r>
      <w:r>
        <w:rPr>
          <w:rFonts w:hint="eastAsia" w:asciiTheme="minorEastAsia" w:hAnsiTheme="minorEastAsia" w:eastAsiaTheme="minorEastAsia"/>
          <w:sz w:val="32"/>
          <w:szCs w:val="32"/>
          <w:lang w:val="en-US" w:eastAsia="zh-CN"/>
        </w:rPr>
        <w:t>年未</w:t>
      </w:r>
      <w:r>
        <w:rPr>
          <w:rFonts w:hint="eastAsia" w:asciiTheme="minorEastAsia" w:hAnsiTheme="minorEastAsia" w:eastAsiaTheme="minorEastAsia"/>
          <w:sz w:val="32"/>
          <w:szCs w:val="32"/>
        </w:rPr>
        <w:t>举办节庆、晚会、论坛、赛事活动。</w:t>
      </w:r>
    </w:p>
    <w:p>
      <w:pPr>
        <w:pStyle w:val="10"/>
        <w:rPr>
          <w:rFonts w:hAnsi="黑体"/>
          <w:b/>
          <w:sz w:val="32"/>
          <w:szCs w:val="32"/>
        </w:rPr>
      </w:pPr>
      <w:r>
        <w:rPr>
          <w:rFonts w:hint="eastAsia" w:hAnsi="黑体"/>
          <w:b/>
          <w:sz w:val="32"/>
          <w:szCs w:val="32"/>
        </w:rPr>
        <w:t>十二、政府采购支出说明</w:t>
      </w:r>
    </w:p>
    <w:p>
      <w:pPr>
        <w:pStyle w:val="10"/>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本部门2021年度政府采购支出总额</w:t>
      </w:r>
      <w:r>
        <w:rPr>
          <w:rFonts w:hint="eastAsia" w:ascii="仿宋" w:hAnsi="仿宋" w:eastAsia="仿宋" w:cs="仿宋"/>
          <w:b w:val="0"/>
          <w:i w:val="0"/>
          <w:caps w:val="0"/>
          <w:spacing w:val="0"/>
          <w:w w:val="100"/>
          <w:sz w:val="32"/>
          <w:szCs w:val="32"/>
          <w:highlight w:val="none"/>
          <w:lang w:val="en-US" w:eastAsia="zh-CN"/>
        </w:rPr>
        <w:t>559.38</w:t>
      </w:r>
      <w:r>
        <w:rPr>
          <w:rFonts w:hint="eastAsia" w:asciiTheme="minorEastAsia" w:hAnsiTheme="minorEastAsia" w:eastAsiaTheme="minorEastAsia"/>
          <w:sz w:val="32"/>
          <w:szCs w:val="32"/>
          <w:highlight w:val="none"/>
        </w:rPr>
        <w:t>万元，其中：政府采购货物支出</w:t>
      </w:r>
      <w:r>
        <w:rPr>
          <w:rFonts w:hint="eastAsia" w:ascii="仿宋" w:hAnsi="仿宋" w:eastAsia="仿宋" w:cs="仿宋"/>
          <w:b w:val="0"/>
          <w:i w:val="0"/>
          <w:caps w:val="0"/>
          <w:spacing w:val="0"/>
          <w:w w:val="100"/>
          <w:sz w:val="32"/>
          <w:szCs w:val="32"/>
          <w:highlight w:val="none"/>
          <w:lang w:val="en-US" w:eastAsia="zh-CN"/>
        </w:rPr>
        <w:t>2.68</w:t>
      </w:r>
      <w:r>
        <w:rPr>
          <w:rFonts w:hint="eastAsia" w:asciiTheme="minorEastAsia" w:hAnsiTheme="minorEastAsia" w:eastAsiaTheme="minorEastAsia"/>
          <w:sz w:val="32"/>
          <w:szCs w:val="32"/>
          <w:highlight w:val="none"/>
        </w:rPr>
        <w:t xml:space="preserve"> 万元、政府采购工程支出</w:t>
      </w:r>
      <w:r>
        <w:rPr>
          <w:rFonts w:hint="eastAsia" w:ascii="仿宋" w:hAnsi="仿宋" w:eastAsia="仿宋" w:cs="仿宋"/>
          <w:b w:val="0"/>
          <w:i w:val="0"/>
          <w:caps w:val="0"/>
          <w:spacing w:val="0"/>
          <w:w w:val="100"/>
          <w:sz w:val="32"/>
          <w:szCs w:val="32"/>
          <w:highlight w:val="none"/>
          <w:lang w:val="en-US" w:eastAsia="zh-CN"/>
        </w:rPr>
        <w:t>479.2</w:t>
      </w:r>
      <w:r>
        <w:rPr>
          <w:rFonts w:hint="eastAsia" w:asciiTheme="minorEastAsia" w:hAnsiTheme="minorEastAsia" w:eastAsiaTheme="minorEastAsia"/>
          <w:sz w:val="32"/>
          <w:szCs w:val="32"/>
          <w:highlight w:val="none"/>
        </w:rPr>
        <w:t>万元、政府采购服务支出</w:t>
      </w:r>
      <w:r>
        <w:rPr>
          <w:rFonts w:hint="eastAsia" w:ascii="仿宋" w:hAnsi="仿宋" w:eastAsia="仿宋" w:cs="仿宋"/>
          <w:b w:val="0"/>
          <w:i w:val="0"/>
          <w:caps w:val="0"/>
          <w:spacing w:val="0"/>
          <w:w w:val="100"/>
          <w:sz w:val="32"/>
          <w:szCs w:val="32"/>
          <w:highlight w:val="none"/>
          <w:lang w:val="en-US" w:eastAsia="zh-CN"/>
        </w:rPr>
        <w:t>77.5</w:t>
      </w:r>
      <w:r>
        <w:rPr>
          <w:rFonts w:hint="eastAsia" w:asciiTheme="minorEastAsia" w:hAnsiTheme="minorEastAsia" w:eastAsiaTheme="minorEastAsia"/>
          <w:sz w:val="32"/>
          <w:szCs w:val="32"/>
          <w:highlight w:val="none"/>
        </w:rPr>
        <w:t>万元。授予中小企业合同金额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万元，占政府采购支出总额的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%，其中：授予小微企业合同金额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万元，占授予中小企业合同金额的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%；货物采购授予中小企业合同金额占货物支出金额的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%，工程采购授予中小企业合同金额占工程支出金额的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%，服务采购授予中小企业合同金额占服务支出金额的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pPr>
        <w:pStyle w:val="10"/>
        <w:rPr>
          <w:rFonts w:hAnsi="黑体"/>
          <w:b/>
          <w:sz w:val="32"/>
          <w:szCs w:val="32"/>
        </w:rPr>
      </w:pPr>
      <w:r>
        <w:rPr>
          <w:rFonts w:hint="eastAsia" w:hAnsi="黑体"/>
          <w:b/>
          <w:sz w:val="32"/>
          <w:szCs w:val="32"/>
        </w:rPr>
        <w:t>十三、国有资产占用情况说明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highlight w:val="none"/>
          <w:lang w:val="en-US" w:eastAsia="zh-CN"/>
        </w:rPr>
        <w:t>22</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辆，其他用车主要是1辆考古工地车、1辆送文化服务车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1辆</w:t>
      </w:r>
      <w:r>
        <w:rPr>
          <w:rFonts w:hint="eastAsia" w:asciiTheme="minorEastAsia" w:hAnsiTheme="minorEastAsia" w:eastAsiaTheme="minorEastAsia" w:cstheme="minorEastAsia"/>
          <w:b w:val="0"/>
          <w:bCs w:val="0"/>
          <w:sz w:val="32"/>
          <w:szCs w:val="32"/>
        </w:rPr>
        <w:t>图书馆流动服务车</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sz w:val="32"/>
          <w:szCs w:val="32"/>
        </w:rPr>
        <w:t>1辆演出车、2辆通勤车，主要用于送戏下乡演出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1辆</w:t>
      </w:r>
      <w:r>
        <w:rPr>
          <w:rFonts w:hint="eastAsia" w:asciiTheme="minorEastAsia" w:hAnsiTheme="minorEastAsia" w:eastAsiaTheme="minorEastAsia"/>
          <w:sz w:val="32"/>
          <w:szCs w:val="32"/>
          <w:lang w:eastAsia="zh-CN"/>
        </w:rPr>
        <w:t>群众文化服务用车</w:t>
      </w:r>
      <w:r>
        <w:rPr>
          <w:rFonts w:hint="eastAsia" w:asciiTheme="minorEastAsia" w:hAnsiTheme="minorEastAsia" w:eastAsiaTheme="minorEastAsia"/>
          <w:sz w:val="32"/>
          <w:szCs w:val="32"/>
        </w:rPr>
        <w:t>等；单位价值50万元以上通用设备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rPr>
        <w:t>岳阳市广播电视安全播出综合监管平台。</w:t>
      </w:r>
    </w:p>
    <w:p>
      <w:pPr>
        <w:pStyle w:val="10"/>
        <w:rPr>
          <w:rFonts w:hint="eastAsia" w:asciiTheme="minorEastAsia" w:hAnsiTheme="minorEastAsia" w:eastAsiaTheme="minorEastAsia"/>
          <w:sz w:val="32"/>
          <w:szCs w:val="32"/>
          <w:highlight w:val="none"/>
          <w:lang w:eastAsia="zh-CN"/>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2021</w:t>
      </w:r>
      <w:r>
        <w:rPr>
          <w:rFonts w:hint="eastAsia" w:ascii="宋体" w:hAnsi="宋体" w:cs="黑体"/>
          <w:color w:val="000000"/>
          <w:kern w:val="0"/>
          <w:sz w:val="32"/>
          <w:szCs w:val="32"/>
        </w:rPr>
        <w:t>年度一般公共预算项目支出全面开展绩效自评，其中，组织对“非遗有戏·艺汇岳阳”2021年非遗戏曲展演系列活动项目</w:t>
      </w:r>
      <w:r>
        <w:rPr>
          <w:rFonts w:hint="eastAsia" w:ascii="宋体" w:hAnsi="宋体" w:cs="黑体"/>
          <w:color w:val="000000"/>
          <w:kern w:val="0"/>
          <w:sz w:val="32"/>
          <w:szCs w:val="32"/>
          <w:lang w:eastAsia="zh-CN"/>
        </w:rPr>
        <w:t>、脱贫县基层全民艺术普及服务提质增效建设项</w:t>
      </w:r>
      <w:r>
        <w:rPr>
          <w:rFonts w:hint="eastAsia" w:ascii="宋体" w:hAnsi="宋体" w:cs="黑体"/>
          <w:color w:val="000000"/>
          <w:kern w:val="0"/>
          <w:sz w:val="32"/>
          <w:szCs w:val="32"/>
          <w:lang w:val="en-US" w:eastAsia="zh-CN"/>
        </w:rPr>
        <w:t>目</w:t>
      </w:r>
      <w:r>
        <w:rPr>
          <w:rFonts w:hint="eastAsia" w:ascii="宋体" w:hAnsi="宋体" w:cs="黑体"/>
          <w:color w:val="000000"/>
          <w:kern w:val="0"/>
          <w:sz w:val="32"/>
          <w:szCs w:val="32"/>
        </w:rPr>
        <w:t>开展了部门评价。从评价情况来看活动内容包括大型传统剧目展演、传统经典折子戏展演、非遗戏曲进社区、乡镇展演等三大板块</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参与非遗项目约10余项，预计线下参与人数20000人，线上线下受益人数将达10万人。通过为期一个月的非遗戏曲展演活动开展，预计将释放旅游消费潜力60万元，不仅有助于弘扬优秀传统文化，促进非遗传承保护，更有助于把文化优势转化为发展优势，形成文化产业新业态，培育新的经济增长点，实现社会效益和经济效益双丰收。</w:t>
      </w:r>
    </w:p>
    <w:p>
      <w:pPr>
        <w:ind w:firstLine="640" w:firstLineChars="200"/>
        <w:rPr>
          <w:rFonts w:ascii="宋体" w:hAnsi="宋体" w:cs="黑体"/>
          <w:color w:val="000000"/>
          <w:kern w:val="0"/>
          <w:sz w:val="32"/>
          <w:szCs w:val="32"/>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val="en-US" w:eastAsia="zh-CN"/>
        </w:rPr>
        <w:t>部分二级</w:t>
      </w:r>
      <w:r>
        <w:rPr>
          <w:rFonts w:hint="eastAsia" w:ascii="宋体" w:hAnsi="宋体" w:cs="黑体"/>
          <w:color w:val="000000"/>
          <w:kern w:val="0"/>
          <w:sz w:val="32"/>
          <w:szCs w:val="32"/>
        </w:rPr>
        <w:t>单位开展整体支出绩效评价。从评价情况来看，“高雅艺术惠民演出”自推出以来，好评如潮，原来只有在一、二线大城市才能看到的高雅艺术演出，在岳阳文化艺术会展中心每个月轮番上演，我市市民足不出户就能欣赏到一场场精彩绝伦的艺术盛宴。“高雅艺术惠民演出”打造了岳阳演艺事业文化品牌，为我市“文化惠民”的贯彻落实提供了良好的文化环境，获得了各级领导的充分肯定和社会各界的广泛好评。</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spacing w:line="620" w:lineRule="exact"/>
        <w:ind w:firstLine="640" w:firstLineChars="200"/>
        <w:rPr>
          <w:rFonts w:ascii="宋体" w:hAnsi="宋体" w:cs="黑体"/>
          <w:color w:val="000000"/>
          <w:kern w:val="0"/>
          <w:sz w:val="32"/>
          <w:szCs w:val="32"/>
        </w:rPr>
      </w:pPr>
      <w:r>
        <w:rPr>
          <w:rFonts w:hint="eastAsia" w:ascii="宋体" w:hAnsi="宋体" w:cs="黑体"/>
          <w:color w:val="000000"/>
          <w:kern w:val="0"/>
          <w:sz w:val="32"/>
          <w:szCs w:val="32"/>
        </w:rPr>
        <w:t>“非遗有戏·艺汇岳阳”2021年非遗戏曲展演系列活动项目绩效自评综述：根据年初设定的绩效目标，项目绩效自评得分为</w:t>
      </w:r>
      <w:r>
        <w:rPr>
          <w:rFonts w:hint="eastAsia" w:ascii="宋体" w:hAnsi="宋体" w:cs="黑体"/>
          <w:color w:val="000000"/>
          <w:kern w:val="0"/>
          <w:sz w:val="32"/>
          <w:szCs w:val="32"/>
          <w:lang w:val="en-US" w:eastAsia="zh-CN"/>
        </w:rPr>
        <w:t>96</w:t>
      </w:r>
      <w:r>
        <w:rPr>
          <w:rFonts w:ascii="宋体" w:hAnsi="宋体" w:cs="黑体"/>
          <w:color w:val="000000"/>
          <w:kern w:val="0"/>
          <w:sz w:val="32"/>
          <w:szCs w:val="32"/>
        </w:rPr>
        <w:t xml:space="preserve"> </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25</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25</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非遗有戏·艺汇岳阳”2021年非遗戏曲展演系列活动自2020年11月开始筹划，于2021年6月份正式启动。活动主办方在省市主管部门的指导下，按照活动目标、内容和计划有序推进。活动主办方围绕活动的实施，已制定了详实的活动实施方案，同时上报至岳阳市委宣传部等相关部门，并获得批准。此次岳阳非遗戏曲展演周暨成果展省文化综合发展专项资金，主要用于活动的策划、组织、实施等</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发现的主要问题及原因：一是资金压力较大。下一步改进措施：健全营销渠道，拓宽营销思路，培育岳阳演出消费市场，全方位展现我省花鼓戏保护成果，要多创收，压缩演出成本。</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项目绩效自评综述：进一步加大保障投入，形成国家、集体和个体共办文化的新格局，专项资金专项管理，规范管理。健全营销渠道，拓宽营销思路，培育岳阳演出消费市场，全方位展现我省花鼓戏保护成果，资金压力较大，要多创收，压缩演出成本。</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ind w:firstLine="640" w:firstLineChars="200"/>
        <w:rPr>
          <w:rFonts w:hint="eastAsia"/>
          <w:sz w:val="32"/>
          <w:szCs w:val="32"/>
        </w:rPr>
      </w:pPr>
      <w:r>
        <w:rPr>
          <w:rFonts w:hint="eastAsia"/>
          <w:sz w:val="32"/>
          <w:szCs w:val="32"/>
        </w:rPr>
        <w:t>绩效管理工作开展顺利，部门决算中项目绩效自评结果为</w:t>
      </w:r>
      <w:r>
        <w:rPr>
          <w:rFonts w:hint="eastAsia" w:ascii="宋体" w:hAnsi="宋体" w:cs="黑体"/>
          <w:color w:val="000000"/>
          <w:kern w:val="0"/>
          <w:sz w:val="32"/>
          <w:szCs w:val="32"/>
          <w:lang w:val="en-US" w:eastAsia="zh-CN"/>
        </w:rPr>
        <w:t>优</w:t>
      </w:r>
      <w:r>
        <w:rPr>
          <w:rFonts w:hint="eastAsia"/>
          <w:sz w:val="32"/>
          <w:szCs w:val="32"/>
        </w:rPr>
        <w:t>，部门评价项目绩效评价结果为</w:t>
      </w:r>
      <w:r>
        <w:rPr>
          <w:rFonts w:hint="eastAsia" w:ascii="宋体" w:hAnsi="宋体" w:cs="黑体"/>
          <w:color w:val="000000"/>
          <w:kern w:val="0"/>
          <w:sz w:val="32"/>
          <w:szCs w:val="32"/>
          <w:lang w:val="en-US" w:eastAsia="zh-CN"/>
        </w:rPr>
        <w:t>优</w:t>
      </w:r>
      <w:r>
        <w:rPr>
          <w:rFonts w:hint="eastAsia"/>
          <w:sz w:val="32"/>
          <w:szCs w:val="32"/>
        </w:rPr>
        <w:t>，以部门为主体开展的重点绩效评价结果为</w:t>
      </w:r>
      <w:r>
        <w:rPr>
          <w:rFonts w:hint="eastAsia" w:ascii="宋体" w:hAnsi="宋体" w:cs="黑体"/>
          <w:color w:val="000000"/>
          <w:kern w:val="0"/>
          <w:sz w:val="32"/>
          <w:szCs w:val="32"/>
          <w:lang w:val="en-US" w:eastAsia="zh-CN"/>
        </w:rPr>
        <w:t>优</w:t>
      </w:r>
      <w:r>
        <w:rPr>
          <w:rFonts w:hint="eastAsia"/>
          <w:sz w:val="32"/>
          <w:szCs w:val="32"/>
        </w:rPr>
        <w:t>。</w:t>
      </w:r>
    </w:p>
    <w:p>
      <w:pPr>
        <w:ind w:firstLine="640" w:firstLineChars="200"/>
        <w:rPr>
          <w:sz w:val="32"/>
          <w:szCs w:val="32"/>
        </w:rPr>
      </w:pPr>
      <w:r>
        <w:rPr>
          <w:rFonts w:hint="eastAsia"/>
          <w:sz w:val="32"/>
          <w:szCs w:val="32"/>
        </w:rPr>
        <w:t>预算绩效管理开展情况、绩效目标和绩效评价报告等，一并作为附件公开。</w:t>
      </w:r>
    </w:p>
    <w:p>
      <w:pPr>
        <w:pStyle w:val="10"/>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lang w:eastAsia="zh-CN"/>
        </w:rPr>
        <w:t>为进一步规范财政资金管理，强化财政支出绩效理念，切实提高财政资金使用效益，根据《岳阳市财政局关于做好2022年度预算绩效目标编审工作的通知》（岳财预〔2021〕165号）要求,我部门科学确定全年绩效目标，将绩效管理融入预算编制、执行全过程。</w:t>
      </w:r>
    </w:p>
    <w:p>
      <w:pPr>
        <w:pStyle w:val="10"/>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lang w:eastAsia="zh-CN"/>
        </w:rPr>
        <w:t>2021年度本部门绩效任务有效执行，三公经费有效控制，行政效率有效提高。本部门预算绩效管理开展情况、绩效目标和绩效评价报告等作为附件公开。详情请见第五部分附件。</w:t>
      </w:r>
    </w:p>
    <w:p>
      <w:pPr>
        <w:pStyle w:val="10"/>
        <w:ind w:firstLine="480" w:firstLineChars="200"/>
        <w:rPr>
          <w:rFonts w:ascii="微软雅黑" w:hAnsi="微软雅黑" w:eastAsia="微软雅黑" w:cs="微软雅黑"/>
          <w:i w:val="0"/>
          <w:iCs w:val="0"/>
          <w:caps w:val="0"/>
          <w:color w:val="333333"/>
          <w:spacing w:val="0"/>
          <w:sz w:val="24"/>
          <w:szCs w:val="24"/>
          <w:shd w:val="clear" w:fill="FFFFFF"/>
        </w:rPr>
      </w:pPr>
    </w:p>
    <w:p>
      <w:pPr>
        <w:pStyle w:val="10"/>
        <w:ind w:firstLine="480" w:firstLineChars="200"/>
        <w:rPr>
          <w:rFonts w:ascii="微软雅黑" w:hAnsi="微软雅黑" w:eastAsia="微软雅黑" w:cs="微软雅黑"/>
          <w:i w:val="0"/>
          <w:iCs w:val="0"/>
          <w:caps w:val="0"/>
          <w:color w:val="333333"/>
          <w:spacing w:val="0"/>
          <w:sz w:val="24"/>
          <w:szCs w:val="24"/>
          <w:shd w:val="clear" w:fill="FFFFFF"/>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一、财政拨款收入：指市级财政当年拨付的资金。</w:t>
      </w:r>
    </w:p>
    <w:p>
      <w:pPr>
        <w:numPr>
          <w:ilvl w:val="0"/>
          <w:numId w:val="0"/>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二、</w:t>
      </w:r>
      <w:r>
        <w:rPr>
          <w:rFonts w:hint="eastAsia" w:cs="黑体" w:asciiTheme="minorEastAsia" w:hAnsiTheme="minorEastAsia"/>
          <w:color w:val="000000"/>
          <w:kern w:val="0"/>
          <w:sz w:val="32"/>
          <w:szCs w:val="32"/>
        </w:rPr>
        <w:t>上级补助收入：指单位从主管部门和上级单位取得的非财政性补助收入。</w:t>
      </w:r>
    </w:p>
    <w:p>
      <w:pPr>
        <w:numPr>
          <w:ilvl w:val="0"/>
          <w:numId w:val="0"/>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三、</w:t>
      </w:r>
      <w:r>
        <w:rPr>
          <w:rFonts w:hint="eastAsia" w:cs="黑体" w:asciiTheme="minorEastAsia" w:hAnsiTheme="minorEastAsia"/>
          <w:color w:val="000000"/>
          <w:kern w:val="0"/>
          <w:sz w:val="32"/>
          <w:szCs w:val="32"/>
        </w:rPr>
        <w:t>其他收入：指除上述“财政拨款收入”、“上级补助收入”、“事业收入”、“经营收入”、“附属单位上缴收入”等以外的收入。</w:t>
      </w:r>
    </w:p>
    <w:p>
      <w:pPr>
        <w:numPr>
          <w:ilvl w:val="0"/>
          <w:numId w:val="0"/>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上年结转和结余：指以前年度尚未完成、结转到本年按有关规定继续使用的资金。</w:t>
      </w:r>
    </w:p>
    <w:p>
      <w:pPr>
        <w:numPr>
          <w:ilvl w:val="0"/>
          <w:numId w:val="0"/>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五、</w:t>
      </w:r>
      <w:r>
        <w:rPr>
          <w:rFonts w:hint="eastAsia" w:cs="黑体" w:asciiTheme="minorEastAsia" w:hAnsiTheme="minorEastAsia"/>
          <w:color w:val="000000"/>
          <w:kern w:val="0"/>
          <w:sz w:val="32"/>
          <w:szCs w:val="32"/>
        </w:rPr>
        <w:t>基本支出：指保障机构正常运转、完成支日常工作任务而发生的人员支出和公用支出。</w:t>
      </w:r>
    </w:p>
    <w:p>
      <w:pPr>
        <w:numPr>
          <w:ilvl w:val="0"/>
          <w:numId w:val="0"/>
        </w:numPr>
        <w:ind w:firstLine="640" w:firstLineChars="200"/>
        <w:jc w:val="left"/>
        <w:rPr>
          <w:sz w:val="72"/>
          <w:szCs w:val="72"/>
        </w:rPr>
      </w:pPr>
      <w:r>
        <w:rPr>
          <w:rFonts w:hint="eastAsia" w:cs="黑体" w:asciiTheme="minorEastAsia" w:hAnsiTheme="minorEastAsia"/>
          <w:color w:val="000000"/>
          <w:kern w:val="0"/>
          <w:sz w:val="32"/>
          <w:szCs w:val="32"/>
          <w:lang w:eastAsia="zh-CN"/>
        </w:rPr>
        <w:t>六、</w:t>
      </w:r>
      <w:r>
        <w:rPr>
          <w:rFonts w:hint="eastAsia" w:cs="黑体" w:asciiTheme="minorEastAsia" w:hAnsiTheme="minorEastAsia"/>
          <w:color w:val="000000"/>
          <w:kern w:val="0"/>
          <w:sz w:val="32"/>
          <w:szCs w:val="32"/>
        </w:rPr>
        <w:t>项目支出：指在基本支出之外为完成特定行政任务和事业发展目标所发生的支出。</w:t>
      </w:r>
    </w:p>
    <w:p>
      <w:pPr>
        <w:numPr>
          <w:ilvl w:val="0"/>
          <w:numId w:val="0"/>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七、</w:t>
      </w:r>
      <w:r>
        <w:rPr>
          <w:rFonts w:hint="eastAsia" w:cs="黑体" w:asciiTheme="minorEastAsia" w:hAnsiTheme="minorEastAsia"/>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lang w:eastAsia="zh-CN"/>
        </w:rPr>
        <w:t>八、</w:t>
      </w:r>
      <w:r>
        <w:rPr>
          <w:rFonts w:hint="eastAsia" w:cs="黑体" w:asciiTheme="minorEastAsia" w:hAnsiTheme="minorEastAsia"/>
          <w:color w:val="000000"/>
          <w:kern w:val="0"/>
          <w:sz w:val="32"/>
          <w:szCs w:val="32"/>
        </w:rPr>
        <w:t>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2021年度部门绩效自评报告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E4CBC2C3"/>
    <w:multiLevelType w:val="singleLevel"/>
    <w:tmpl w:val="E4CBC2C3"/>
    <w:lvl w:ilvl="0" w:tentative="0">
      <w:start w:val="1"/>
      <w:numFmt w:val="decimal"/>
      <w:suff w:val="nothing"/>
      <w:lvlText w:val="%1、"/>
      <w:lvlJc w:val="left"/>
    </w:lvl>
  </w:abstractNum>
  <w:abstractNum w:abstractNumId="2">
    <w:nsid w:val="2E3B6241"/>
    <w:multiLevelType w:val="singleLevel"/>
    <w:tmpl w:val="2E3B6241"/>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QxZjRjNWQ2YzBlZDQxNTc2NWYwZTRlMzBlYWU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3FB8"/>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7D1DC1"/>
    <w:rsid w:val="05633A58"/>
    <w:rsid w:val="06B411F0"/>
    <w:rsid w:val="0727254C"/>
    <w:rsid w:val="08492130"/>
    <w:rsid w:val="087403E0"/>
    <w:rsid w:val="0BE56081"/>
    <w:rsid w:val="0D6F3CCC"/>
    <w:rsid w:val="13BE003E"/>
    <w:rsid w:val="17270E8B"/>
    <w:rsid w:val="17A87124"/>
    <w:rsid w:val="205A3AD9"/>
    <w:rsid w:val="23F724F4"/>
    <w:rsid w:val="27C34DBD"/>
    <w:rsid w:val="27DB542D"/>
    <w:rsid w:val="297E3468"/>
    <w:rsid w:val="2B777618"/>
    <w:rsid w:val="308137DA"/>
    <w:rsid w:val="334A17FF"/>
    <w:rsid w:val="366364DD"/>
    <w:rsid w:val="370B6762"/>
    <w:rsid w:val="372413FB"/>
    <w:rsid w:val="37C57EB5"/>
    <w:rsid w:val="3A3604FF"/>
    <w:rsid w:val="45F9639D"/>
    <w:rsid w:val="4765687C"/>
    <w:rsid w:val="48ED43E7"/>
    <w:rsid w:val="4D5E734A"/>
    <w:rsid w:val="59C90313"/>
    <w:rsid w:val="60A907EA"/>
    <w:rsid w:val="6145544E"/>
    <w:rsid w:val="64494680"/>
    <w:rsid w:val="67D56684"/>
    <w:rsid w:val="68304D18"/>
    <w:rsid w:val="6DB0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12551</Words>
  <Characters>16772</Characters>
  <Lines>69</Lines>
  <Paragraphs>19</Paragraphs>
  <TotalTime>4</TotalTime>
  <ScaleCrop>false</ScaleCrop>
  <LinksUpToDate>false</LinksUpToDate>
  <CharactersWithSpaces>17201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Ys</cp:lastModifiedBy>
  <cp:lastPrinted>2022-07-27T12:55:00Z</cp:lastPrinted>
  <dcterms:modified xsi:type="dcterms:W3CDTF">2023-09-22T03:20:27Z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C02081F76A1C414C807C3137DC2EA958</vt:lpwstr>
  </property>
</Properties>
</file>