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val="en-US" w:eastAsia="zh-CN"/>
        </w:rPr>
        <w:t>岳阳市美术馆</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XX单位概况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岳阳市美术馆</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default" w:asciiTheme="minorEastAsia" w:hAnsiTheme="minorEastAsia" w:eastAsiaTheme="minorEastAsia"/>
          <w:sz w:val="32"/>
          <w:szCs w:val="32"/>
          <w:lang w:val="en-US" w:eastAsia="zh-CN"/>
        </w:rPr>
      </w:pPr>
      <w:r>
        <w:rPr>
          <w:rFonts w:hint="eastAsia" w:asciiTheme="minorEastAsia" w:hAnsiTheme="minorEastAsia"/>
          <w:sz w:val="32"/>
          <w:szCs w:val="32"/>
        </w:rPr>
        <w:t>（一）</w:t>
      </w:r>
      <w:r>
        <w:rPr>
          <w:rFonts w:hint="eastAsia" w:asciiTheme="minorEastAsia" w:hAnsiTheme="minorEastAsia"/>
          <w:sz w:val="32"/>
          <w:szCs w:val="32"/>
          <w:lang w:val="en-US" w:eastAsia="zh-CN"/>
        </w:rPr>
        <w:t>创作研究艺术、促进艺术繁荣；</w:t>
      </w:r>
    </w:p>
    <w:p>
      <w:pPr>
        <w:ind w:firstLine="800" w:firstLineChars="250"/>
        <w:jc w:val="left"/>
        <w:rPr>
          <w:rFonts w:asciiTheme="minorEastAsia" w:hAnsiTheme="minorEastAsia"/>
          <w:i/>
          <w:iCs/>
          <w:sz w:val="32"/>
          <w:szCs w:val="32"/>
        </w:rPr>
      </w:pPr>
      <w:r>
        <w:rPr>
          <w:rFonts w:hint="eastAsia" w:asciiTheme="minorEastAsia" w:hAnsiTheme="minorEastAsia"/>
          <w:sz w:val="32"/>
          <w:szCs w:val="32"/>
        </w:rPr>
        <w:t>（二）</w:t>
      </w:r>
      <w:r>
        <w:rPr>
          <w:rFonts w:hint="eastAsia" w:asciiTheme="minorEastAsia" w:hAnsiTheme="minorEastAsia"/>
          <w:sz w:val="32"/>
          <w:szCs w:val="32"/>
          <w:lang w:val="en-US" w:eastAsia="zh-CN"/>
        </w:rPr>
        <w:t>开展书法、美术、摄影创作，展览、教育以及艺术品收藏研究</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岳阳市美术馆</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办公室、展览策划部、学术研究部、典藏部、宣传推广部、公共教育部、信息技术部。馆内1-3层为展厅，并设置公共教育室、会议室、体验室、临摹室、图书资料室、休闲区等多种配套服务设施，为公众提供不同形式的文化及美育服务。</w:t>
      </w:r>
    </w:p>
    <w:p>
      <w:pPr>
        <w:widowControl/>
        <w:spacing w:line="600" w:lineRule="exact"/>
        <w:rPr>
          <w:rFonts w:hint="eastAsia" w:asciiTheme="minorEastAsia" w:hAnsiTheme="minorEastAsia" w:eastAsiaTheme="minorEastAsia"/>
          <w:bCs/>
          <w:i/>
          <w:iCs/>
          <w:color w:val="FF0000"/>
          <w:kern w:val="0"/>
          <w:sz w:val="32"/>
          <w:szCs w:val="32"/>
          <w:lang w:eastAsia="zh-CN"/>
        </w:rPr>
      </w:pP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val="en-US" w:eastAsia="zh-CN"/>
        </w:rPr>
        <w:t>岳阳市美术馆</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岳阳市美术馆</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widowControl/>
        <w:numPr>
          <w:ilvl w:val="0"/>
          <w:numId w:val="0"/>
        </w:numPr>
        <w:spacing w:line="600" w:lineRule="exact"/>
        <w:ind w:firstLine="640" w:firstLineChars="200"/>
        <w:rPr>
          <w:rFonts w:asciiTheme="minorEastAsia" w:hAnsiTheme="minorEastAsia"/>
          <w:bCs/>
          <w:i/>
          <w:i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200.55</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245.33万元</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44.77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18.25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2020年年初结转结余和其他收入大于2021年年初结转结余和其他收入。</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188.7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81.93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34.10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18.07</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200.54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131.55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34.40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160.52</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177.42万元</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9.53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2020年年初结转结余和其他收入大于2021年年初结转结余和其他收入。</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160.53</w:t>
      </w:r>
      <w:r>
        <w:rPr>
          <w:rFonts w:hint="eastAsia" w:asciiTheme="minorEastAsia" w:hAnsiTheme="minorEastAsia" w:eastAsiaTheme="minorEastAsia"/>
          <w:sz w:val="32"/>
          <w:szCs w:val="32"/>
        </w:rPr>
        <w:t>万元，占本年支出</w:t>
      </w:r>
      <w:r>
        <w:rPr>
          <w:rFonts w:hint="eastAsia" w:asciiTheme="minorEastAsia" w:hAnsiTheme="minorEastAsia" w:eastAsiaTheme="minorEastAsia"/>
          <w:sz w:val="32"/>
          <w:szCs w:val="32"/>
          <w:lang w:val="en-US" w:eastAsia="zh-CN"/>
        </w:rPr>
        <w:t>200.55万元</w:t>
      </w:r>
      <w:r>
        <w:rPr>
          <w:rFonts w:hint="eastAsia" w:asciiTheme="minorEastAsia" w:hAnsiTheme="minorEastAsia" w:eastAsiaTheme="minorEastAsia"/>
          <w:sz w:val="32"/>
          <w:szCs w:val="32"/>
        </w:rPr>
        <w:t>合计的</w:t>
      </w:r>
      <w:r>
        <w:rPr>
          <w:rFonts w:hint="eastAsia" w:asciiTheme="minorEastAsia" w:hAnsiTheme="minorEastAsia" w:eastAsiaTheme="minorEastAsia"/>
          <w:sz w:val="32"/>
          <w:szCs w:val="32"/>
          <w:lang w:val="en-US" w:eastAsia="zh-CN"/>
        </w:rPr>
        <w:t>80.04</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171.49万元</w:t>
      </w:r>
      <w:r>
        <w:rPr>
          <w:rFonts w:hint="eastAsia" w:asciiTheme="minorEastAsia" w:hAnsiTheme="minorEastAsia" w:eastAsiaTheme="minorEastAsia"/>
          <w:sz w:val="32"/>
          <w:szCs w:val="32"/>
        </w:rPr>
        <w:t>相比，财政拨款支出减少</w:t>
      </w:r>
      <w:r>
        <w:rPr>
          <w:rFonts w:hint="eastAsia" w:asciiTheme="minorEastAsia" w:hAnsiTheme="minorEastAsia" w:eastAsiaTheme="minorEastAsia"/>
          <w:sz w:val="32"/>
          <w:szCs w:val="32"/>
          <w:lang w:val="en-US" w:eastAsia="zh-CN"/>
        </w:rPr>
        <w:t>10.96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收入减少，人员增加。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160.53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文化旅游体育与传媒（类）支出146.4万元，占91.2%；社会保障和就业（类）支出9.67万元，占6.02%；卫生健康（类）支出4.46万元，占2.78%；</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93.62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160.53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171.46</w:t>
      </w:r>
      <w:r>
        <w:rPr>
          <w:rFonts w:hint="eastAsia" w:asciiTheme="minorEastAsia" w:hAnsiTheme="minorEastAsia" w:eastAsiaTheme="minorEastAsia"/>
          <w:sz w:val="32"/>
          <w:szCs w:val="32"/>
        </w:rPr>
        <w:t>%，其中：</w:t>
      </w:r>
    </w:p>
    <w:p>
      <w:pPr>
        <w:pStyle w:val="11"/>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文化旅游体育与传媒支出（类）文化和旅游（款）一般行政管理事务（项）文化展示及纪念机构（项）</w:t>
      </w:r>
    </w:p>
    <w:p>
      <w:pPr>
        <w:pStyle w:val="11"/>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年初预算93.62万元，支出决算为146.40万元，完成年初预算的156.38%，决算数大于年初数的主要原因是：年中项目经费较上年增加。</w:t>
      </w:r>
    </w:p>
    <w:p>
      <w:pPr>
        <w:pStyle w:val="11"/>
        <w:numPr>
          <w:ilvl w:val="0"/>
          <w:numId w:val="3"/>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11"/>
        <w:numPr>
          <w:ilvl w:val="0"/>
          <w:numId w:val="0"/>
        </w:numPr>
        <w:ind w:leftChars="250"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年初预算93.62万元，支出决算为9.67万元，完成预算的10.33%，决算数小于年初数的主要原因是：人员费用的变化。</w:t>
      </w:r>
    </w:p>
    <w:p>
      <w:pPr>
        <w:pStyle w:val="11"/>
        <w:numPr>
          <w:ilvl w:val="0"/>
          <w:numId w:val="3"/>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卫生健康支出（类）行政事业单位医疗（款）事业单位医疗（项）</w:t>
      </w:r>
    </w:p>
    <w:p>
      <w:pPr>
        <w:pStyle w:val="11"/>
        <w:numPr>
          <w:ilvl w:val="0"/>
          <w:numId w:val="0"/>
        </w:numPr>
        <w:ind w:left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年初预算93.62万元，支出决算4.46万元，完成预算的4.76%，决算数小于年初数的主要原因是：人员费用的变化。</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160.53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87.76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54.67</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28.50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17.75</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1"/>
        <w:ind w:firstLine="320" w:firstLineChars="100"/>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因公出国（境）费支出预算为0万元，支出决算为0万元，由于预算数为0，无法计算百分比，主要原因为本年未安排因公出国（境）；与上年相比无变化，主要原因是未安排外事出访活动。</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公务接待费支出预算为0万元，支出决算为0万元，由于预算数为0，无法计算百分比，决算数为0，主要原因为本年</w:t>
      </w:r>
      <w:r>
        <w:rPr>
          <w:rFonts w:hint="eastAsia" w:asciiTheme="minorEastAsia" w:hAnsiTheme="minorEastAsia" w:eastAsiaTheme="minorEastAsia"/>
          <w:sz w:val="32"/>
          <w:szCs w:val="32"/>
          <w:lang w:val="en-US" w:eastAsia="zh-CN"/>
        </w:rPr>
        <w:t>未发生公务接待</w:t>
      </w:r>
      <w:r>
        <w:rPr>
          <w:rFonts w:hint="eastAsia" w:asciiTheme="minorEastAsia" w:hAnsiTheme="minorEastAsia" w:eastAsiaTheme="minorEastAsia"/>
          <w:sz w:val="32"/>
          <w:szCs w:val="32"/>
        </w:rPr>
        <w:t>；与上年相比无变化，主要原因为本年未</w:t>
      </w:r>
      <w:r>
        <w:rPr>
          <w:rFonts w:hint="eastAsia" w:asciiTheme="minorEastAsia" w:hAnsiTheme="minorEastAsia" w:eastAsiaTheme="minorEastAsia"/>
          <w:sz w:val="32"/>
          <w:szCs w:val="32"/>
          <w:lang w:val="en-US" w:eastAsia="zh-CN"/>
        </w:rPr>
        <w:t>发生公务接待</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公务用车购置费支出预算为0万元，支出决算为0万元，由于预算数为0，无法计算百分比，决算数为0，主要原因为本年未购置公务用车；与上年相比无变化，主要原因为本年未购置公务用车。</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公务用车运行维护费支出预算为0万元，支出决算为0万元，由于预算数为0，无法计算百分比，决算数为0，主要原因为本年未购置公务用车；与上年相比无变化，主要原因为本年未购置公务用车。</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万元，全年安排因公出国（境）团组XX个，累计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开支内容</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：我</w:t>
      </w:r>
      <w:r>
        <w:rPr>
          <w:rFonts w:hint="eastAsia" w:asciiTheme="minorEastAsia" w:hAnsiTheme="minorEastAsia" w:eastAsiaTheme="minorEastAsia"/>
          <w:sz w:val="32"/>
          <w:szCs w:val="32"/>
          <w:lang w:val="en-US" w:eastAsia="zh-CN"/>
        </w:rPr>
        <w:t>单位没有公务接待费用开支。</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岳阳市美术馆</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我单位没有公务用车，所以，没有公务用车维护费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1"/>
        <w:ind w:firstLine="640" w:firstLineChars="200"/>
        <w:rPr>
          <w:rFonts w:hint="default" w:asciiTheme="minorEastAsia" w:hAnsiTheme="minorEastAsia" w:eastAsiaTheme="minorEastAsia"/>
          <w:i/>
          <w:color w:val="auto"/>
          <w:sz w:val="32"/>
          <w:szCs w:val="32"/>
          <w:lang w:val="en-US" w:eastAsia="zh-CN"/>
        </w:rPr>
      </w:pPr>
      <w:r>
        <w:rPr>
          <w:rFonts w:hint="eastAsia" w:asciiTheme="minorEastAsia" w:hAnsiTheme="minorEastAsia" w:eastAsiaTheme="minorEastAsia"/>
          <w:sz w:val="32"/>
          <w:szCs w:val="32"/>
          <w:lang w:eastAsia="zh-CN"/>
        </w:rPr>
        <w:t>岳阳市美术馆</w:t>
      </w:r>
      <w:r>
        <w:rPr>
          <w:rFonts w:hint="eastAsia" w:asciiTheme="minorEastAsia" w:hAnsiTheme="minorEastAsia" w:eastAsiaTheme="minorEastAsia"/>
          <w:sz w:val="32"/>
          <w:szCs w:val="32"/>
          <w:lang w:val="en-US" w:eastAsia="zh-CN"/>
        </w:rPr>
        <w:t>无政府性基金收支。</w:t>
      </w:r>
    </w:p>
    <w:p>
      <w:pPr>
        <w:pStyle w:val="11"/>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2021年度国有资本经营预算财政拨款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岳阳市美术馆无国有资本经营预算财政拨款支出。</w:t>
      </w:r>
    </w:p>
    <w:p>
      <w:pPr>
        <w:pStyle w:val="11"/>
        <w:numPr>
          <w:ilvl w:val="0"/>
          <w:numId w:val="4"/>
        </w:numPr>
        <w:ind w:left="0" w:leftChars="0" w:firstLine="0" w:firstLineChars="0"/>
        <w:rPr>
          <w:rFonts w:hint="eastAsia" w:hAnsi="黑体"/>
          <w:b/>
          <w:sz w:val="32"/>
          <w:szCs w:val="32"/>
        </w:rPr>
      </w:pPr>
      <w:r>
        <w:rPr>
          <w:rFonts w:hint="eastAsia" w:hAnsi="黑体"/>
          <w:b/>
          <w:sz w:val="32"/>
          <w:szCs w:val="32"/>
        </w:rPr>
        <w:t>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%。主要原因是：</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1年</w:t>
      </w:r>
      <w:r>
        <w:rPr>
          <w:rFonts w:hint="eastAsia" w:asciiTheme="minorEastAsia" w:hAnsiTheme="minorEastAsia" w:eastAsiaTheme="minorEastAsia"/>
          <w:sz w:val="32"/>
          <w:szCs w:val="32"/>
        </w:rPr>
        <w:t>度无机关运行经费支出。</w:t>
      </w:r>
    </w:p>
    <w:p>
      <w:pPr>
        <w:pStyle w:val="11"/>
        <w:numPr>
          <w:ilvl w:val="0"/>
          <w:numId w:val="0"/>
        </w:numPr>
        <w:ind w:leftChars="0"/>
        <w:rPr>
          <w:rFonts w:hint="eastAsia" w:hAnsi="黑体"/>
          <w:b/>
          <w:sz w:val="32"/>
          <w:szCs w:val="32"/>
        </w:rPr>
      </w:pP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1年度</w:t>
      </w: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未开支会议费。202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年度未举办节庆、晚会、论坛、赛事活动。</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年度无政府采购支出。</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岳阳市美术馆</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bookmarkStart w:id="0" w:name="_GoBack"/>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w:t>
      </w:r>
      <w:r>
        <w:rPr>
          <w:rFonts w:hint="eastAsia" w:cs="黑体" w:asciiTheme="minorEastAsia" w:hAnsiTheme="minorEastAsia"/>
          <w:color w:val="000000"/>
          <w:kern w:val="0"/>
          <w:sz w:val="32"/>
          <w:szCs w:val="32"/>
          <w:lang w:eastAsia="zh-CN"/>
        </w:rPr>
        <w:t>单位</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未开展此项目部门评价。</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岳阳市美术馆</w:t>
      </w:r>
      <w:r>
        <w:rPr>
          <w:rFonts w:hint="eastAsia" w:cs="黑体" w:asciiTheme="minorEastAsia" w:hAnsiTheme="minorEastAsia"/>
          <w:color w:val="000000"/>
          <w:kern w:val="0"/>
          <w:sz w:val="32"/>
          <w:szCs w:val="32"/>
        </w:rPr>
        <w:t>开展整体支出绩效评价，涉及一般公共预算支出</w:t>
      </w:r>
      <w:r>
        <w:rPr>
          <w:rFonts w:hint="eastAsia" w:cs="黑体" w:asciiTheme="minorEastAsia" w:hAnsiTheme="minorEastAsia"/>
          <w:color w:val="000000"/>
          <w:kern w:val="0"/>
          <w:sz w:val="32"/>
          <w:szCs w:val="32"/>
          <w:lang w:val="en-US" w:eastAsia="zh-CN"/>
        </w:rPr>
        <w:t>93.62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p>
    <w:p>
      <w:pPr>
        <w:numPr>
          <w:ilvl w:val="0"/>
          <w:numId w:val="5"/>
        </w:num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高度重视、及时部署；</w:t>
      </w:r>
    </w:p>
    <w:p>
      <w:pPr>
        <w:numPr>
          <w:ilvl w:val="0"/>
          <w:numId w:val="5"/>
        </w:num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上下联动、推进有序；</w:t>
      </w:r>
    </w:p>
    <w:p>
      <w:pPr>
        <w:numPr>
          <w:ilvl w:val="0"/>
          <w:numId w:val="5"/>
        </w:num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参与广泛、种类丰富；</w:t>
      </w:r>
    </w:p>
    <w:p>
      <w:pPr>
        <w:numPr>
          <w:ilvl w:val="0"/>
          <w:numId w:val="5"/>
        </w:num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共同发力、反响热烈。</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本单位</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eastAsia="zh-CN"/>
        </w:rPr>
        <w:t>未开展项目绩效自评</w:t>
      </w: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本单位</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bookmarkEnd w:id="0"/>
    <w:p>
      <w:pPr>
        <w:pStyle w:val="11"/>
        <w:jc w:val="both"/>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lang w:eastAsia="zh-CN"/>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财政拨款收入：指市级财政当年拨付的资金。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、上级补助收入：指单位从主管部门和上级单位取得的非财政性补助收入。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r>
        <w:rPr>
          <w:rFonts w:hint="eastAsia" w:cs="黑体" w:asciiTheme="minorEastAsia" w:hAnsiTheme="minorEastAsia"/>
          <w:color w:val="000000"/>
          <w:kern w:val="0"/>
          <w:sz w:val="32"/>
          <w:szCs w:val="32"/>
        </w:rPr>
        <w:t>、其他收入：指除上述“财政拨款收入”、“上级补助收入”、“事业收入”、“经营收入”、“附属单位上缴收入”等以外的收入。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六</w:t>
      </w:r>
      <w:r>
        <w:rPr>
          <w:rFonts w:hint="eastAsia" w:cs="黑体" w:asciiTheme="minorEastAsia" w:hAnsiTheme="minorEastAsia"/>
          <w:color w:val="000000"/>
          <w:kern w:val="0"/>
          <w:sz w:val="32"/>
          <w:szCs w:val="32"/>
        </w:rPr>
        <w:t>、上年结转和结余：指以前年度尚未完成、结转到本年按有关规定继续使用的资金。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七</w:t>
      </w:r>
      <w:r>
        <w:rPr>
          <w:rFonts w:hint="eastAsia" w:cs="黑体" w:asciiTheme="minorEastAsia" w:hAnsiTheme="minorEastAsia"/>
          <w:color w:val="000000"/>
          <w:kern w:val="0"/>
          <w:sz w:val="32"/>
          <w:szCs w:val="32"/>
        </w:rPr>
        <w:t>、基本支出：指保障机构正常运转、完成日常工作任务而发生的人员支出和公用支出。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八</w:t>
      </w:r>
      <w:r>
        <w:rPr>
          <w:rFonts w:hint="eastAsia" w:cs="黑体" w:asciiTheme="minorEastAsia" w:hAnsiTheme="minorEastAsia"/>
          <w:color w:val="000000"/>
          <w:kern w:val="0"/>
          <w:sz w:val="32"/>
          <w:szCs w:val="32"/>
        </w:rPr>
        <w:t>、项目支出：指在基本支出之外为完成特定行政任务和事业发展目标所发生的支出。</w:t>
      </w: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rPr>
          <w:rFonts w:hint="eastAsia"/>
        </w:rPr>
      </w:pPr>
    </w:p>
    <w:p>
      <w:pPr>
        <w:pStyle w:val="2"/>
        <w:rPr>
          <w:rFonts w:hint="eastAsia"/>
        </w:rPr>
      </w:pPr>
    </w:p>
    <w:p>
      <w:pPr>
        <w:ind w:firstLine="640" w:firstLineChars="200"/>
        <w:jc w:val="left"/>
        <w:rPr>
          <w:rFonts w:hint="eastAsia" w:cs="黑体" w:asciiTheme="minorEastAsia" w:hAnsi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EF18D"/>
    <w:multiLevelType w:val="singleLevel"/>
    <w:tmpl w:val="9A9EF18D"/>
    <w:lvl w:ilvl="0" w:tentative="0">
      <w:start w:val="1"/>
      <w:numFmt w:val="decimal"/>
      <w:suff w:val="nothing"/>
      <w:lvlText w:val="%1、"/>
      <w:lvlJc w:val="left"/>
    </w:lvl>
  </w:abstractNum>
  <w:abstractNum w:abstractNumId="1">
    <w:nsid w:val="B16A298D"/>
    <w:multiLevelType w:val="singleLevel"/>
    <w:tmpl w:val="B16A298D"/>
    <w:lvl w:ilvl="0" w:tentative="0">
      <w:start w:val="9"/>
      <w:numFmt w:val="chineseCounting"/>
      <w:suff w:val="nothing"/>
      <w:lvlText w:val="%1、"/>
      <w:lvlJc w:val="left"/>
      <w:rPr>
        <w:rFonts w:hint="eastAsia"/>
      </w:rPr>
    </w:lvl>
  </w:abstractNum>
  <w:abstractNum w:abstractNumId="2">
    <w:nsid w:val="FC5F40D2"/>
    <w:multiLevelType w:val="singleLevel"/>
    <w:tmpl w:val="FC5F40D2"/>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2DA4E8"/>
    <w:multiLevelType w:val="singleLevel"/>
    <w:tmpl w:val="472DA4E8"/>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0172A27"/>
    <w:rsid w:val="0002229B"/>
    <w:rsid w:val="000273BD"/>
    <w:rsid w:val="000415B7"/>
    <w:rsid w:val="00041E3F"/>
    <w:rsid w:val="00055DAA"/>
    <w:rsid w:val="00061F7B"/>
    <w:rsid w:val="000658A3"/>
    <w:rsid w:val="00074155"/>
    <w:rsid w:val="000873EF"/>
    <w:rsid w:val="00092CD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C25065"/>
    <w:rsid w:val="037E3FB0"/>
    <w:rsid w:val="05633A58"/>
    <w:rsid w:val="06B411F0"/>
    <w:rsid w:val="08081531"/>
    <w:rsid w:val="087403E0"/>
    <w:rsid w:val="0A075A45"/>
    <w:rsid w:val="0A1F2D6F"/>
    <w:rsid w:val="0BE56081"/>
    <w:rsid w:val="11AB14C1"/>
    <w:rsid w:val="12584A6B"/>
    <w:rsid w:val="13BE003E"/>
    <w:rsid w:val="16293A15"/>
    <w:rsid w:val="17A87124"/>
    <w:rsid w:val="17B13B7F"/>
    <w:rsid w:val="1E750486"/>
    <w:rsid w:val="239F445E"/>
    <w:rsid w:val="26477050"/>
    <w:rsid w:val="27DB542D"/>
    <w:rsid w:val="2B0D7FB9"/>
    <w:rsid w:val="2DBE38E1"/>
    <w:rsid w:val="327F7C6B"/>
    <w:rsid w:val="366364DD"/>
    <w:rsid w:val="370B6762"/>
    <w:rsid w:val="3AA61CBD"/>
    <w:rsid w:val="3C553206"/>
    <w:rsid w:val="3D15626C"/>
    <w:rsid w:val="3F2D33A4"/>
    <w:rsid w:val="45F9639D"/>
    <w:rsid w:val="46390FD6"/>
    <w:rsid w:val="48ED43E7"/>
    <w:rsid w:val="4AB07339"/>
    <w:rsid w:val="4ECB75BB"/>
    <w:rsid w:val="52C578AE"/>
    <w:rsid w:val="5466733F"/>
    <w:rsid w:val="5507306C"/>
    <w:rsid w:val="58543E45"/>
    <w:rsid w:val="59D13FFF"/>
    <w:rsid w:val="5A9475C2"/>
    <w:rsid w:val="60A907EA"/>
    <w:rsid w:val="6145544E"/>
    <w:rsid w:val="62FD0BCE"/>
    <w:rsid w:val="636F130E"/>
    <w:rsid w:val="650F71D6"/>
    <w:rsid w:val="65B8469B"/>
    <w:rsid w:val="697E5585"/>
    <w:rsid w:val="6A3465E2"/>
    <w:rsid w:val="6B8754EE"/>
    <w:rsid w:val="73EA381B"/>
    <w:rsid w:val="74DF0E23"/>
    <w:rsid w:val="759B3DFC"/>
    <w:rsid w:val="77FA34D6"/>
    <w:rsid w:val="791C0941"/>
    <w:rsid w:val="7A371254"/>
    <w:rsid w:val="7B2E061D"/>
    <w:rsid w:val="7B3D7962"/>
    <w:rsid w:val="7CEE3140"/>
    <w:rsid w:val="7D967088"/>
    <w:rsid w:val="7FE7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4769</Words>
  <Characters>5149</Characters>
  <Lines>69</Lines>
  <Paragraphs>19</Paragraphs>
  <TotalTime>1</TotalTime>
  <ScaleCrop>false</ScaleCrop>
  <LinksUpToDate>false</LinksUpToDate>
  <CharactersWithSpaces>5177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2023-09-22T07:18:33Z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