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hint="eastAsia"/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岳阳市图书馆</w:t>
      </w:r>
      <w:r>
        <w:rPr>
          <w:rFonts w:hint="eastAsia"/>
          <w:sz w:val="84"/>
          <w:szCs w:val="84"/>
        </w:rPr>
        <w:t>部门决算</w:t>
      </w: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spacing w:line="540" w:lineRule="exact"/>
        <w:jc w:val="center"/>
        <w:rPr>
          <w:sz w:val="56"/>
          <w:szCs w:val="56"/>
        </w:rPr>
      </w:pPr>
    </w:p>
    <w:p>
      <w:pPr>
        <w:pStyle w:val="11"/>
        <w:spacing w:line="500" w:lineRule="exact"/>
        <w:jc w:val="center"/>
        <w:rPr>
          <w:b/>
          <w:sz w:val="36"/>
          <w:szCs w:val="28"/>
        </w:rPr>
      </w:pPr>
    </w:p>
    <w:p>
      <w:pPr>
        <w:pStyle w:val="11"/>
        <w:spacing w:line="500" w:lineRule="exact"/>
        <w:jc w:val="center"/>
        <w:rPr>
          <w:b/>
          <w:sz w:val="36"/>
          <w:szCs w:val="28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val="en-US" w:eastAsia="zh-CN"/>
        </w:rPr>
        <w:t xml:space="preserve">  岳阳市图书馆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及决算单位构成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明细</w:t>
      </w:r>
      <w:r>
        <w:rPr>
          <w:rFonts w:cs="仿宋_GB2312" w:asciiTheme="minorEastAsia" w:hAnsiTheme="minorEastAsia" w:eastAsiaTheme="minorEastAsia"/>
          <w:sz w:val="28"/>
          <w:szCs w:val="28"/>
        </w:rPr>
        <w:t>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cs="仿宋_GB2312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国有资本经营预算财政拨款支出决算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政府采购支出说明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十三、国有资产占用情况说明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  <w:t>十四、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岳阳市图书馆</w:t>
      </w: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2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numPr>
          <w:ilvl w:val="0"/>
          <w:numId w:val="0"/>
        </w:numPr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ascii="黑体" w:hAnsi="黑体" w:eastAsia="黑体"/>
          <w:sz w:val="32"/>
          <w:szCs w:val="32"/>
        </w:rPr>
        <w:t>部门职责</w:t>
      </w:r>
    </w:p>
    <w:p>
      <w:pPr>
        <w:ind w:firstLine="800" w:firstLineChars="25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（一）保存借阅图书资料，促进社会经济文化发展。 图书、报刊、文献等资料的采编与储藏，图书资料借阅、网络系统的维护与管理。</w:t>
      </w:r>
    </w:p>
    <w:p>
      <w:pPr>
        <w:ind w:firstLine="800" w:firstLineChars="25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（二）参与图书馆学研究，提供知识培训与社会教育。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机构设置及决算单位构成</w:t>
      </w:r>
    </w:p>
    <w:p>
      <w:pPr>
        <w:widowControl/>
        <w:spacing w:line="600" w:lineRule="exact"/>
        <w:ind w:firstLine="640" w:firstLineChars="20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（一）内设机构设置。岳阳</w:t>
      </w:r>
      <w:r>
        <w:rPr>
          <w:rFonts w:asciiTheme="minorEastAsia" w:hAnsiTheme="minorEastAsia"/>
          <w:bCs/>
          <w:kern w:val="0"/>
          <w:sz w:val="32"/>
          <w:szCs w:val="32"/>
        </w:rPr>
        <w:t>市图书馆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内设机构包括七部一室：技术部含网络服务部、研究发展部、信息咨询部、社会活动推广部、采编部、文献流通服务部、儿童与青少年部和办公室。</w:t>
      </w:r>
    </w:p>
    <w:p>
      <w:pPr>
        <w:widowControl/>
        <w:spacing w:line="600" w:lineRule="exact"/>
        <w:ind w:firstLine="640" w:firstLineChars="200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（二）决算单位构成。岳阳</w:t>
      </w:r>
      <w:r>
        <w:rPr>
          <w:rFonts w:asciiTheme="minorEastAsia" w:hAnsiTheme="minorEastAsia"/>
          <w:bCs/>
          <w:kern w:val="0"/>
          <w:sz w:val="32"/>
          <w:szCs w:val="32"/>
        </w:rPr>
        <w:t>市图书馆20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2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年部门决算汇总公开单位构成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只含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岳阳</w:t>
      </w:r>
      <w:r>
        <w:rPr>
          <w:rFonts w:asciiTheme="minorEastAsia" w:hAnsiTheme="minorEastAsia"/>
          <w:bCs/>
          <w:kern w:val="0"/>
          <w:sz w:val="32"/>
          <w:szCs w:val="32"/>
        </w:rPr>
        <w:t>市图书馆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本级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。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（见附件）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1"/>
        <w:jc w:val="both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11"/>
        <w:jc w:val="center"/>
        <w:rPr>
          <w:sz w:val="70"/>
          <w:szCs w:val="70"/>
        </w:rPr>
      </w:pPr>
    </w:p>
    <w:p>
      <w:pPr>
        <w:pStyle w:val="11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1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1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11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958.59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万元。与上年相比，增加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261.27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37.47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新增水电和网络维护费（原该项经费由项目公司负责管理）及新进人员经费。</w:t>
      </w:r>
    </w:p>
    <w:p>
      <w:pPr>
        <w:pStyle w:val="11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891.79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741.42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83.1</w:t>
      </w:r>
      <w:r>
        <w:rPr>
          <w:rFonts w:hint="eastAsia" w:asciiTheme="minorEastAsia" w:hAnsiTheme="minorEastAsia" w:eastAsiaTheme="minorEastAsia"/>
          <w:sz w:val="32"/>
          <w:szCs w:val="32"/>
        </w:rPr>
        <w:t>%；上级补助收入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%；事业收入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%；经营收入X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%；附属单位上缴收入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150.37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16.9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1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932.6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672.5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72.1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260.1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27.9</w:t>
      </w:r>
      <w:r>
        <w:rPr>
          <w:rFonts w:hint="eastAsia" w:asciiTheme="minorEastAsia" w:hAnsiTheme="minorEastAsia" w:eastAsiaTheme="minorEastAsia"/>
          <w:sz w:val="32"/>
          <w:szCs w:val="32"/>
        </w:rPr>
        <w:t>%；上缴上级支出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%；对附属单位补助支出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1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808.22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万元，与上年相比，增加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145.38</w:t>
      </w:r>
      <w:r>
        <w:rPr>
          <w:rFonts w:hint="eastAsia" w:asciiTheme="minorEastAsia" w:hAnsiTheme="minorEastAsia" w:eastAsiaTheme="minorEastAsia"/>
          <w:sz w:val="32"/>
          <w:szCs w:val="32"/>
        </w:rPr>
        <w:t>万元,增长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21.9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新增水电和网络维护费（原该项经费由项目公司负责管理）及新进人员经费。</w:t>
      </w:r>
    </w:p>
    <w:p>
      <w:pPr>
        <w:pStyle w:val="11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i/>
          <w:i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808.22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86.7</w:t>
      </w:r>
      <w:r>
        <w:rPr>
          <w:rFonts w:hint="eastAsia" w:asciiTheme="minorEastAsia" w:hAnsiTheme="minorEastAsia" w:eastAsiaTheme="minorEastAsia"/>
          <w:sz w:val="32"/>
          <w:szCs w:val="32"/>
        </w:rPr>
        <w:t>%，与上年相比，财政拨款支出增加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212.22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35.6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新增水电和网络维护费（原该项经费由项目公司负责管理）及新进人员经费。</w:t>
      </w:r>
    </w:p>
    <w:p>
      <w:pPr>
        <w:pStyle w:val="11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808.22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万元，主要用于以下方面：文化旅游体育与传媒支出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722.21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89.3</w:t>
      </w:r>
      <w:r>
        <w:rPr>
          <w:rFonts w:hint="eastAsia" w:asciiTheme="minorEastAsia" w:hAnsiTheme="minorEastAsia" w:eastAsiaTheme="minorEastAsia"/>
          <w:sz w:val="32"/>
          <w:szCs w:val="32"/>
        </w:rPr>
        <w:t>%；社会保障和就业支出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61.23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7.6</w:t>
      </w:r>
      <w:r>
        <w:rPr>
          <w:rFonts w:hint="eastAsia" w:asciiTheme="minorEastAsia" w:hAnsiTheme="minorEastAsia" w:eastAsiaTheme="minorEastAsia"/>
          <w:sz w:val="32"/>
          <w:szCs w:val="32"/>
        </w:rPr>
        <w:t>%；卫生健康支出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24.78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3.1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11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570.18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808.22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141.75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1、文化旅游体育与传媒支出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-文化和旅游（款）-  一般行政管理事务（项）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106.29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118.1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新图书馆社会知名度提高，进馆读者数量增多，增加日常经费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、文化旅游体育与传媒支出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-文化和旅游（款）-  图书馆（项）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326.18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506.72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155.35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新增水电和网络维护费（原该项经费由项目公司负责管理）及新进人员经费。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、文化旅游体育与传媒支出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-文化和旅游（款）-  其他文化和旅游支出（项）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109.2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156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新增水电和网络维护费（原该项经费由项目公司负责管理）及新进人员经费。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、社会保障和就业支出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-行政事业单位养老支出（款）-机关事业单位基本养老保险缴费支出（项）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61.23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102.05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%，决算数大于年初预算数的主要原因是：图书馆新进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事业单位公开招考</w:t>
      </w:r>
      <w:r>
        <w:rPr>
          <w:rFonts w:hint="eastAsia" w:asciiTheme="minorEastAsia" w:hAnsiTheme="minorEastAsia" w:eastAsiaTheme="minorEastAsia"/>
          <w:sz w:val="32"/>
          <w:szCs w:val="32"/>
        </w:rPr>
        <w:t>人员经费相应增加。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、卫生健康支出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-行政事业单位医疗（款）-事业单位医疗（项）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24.78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103.25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决算数大于年初预算数的主要原因是：图书馆新进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事业单位公开招考</w:t>
      </w:r>
      <w:r>
        <w:rPr>
          <w:rFonts w:hint="eastAsia" w:asciiTheme="minorEastAsia" w:hAnsiTheme="minorEastAsia" w:eastAsiaTheme="minorEastAsia"/>
          <w:sz w:val="32"/>
          <w:szCs w:val="32"/>
        </w:rPr>
        <w:t>人员经费相应增加。</w:t>
      </w:r>
    </w:p>
    <w:p>
      <w:pPr>
        <w:pStyle w:val="11"/>
        <w:ind w:left="638" w:leftChars="304" w:firstLine="0" w:firstLineChars="0"/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、</w:t>
      </w:r>
      <w:r>
        <w:rPr>
          <w:rFonts w:hint="eastAsia" w:hAnsi="黑体"/>
          <w:b/>
          <w:sz w:val="32"/>
          <w:szCs w:val="32"/>
        </w:rPr>
        <w:t>一般公共预算财政拨款基本支出决算情况说明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668.07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599.26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89.7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%,主要包括基本工资、奖金、伙食补助费、绩效工资、机关事业单位基本养老保险缴费、职工基本医疗保险缴费、其他社会保障缴费、住房公积金、其他工资福利支出、退休费、生活补助、奖励金；公用经费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10.3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水费、电费、邮电费、差旅费、维修（护）费、培训费、公务接待费、专用材料费、劳务费、工会经费、公务用车运行维护费，其他交通费用、其他商品和服务支出、办公设备购置。</w:t>
      </w:r>
    </w:p>
    <w:p>
      <w:pPr>
        <w:pStyle w:val="11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七、一般公共预算财政拨款“三公”经费支出决算情况说明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万元，支出决算为0.5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36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1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因公出国（境）费支出预算为0万元，支出决算为0万元，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与上年支出决算持平，由于预算数为0，无法计算百分比，主要原因为本年未安排因公出国（境）；与上年相比无变化，主要原因是未安排外事出访活动。</w:t>
      </w:r>
    </w:p>
    <w:p>
      <w:pPr>
        <w:pStyle w:val="11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万元，支出决算为0.3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%，决算数小于预算数的主要原因是加强党风廉政建设，压缩接待费开支，与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年初预算</w:t>
      </w:r>
      <w:r>
        <w:rPr>
          <w:rFonts w:hint="eastAsia" w:asciiTheme="minorEastAsia" w:hAnsiTheme="minorEastAsia" w:eastAsiaTheme="minorEastAsia"/>
          <w:sz w:val="32"/>
          <w:szCs w:val="32"/>
        </w:rPr>
        <w:t>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0.32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64</w:t>
      </w:r>
      <w:r>
        <w:rPr>
          <w:rFonts w:hint="eastAsia" w:asciiTheme="minorEastAsia" w:hAnsiTheme="minorEastAsia" w:eastAsiaTheme="minorEastAsia"/>
          <w:sz w:val="32"/>
          <w:szCs w:val="32"/>
        </w:rPr>
        <w:t>%,减少的主要原因是加强党风廉政建设，压缩接待费开支。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与上年支出决算数持平，主要原因是严控接待支出。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0.19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32"/>
          <w:szCs w:val="32"/>
        </w:rPr>
        <w:t>%。决算数小于预算数的主要原因是加强党风廉政建设，压缩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开支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与上年支出决算数持平，主要原因是严格按要求安排公务用车运行。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年度“三公”经费财政拨款支出决算中，公务接待费支出决算0.3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63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%,因公出国（境）费支出决算0万元，占0%,公务用车购置费及运行维护费支出决算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0.19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37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对比2020年</w:t>
      </w: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因公出国（境）费支出决算0万元，占0%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2020年</w:t>
      </w: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0.19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占37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因公出国（境）费支出决算为0万元，全年安排因公出国（境）团组0个，累计0人次。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2、公务接待费支出决算为0.3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万元，全年共接待来访团组6个、来宾48人次，主要是县级图书馆来访发生的接待支出。</w:t>
      </w:r>
    </w:p>
    <w:p>
      <w:pPr>
        <w:ind w:firstLine="800" w:firstLineChars="250"/>
        <w:rPr>
          <w:rFonts w:hint="default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3、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本馆现有一台公务用车，</w:t>
      </w:r>
      <w:r>
        <w:rPr>
          <w:rFonts w:hint="eastAsia" w:asciiTheme="minorEastAsia" w:hAnsiTheme="minorEastAsia"/>
          <w:sz w:val="32"/>
          <w:szCs w:val="32"/>
        </w:rPr>
        <w:t>公务用车购置费及运行维护费支出决算为0.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/>
          <w:sz w:val="32"/>
          <w:szCs w:val="32"/>
        </w:rPr>
        <w:t>万元，其中：公务用车购置费0万元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32"/>
          <w:szCs w:val="32"/>
        </w:rPr>
        <w:t>公务用车运行维护费0.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/>
          <w:sz w:val="32"/>
          <w:szCs w:val="32"/>
        </w:rPr>
        <w:t>万元，主要是图书馆流动服务车维修费用和油费支出。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我单位财政拨款的公务用车保有量为1辆。</w:t>
      </w:r>
    </w:p>
    <w:p>
      <w:pPr>
        <w:pStyle w:val="11"/>
        <w:ind w:firstLine="640" w:firstLineChars="200"/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11"/>
        <w:ind w:firstLine="640" w:firstLineChars="200"/>
        <w:rPr>
          <w:rFonts w:hint="eastAsia" w:hAnsi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岳阳市图书馆无政府性基金预算财政拨款收支。</w:t>
      </w:r>
    </w:p>
    <w:p>
      <w:pPr>
        <w:pStyle w:val="11"/>
        <w:numPr>
          <w:ilvl w:val="0"/>
          <w:numId w:val="1"/>
        </w:numPr>
        <w:ind w:left="642" w:leftChars="0" w:firstLine="0" w:firstLineChars="0"/>
        <w:rPr>
          <w:rFonts w:hint="eastAsia" w:hAnsi="黑体"/>
          <w:b/>
          <w:sz w:val="32"/>
          <w:szCs w:val="32"/>
          <w:lang w:eastAsia="zh-CN"/>
        </w:rPr>
      </w:pPr>
      <w:r>
        <w:rPr>
          <w:rFonts w:hint="eastAsia" w:hAnsi="黑体"/>
          <w:b/>
          <w:sz w:val="32"/>
          <w:szCs w:val="32"/>
        </w:rPr>
        <w:t>国有资本经营预算财政拨款支出决算</w:t>
      </w:r>
      <w:r>
        <w:rPr>
          <w:rFonts w:hint="eastAsia" w:hAnsi="黑体"/>
          <w:b/>
          <w:sz w:val="32"/>
          <w:szCs w:val="32"/>
          <w:lang w:eastAsia="zh-CN"/>
        </w:rPr>
        <w:t>情况</w:t>
      </w:r>
    </w:p>
    <w:p>
      <w:pPr>
        <w:pStyle w:val="11"/>
        <w:numPr>
          <w:ilvl w:val="0"/>
          <w:numId w:val="0"/>
        </w:numPr>
        <w:ind w:left="642" w:leftChars="0"/>
        <w:rPr>
          <w:rFonts w:hint="eastAsia" w:hAnsi="黑体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</w:t>
      </w: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t>岳阳市图书馆</w:t>
      </w:r>
      <w:r>
        <w:rPr>
          <w:rFonts w:hint="eastAsia" w:asciiTheme="minorEastAsia" w:hAnsiTheme="minorEastAsia" w:eastAsiaTheme="minorEastAsia"/>
          <w:sz w:val="32"/>
          <w:szCs w:val="32"/>
        </w:rPr>
        <w:t>无国有资本经营预算财政拨款支出</w:t>
      </w:r>
      <w:r>
        <w:rPr>
          <w:rFonts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numPr>
          <w:ilvl w:val="0"/>
          <w:numId w:val="1"/>
        </w:numPr>
        <w:ind w:left="642" w:leftChars="0" w:firstLine="0" w:firstLineChars="0"/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机关运行经费支出说明</w:t>
      </w:r>
    </w:p>
    <w:p>
      <w:pPr>
        <w:pStyle w:val="11"/>
        <w:numPr>
          <w:ilvl w:val="0"/>
          <w:numId w:val="0"/>
        </w:numPr>
        <w:ind w:left="642" w:leftChars="0"/>
        <w:rPr>
          <w:rFonts w:hint="eastAsia" w:hAnsi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</w:t>
      </w: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t>岳阳市图书馆</w:t>
      </w:r>
      <w:r>
        <w:rPr>
          <w:rFonts w:hint="eastAsia" w:asciiTheme="minorEastAsia" w:hAnsiTheme="minorEastAsia" w:eastAsiaTheme="minorEastAsia"/>
          <w:sz w:val="32"/>
          <w:szCs w:val="32"/>
        </w:rPr>
        <w:t>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机关运行经费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numPr>
          <w:ilvl w:val="0"/>
          <w:numId w:val="1"/>
        </w:numPr>
        <w:ind w:left="642" w:leftChars="0" w:firstLine="0" w:firstLineChars="0"/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一般性支出情况说明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岳阳市图书馆</w:t>
      </w:r>
      <w:r>
        <w:rPr>
          <w:rFonts w:hint="eastAsia" w:asciiTheme="minorEastAsia" w:hAnsiTheme="minorEastAsia" w:eastAsiaTheme="minorEastAsia"/>
          <w:sz w:val="32"/>
          <w:szCs w:val="32"/>
        </w:rPr>
        <w:t>开支会议费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开支培训费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0.38</w:t>
      </w:r>
      <w:r>
        <w:rPr>
          <w:rFonts w:hint="eastAsia" w:asciiTheme="minorEastAsia" w:hAnsiTheme="minorEastAsia" w:eastAsiaTheme="minorEastAsia"/>
          <w:sz w:val="32"/>
          <w:szCs w:val="32"/>
        </w:rPr>
        <w:t>万元，用于开展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图书馆新增业务</w:t>
      </w:r>
      <w:r>
        <w:rPr>
          <w:rFonts w:hint="eastAsia" w:asciiTheme="minorEastAsia" w:hAnsiTheme="minorEastAsia" w:eastAsiaTheme="minorEastAsia"/>
          <w:sz w:val="32"/>
          <w:szCs w:val="32"/>
        </w:rPr>
        <w:t>培训，人数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人，内容为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图书馆学会培训</w:t>
      </w:r>
      <w:r>
        <w:rPr>
          <w:rFonts w:hint="eastAsia" w:asciiTheme="minorEastAsia" w:hAnsiTheme="minorEastAsia" w:eastAsiaTheme="minorEastAsia"/>
          <w:sz w:val="32"/>
          <w:szCs w:val="32"/>
        </w:rPr>
        <w:t>；202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年度未举办节庆、晚会、论坛、赛事活动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>十二、</w:t>
      </w:r>
      <w:r>
        <w:rPr>
          <w:rFonts w:hint="eastAsia" w:hAnsi="黑体"/>
          <w:b/>
          <w:sz w:val="32"/>
          <w:szCs w:val="32"/>
        </w:rPr>
        <w:t>政府采购支出说明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本部门2021年度政府采购支出总额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39.2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万元，其中：政府采购货物支出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万元、政府采购工程支出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39.2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万元、政府采购服务支出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万元。授予中小企业合同金额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万元，占政府采购支出总额的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%，其中：授予小微企业合同金额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万元，占授予中小企业合同金额的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%；货物采购授予中小企业合同金额占货物支出金额的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%，工程采购授予中小企业合同金额占工程支出金额的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%，服务采购授予中小企业合同金额占服务支出金额的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1"/>
        <w:ind w:firstLine="640" w:firstLineChars="200"/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11"/>
        <w:rPr>
          <w:rFonts w:hint="default" w:hAnsi="黑体" w:eastAsia="黑体"/>
          <w:b/>
          <w:sz w:val="32"/>
          <w:szCs w:val="32"/>
          <w:lang w:val="en-US" w:eastAsia="zh-CN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截至2020年12月31日，本单位共有车辆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辆，其中，主要领导干部用车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辆，机要通信用车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辆、应急保障用车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辆、执法执勤用车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辆、特种专业技术用车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辆、其他用车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辆，其他用车主要是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图书馆流动服务车</w:t>
      </w:r>
      <w:r>
        <w:rPr>
          <w:rFonts w:hint="eastAsia" w:asciiTheme="minorEastAsia" w:hAnsiTheme="minorEastAsia" w:eastAsiaTheme="minorEastAsia"/>
          <w:sz w:val="32"/>
          <w:szCs w:val="32"/>
        </w:rPr>
        <w:t>；单位价值50万元以上通用设备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台（套）；单位价值100万元以上专用设备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台（套）。</w:t>
      </w:r>
    </w:p>
    <w:p>
      <w:pPr>
        <w:pStyle w:val="11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十四、</w:t>
      </w:r>
      <w:r>
        <w:rPr>
          <w:rFonts w:hint="eastAsia" w:hAnsi="黑体"/>
          <w:b/>
          <w:sz w:val="32"/>
          <w:szCs w:val="32"/>
        </w:rPr>
        <w:t>2021年度预算绩效情况说明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十四、2021年度预算绩效情况说明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根据预算绩效管理要求，我单位组织对2021年度一般公共预算项目支出全面开展绩效自评，其中，知识资源细颗粒度建设和标签标引项目，计划安排资金30万元，实际执行到位资金15.4万元，支出占比为51.3%，结余资金14.6万元，结余占比48.7%，项目实际完成度为100%，无其他项目资金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组织对岳阳市图书馆开展整体支出绩效评价，涉及一般公共预算支出570.18万元，政府性基金预算支出0万元。从评价情况来看，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1、高度重视、及时部署；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2、上下联动、推进有序；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3、参与广泛、种类丰富；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4、共同发力、反响热烈。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（2）部门决算中项目绩效自评结果（如有）。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本单位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项目绩效自评综述：根据年初设定的绩效目标，项目绩效自评得分为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分。项目全年预算数为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万元，执行数为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万元，完成预算的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。项目绩效目标完成情况：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。发现的主要问题及原因：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未开展项目绩效自评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。下一步改进措施：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本单位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项目绩效自评综述：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</w:t>
      </w:r>
      <w:r>
        <w:rPr>
          <w:rFonts w:cs="黑体" w:asciiTheme="minorEastAsia" w:hAnsiTheme="minorEastAsia"/>
          <w:b/>
          <w:color w:val="000000"/>
          <w:kern w:val="0"/>
          <w:sz w:val="32"/>
          <w:szCs w:val="32"/>
        </w:rPr>
        <w:t>3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）部门评价项目绩效评价结果。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部门评价项目数量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3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个以内的，至少将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个部门评价报告向社会公开；部门评价项目数量大于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3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个的，至少将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个部门评价报告向社会公开。报告框架可参考《项目支出绩效评价办法》（财预〔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〕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10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号）中《项目支出绩效评价报告（参考提纲）》、《湖南省预算支出绩效评价管理办法》（湘财绩〔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〕7号）。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11"/>
        <w:jc w:val="both"/>
        <w:rPr>
          <w:sz w:val="72"/>
          <w:szCs w:val="72"/>
        </w:rPr>
      </w:pPr>
    </w:p>
    <w:p>
      <w:pPr>
        <w:pStyle w:val="11"/>
        <w:jc w:val="both"/>
        <w:rPr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bookmarkStart w:id="0" w:name="_GoBack"/>
      <w:bookmarkEnd w:id="0"/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一、财政拨款收入:指市级财政当年拨付的资金。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二、上级补助收入:指单位从主管部门]和上级单位取得的非财政性补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助收入。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三、其他收入:指除上述“财政拨款收入”、“ 上级补助收入”、“事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业收入”、“经营收入” 、“附属 单位上缴收入”等以外的收入。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四、上年结转和结余:指以前年度尚未完成、结转到本年按有关规定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继续使用的资金。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五、基本支出:指保障机构正常运转、完成支日常工作任务而发生的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人员支出和公用支出。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六、项目支出:指在基本支出之外为完成特定行政任务和事业发展目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标所发生的支出。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七、“三公”经费:指用财政拨款安排的因公出国(境)费、公务用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车购置及运行费和公务接待费。其中，因公出国(境)费反映出国(境)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的住宿费、旅费、伙食补助费、杂费、培训费等支出:公务用车购置及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运行费反映单位公务用车购置费及租用费、燃料费、维修费、过路过桥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费、保险费、安全奖励费用等支出:公务接待费反映单位按规定开支的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各类公务接待(含外宾接待)支出。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八、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机关运行经费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11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1、2021年部门决算公开表格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ind w:firstLine="640" w:firstLineChars="200"/>
        <w:jc w:val="left"/>
        <w:rPr>
          <w:rFonts w:hint="default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0DDAAB"/>
    <w:multiLevelType w:val="singleLevel"/>
    <w:tmpl w:val="7D0DDAAB"/>
    <w:lvl w:ilvl="0" w:tentative="0">
      <w:start w:val="9"/>
      <w:numFmt w:val="chineseCounting"/>
      <w:suff w:val="nothing"/>
      <w:lvlText w:val="%1、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GQxZjRjNWQ2YzBlZDQxNTc2NWYwZTRlMzBlYWUifQ=="/>
  </w:docVars>
  <w:rsids>
    <w:rsidRoot w:val="00172A27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43F299D"/>
    <w:rsid w:val="05633A58"/>
    <w:rsid w:val="05AC1E9A"/>
    <w:rsid w:val="0646400B"/>
    <w:rsid w:val="06B411F0"/>
    <w:rsid w:val="06F62C4F"/>
    <w:rsid w:val="081E7132"/>
    <w:rsid w:val="087403E0"/>
    <w:rsid w:val="09242161"/>
    <w:rsid w:val="0979158B"/>
    <w:rsid w:val="0A8D3B7C"/>
    <w:rsid w:val="0B2A4B42"/>
    <w:rsid w:val="0BE56081"/>
    <w:rsid w:val="0DE620DB"/>
    <w:rsid w:val="0E0538F8"/>
    <w:rsid w:val="0FE663C2"/>
    <w:rsid w:val="139B6544"/>
    <w:rsid w:val="13BE003E"/>
    <w:rsid w:val="14276FAA"/>
    <w:rsid w:val="142D2812"/>
    <w:rsid w:val="17A87124"/>
    <w:rsid w:val="1E6D0AEE"/>
    <w:rsid w:val="20EB1A8B"/>
    <w:rsid w:val="26A35E79"/>
    <w:rsid w:val="27DB542D"/>
    <w:rsid w:val="2C3A1B18"/>
    <w:rsid w:val="2E844FF2"/>
    <w:rsid w:val="30236D69"/>
    <w:rsid w:val="30C03EB1"/>
    <w:rsid w:val="319E6993"/>
    <w:rsid w:val="366364DD"/>
    <w:rsid w:val="36D5559C"/>
    <w:rsid w:val="370B6762"/>
    <w:rsid w:val="3E0D2F0E"/>
    <w:rsid w:val="3E9662A7"/>
    <w:rsid w:val="408F2CFD"/>
    <w:rsid w:val="42891207"/>
    <w:rsid w:val="45D17902"/>
    <w:rsid w:val="45F9639D"/>
    <w:rsid w:val="48ED43E7"/>
    <w:rsid w:val="49652C69"/>
    <w:rsid w:val="4A8B4698"/>
    <w:rsid w:val="513854BB"/>
    <w:rsid w:val="52D73BC7"/>
    <w:rsid w:val="5AF0343F"/>
    <w:rsid w:val="5CB37796"/>
    <w:rsid w:val="5F280B4F"/>
    <w:rsid w:val="60A907EA"/>
    <w:rsid w:val="6145544E"/>
    <w:rsid w:val="6400032D"/>
    <w:rsid w:val="67C5354E"/>
    <w:rsid w:val="683214B3"/>
    <w:rsid w:val="6A5778A6"/>
    <w:rsid w:val="6B9D4CFC"/>
    <w:rsid w:val="6C15030F"/>
    <w:rsid w:val="6C873411"/>
    <w:rsid w:val="6D7A3A26"/>
    <w:rsid w:val="7EE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0904-B2FB-4FE3-894F-42F14B17B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4550</Words>
  <Characters>4955</Characters>
  <Lines>69</Lines>
  <Paragraphs>19</Paragraphs>
  <TotalTime>18</TotalTime>
  <ScaleCrop>false</ScaleCrop>
  <LinksUpToDate>false</LinksUpToDate>
  <CharactersWithSpaces>4983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Administrator</cp:lastModifiedBy>
  <cp:lastPrinted>2022-07-27T12:55:00Z</cp:lastPrinted>
  <dcterms:modified xsi:type="dcterms:W3CDTF">2023-09-22T08:13:49Z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AFDFEABC5BB945C19A549CAEB3211E59</vt:lpwstr>
  </property>
</Properties>
</file>