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lang w:eastAsia="zh-CN"/>
        </w:rPr>
        <w:t>岳阳市文化市场综合行政执法支队</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p>
    <w:p>
      <w:pPr>
        <w:pStyle w:val="11"/>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岳阳市文化市场综合行政执法支队</w:t>
      </w:r>
      <w:r>
        <w:rPr>
          <w:rFonts w:hint="eastAsia"/>
          <w:b/>
          <w:sz w:val="28"/>
          <w:szCs w:val="28"/>
        </w:rPr>
        <w:t>单位概况</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bookmarkStart w:id="0" w:name="_GoBack"/>
      <w:r>
        <w:rPr>
          <w:rFonts w:cs="仿宋_GB2312" w:asciiTheme="minorEastAsia" w:hAnsiTheme="minorEastAsia" w:eastAsiaTheme="minorEastAsia"/>
          <w:sz w:val="28"/>
          <w:szCs w:val="28"/>
        </w:rPr>
        <w:t>七、一般公共预算财政拨款“三公”经费支出决算表</w:t>
      </w:r>
    </w:p>
    <w:bookmarkEnd w:id="0"/>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岳阳市文化市场综合行政执法支队</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一）贯彻执行党和国家有关文化（文物）、广播影视、新闻出版、版权管理、旅游、非物质文化遗产、公共文化服务保障法律法规规章和方针策；拟订全市文化市场行政执法工作方面的规范性文件、总体规划和年度计划，并组织实施；负责对县市区文化市场行政执法机构的业务指导、协调和监督。</w:t>
      </w:r>
    </w:p>
    <w:p>
      <w:pPr>
        <w:jc w:val="left"/>
        <w:rPr>
          <w:rFonts w:hint="eastAsia" w:asciiTheme="minorEastAsia" w:hAnsiTheme="minorEastAsia"/>
          <w:sz w:val="32"/>
          <w:szCs w:val="32"/>
        </w:rPr>
      </w:pPr>
      <w:r>
        <w:rPr>
          <w:rFonts w:hint="eastAsia" w:asciiTheme="minorEastAsia" w:hAnsiTheme="minorEastAsia"/>
          <w:sz w:val="32"/>
          <w:szCs w:val="32"/>
          <w:lang w:eastAsia="zh-CN"/>
        </w:rPr>
        <w:t>　　</w:t>
      </w:r>
      <w:r>
        <w:rPr>
          <w:rFonts w:hint="eastAsia" w:asciiTheme="minorEastAsia" w:hAnsiTheme="minorEastAsia"/>
          <w:sz w:val="32"/>
          <w:szCs w:val="32"/>
        </w:rPr>
        <w:t>（二）负责市本级和岳阳楼区、岳阳经济技术开发区、南湖新区、城陵矶新港区下列文化市场行政执法工作：依法查处娱乐场所、互联网上网服务营业场所的违法行为；查处演出、艺术品经营及进出口、文物经营等活动中的违法行为；查处文化艺术经营、展览展播活动中的违法行为；查处社会艺术考级活动中的违法行为；查处除制作、播出、传输等机构外的企业、个人和社会组织从事广播、电影、电视活动中的违法行为，查处电影放映单位的违法行为，查处安装和设置卫星电视广播地面接收设施、传送境外卫星电视节目中的违法行为，查处放映未取得《电影片公映许可证》的电影片和走私放映盗版影片等违法活动；查处图书、音像制品、电子出版物等方面的违法出版活动和印刷、复制、出版物发行中的违法经营活动，查处非法出版单位和个人的违法出版活动；查处著作权侵权行为；查处网络文化、网络视听、网络出版等方面的违法经营活动；配合查处生产、销售、使用“伪基站”设备的违法行为；</w:t>
      </w:r>
    </w:p>
    <w:p>
      <w:pPr>
        <w:jc w:val="left"/>
        <w:rPr>
          <w:rFonts w:hint="eastAsia" w:asciiTheme="minorEastAsia" w:hAnsiTheme="minorEastAsia"/>
          <w:sz w:val="32"/>
          <w:szCs w:val="32"/>
        </w:rPr>
      </w:pPr>
      <w:r>
        <w:rPr>
          <w:rFonts w:hint="eastAsia" w:asciiTheme="minorEastAsia" w:hAnsiTheme="minorEastAsia"/>
          <w:sz w:val="32"/>
          <w:szCs w:val="32"/>
          <w:lang w:eastAsia="zh-CN"/>
        </w:rPr>
        <w:t>　　</w:t>
      </w:r>
      <w:r>
        <w:rPr>
          <w:rFonts w:hint="eastAsia" w:asciiTheme="minorEastAsia" w:hAnsiTheme="minorEastAsia"/>
          <w:sz w:val="32"/>
          <w:szCs w:val="32"/>
        </w:rPr>
        <w:t>（三）负责查处职责范围内违反文物保护、非物质文化遗产保护、公共文化服务保障法律法规规章规定的行为。</w:t>
      </w:r>
    </w:p>
    <w:p>
      <w:pPr>
        <w:jc w:val="left"/>
        <w:rPr>
          <w:rFonts w:hint="eastAsia" w:asciiTheme="minorEastAsia" w:hAnsiTheme="minorEastAsia"/>
          <w:sz w:val="32"/>
          <w:szCs w:val="32"/>
        </w:rPr>
      </w:pPr>
      <w:r>
        <w:rPr>
          <w:rFonts w:hint="eastAsia" w:asciiTheme="minorEastAsia" w:hAnsiTheme="minorEastAsia"/>
          <w:sz w:val="32"/>
          <w:szCs w:val="32"/>
          <w:lang w:eastAsia="zh-CN"/>
        </w:rPr>
        <w:t>　　</w:t>
      </w:r>
      <w:r>
        <w:rPr>
          <w:rFonts w:hint="eastAsia" w:asciiTheme="minorEastAsia" w:hAnsiTheme="minorEastAsia"/>
          <w:sz w:val="32"/>
          <w:szCs w:val="32"/>
        </w:rPr>
        <w:t>（四）负责依法查处旅游市场的违法违规行为。</w:t>
      </w:r>
    </w:p>
    <w:p>
      <w:pPr>
        <w:jc w:val="left"/>
        <w:rPr>
          <w:rFonts w:hint="eastAsia" w:asciiTheme="minorEastAsia" w:hAnsiTheme="minorEastAsia"/>
          <w:sz w:val="32"/>
          <w:szCs w:val="32"/>
        </w:rPr>
      </w:pPr>
      <w:r>
        <w:rPr>
          <w:rFonts w:hint="eastAsia" w:asciiTheme="minorEastAsia" w:hAnsiTheme="minorEastAsia"/>
          <w:sz w:val="32"/>
          <w:szCs w:val="32"/>
          <w:lang w:eastAsia="zh-CN"/>
        </w:rPr>
        <w:t>　　</w:t>
      </w:r>
      <w:r>
        <w:rPr>
          <w:rFonts w:hint="eastAsia" w:asciiTheme="minorEastAsia" w:hAnsiTheme="minorEastAsia"/>
          <w:sz w:val="32"/>
          <w:szCs w:val="32"/>
        </w:rPr>
        <w:t>（五）负责受理对文化旅游市场违法行为的投诉、举报。</w:t>
      </w:r>
    </w:p>
    <w:p>
      <w:pPr>
        <w:jc w:val="left"/>
        <w:rPr>
          <w:rFonts w:hint="eastAsia" w:asciiTheme="minorEastAsia" w:hAnsiTheme="minorEastAsia"/>
          <w:sz w:val="32"/>
          <w:szCs w:val="32"/>
        </w:rPr>
      </w:pPr>
      <w:r>
        <w:rPr>
          <w:rFonts w:hint="eastAsia" w:asciiTheme="minorEastAsia" w:hAnsiTheme="minorEastAsia"/>
          <w:sz w:val="32"/>
          <w:szCs w:val="32"/>
          <w:lang w:eastAsia="zh-CN"/>
        </w:rPr>
        <w:t>　　</w:t>
      </w:r>
      <w:r>
        <w:rPr>
          <w:rFonts w:hint="eastAsia" w:asciiTheme="minorEastAsia" w:hAnsiTheme="minorEastAsia"/>
          <w:sz w:val="32"/>
          <w:szCs w:val="32"/>
        </w:rPr>
        <w:t>（六）承担“扫黄打非”有关工作。</w:t>
      </w:r>
    </w:p>
    <w:p>
      <w:pPr>
        <w:jc w:val="left"/>
        <w:rPr>
          <w:rFonts w:ascii="仿宋_GB2312" w:eastAsia="仿宋_GB2312" w:hAnsiTheme="minorEastAsia"/>
          <w:sz w:val="28"/>
          <w:szCs w:val="32"/>
        </w:rPr>
      </w:pPr>
      <w:r>
        <w:rPr>
          <w:rFonts w:hint="eastAsia" w:asciiTheme="minorEastAsia" w:hAnsiTheme="minorEastAsia"/>
          <w:sz w:val="32"/>
          <w:szCs w:val="32"/>
          <w:lang w:eastAsia="zh-CN"/>
        </w:rPr>
        <w:t>　　</w:t>
      </w:r>
      <w:r>
        <w:rPr>
          <w:rFonts w:hint="eastAsia" w:asciiTheme="minorEastAsia" w:hAnsiTheme="minorEastAsia"/>
          <w:sz w:val="32"/>
          <w:szCs w:val="32"/>
        </w:rPr>
        <w:t>（七）承办法律法规规章规定和市委、市人民政府及市文化旅游广电局交办的其他事项。一）贯彻执行党和国家有关文化（文物）、广播影视、新闻出版、版权管理、旅游、非物质文化遗产、公共文化服务保障法律法规规章和方针政策；拟订全市文化市场行政执法工作方面的规范性文件、总体规划和年度计划，并组织实施；负责对县市区文化市场行政执法机构的业务指导、协调和监督。</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eastAsiaTheme="minorEastAsia"/>
          <w:bCs/>
          <w:i/>
          <w:iCs/>
          <w:color w:val="FF0000"/>
          <w:kern w:val="0"/>
          <w:sz w:val="32"/>
          <w:szCs w:val="32"/>
          <w:lang w:eastAsia="zh-CN"/>
        </w:rPr>
      </w:pPr>
      <w:r>
        <w:rPr>
          <w:rFonts w:hint="eastAsia" w:asciiTheme="minorEastAsia" w:hAnsiTheme="minorEastAsia"/>
          <w:bCs/>
          <w:kern w:val="0"/>
          <w:sz w:val="32"/>
          <w:szCs w:val="32"/>
          <w:lang w:eastAsia="zh-CN"/>
        </w:rPr>
        <w:t>岳阳市文化市场综合行政执法支队</w:t>
      </w:r>
      <w:r>
        <w:rPr>
          <w:rFonts w:hint="eastAsia" w:asciiTheme="minorEastAsia" w:hAnsiTheme="minorEastAsia"/>
          <w:bCs/>
          <w:kern w:val="0"/>
          <w:sz w:val="32"/>
          <w:szCs w:val="32"/>
        </w:rPr>
        <w:t>独立编制、核算机构数 1 个，现有人员编制61 名，为公益一类事业单位。设内设机构4个：综合科、政策宣教科、</w:t>
      </w:r>
      <w:r>
        <w:rPr>
          <w:rFonts w:hint="eastAsia" w:asciiTheme="minorEastAsia" w:hAnsiTheme="minorEastAsia"/>
          <w:bCs/>
          <w:kern w:val="0"/>
          <w:sz w:val="32"/>
          <w:szCs w:val="32"/>
          <w:lang w:eastAsia="zh-CN"/>
        </w:rPr>
        <w:t>信</w:t>
      </w:r>
      <w:r>
        <w:rPr>
          <w:rFonts w:hint="eastAsia" w:asciiTheme="minorEastAsia" w:hAnsiTheme="minorEastAsia"/>
          <w:bCs/>
          <w:kern w:val="0"/>
          <w:sz w:val="32"/>
          <w:szCs w:val="32"/>
        </w:rPr>
        <w:t>息科、党委办；直属机构8个：法制大队、直属一大队、直属二大队、直属三大队、直属四大队、直属五大队、直属六大队、直属七大队。</w:t>
      </w: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asciiTheme="minorEastAsia" w:hAnsiTheme="minorEastAsia"/>
          <w:bCs/>
          <w:i/>
          <w:iCs/>
          <w:kern w:val="0"/>
          <w:sz w:val="32"/>
          <w:szCs w:val="32"/>
        </w:rPr>
      </w:pPr>
      <w:r>
        <w:rPr>
          <w:rFonts w:hint="eastAsia" w:asciiTheme="minorEastAsia" w:hAnsiTheme="minorEastAsia"/>
          <w:bCs/>
          <w:kern w:val="0"/>
          <w:sz w:val="32"/>
          <w:szCs w:val="32"/>
          <w:lang w:eastAsia="zh-CN"/>
        </w:rPr>
        <w:t>岳阳市文化市场综合行政执法支队</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岳阳市文化市场综合行政执法支队</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871.41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140.35</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13.87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厉行节约财政经费压缩以及其他收入减少。</w:t>
      </w:r>
    </w:p>
    <w:p>
      <w:pPr>
        <w:pStyle w:val="11"/>
        <w:ind w:firstLine="640" w:firstLineChars="200"/>
        <w:rPr>
          <w:rFonts w:hint="eastAsia" w:asciiTheme="minorEastAsia" w:hAnsiTheme="minorEastAsia" w:eastAsiaTheme="minorEastAsia"/>
          <w:sz w:val="32"/>
          <w:szCs w:val="32"/>
          <w:lang w:eastAsia="zh-CN"/>
        </w:rPr>
      </w:pP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760.17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742.67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97.7</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万元，占XX</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860.54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793.95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92.26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66.59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sz w:val="32"/>
          <w:szCs w:val="32"/>
        </w:rPr>
      </w:pPr>
    </w:p>
    <w:p>
      <w:pPr>
        <w:pStyle w:val="11"/>
        <w:rPr>
          <w:rFonts w:hAnsi="黑体"/>
          <w:b/>
          <w:sz w:val="32"/>
          <w:szCs w:val="32"/>
        </w:rPr>
      </w:pPr>
      <w:r>
        <w:rPr>
          <w:rFonts w:hint="eastAsia" w:hAnsi="黑体"/>
          <w:b/>
          <w:sz w:val="32"/>
          <w:szCs w:val="32"/>
        </w:rPr>
        <w:t>四、财政拨款收入支出决算总体情况说明</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796.28</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59.92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单位厉行节约，减少开支。</w:t>
      </w:r>
    </w:p>
    <w:p>
      <w:pPr>
        <w:pStyle w:val="11"/>
        <w:ind w:firstLine="640" w:firstLineChars="200"/>
        <w:rPr>
          <w:rFonts w:hint="eastAsia" w:asciiTheme="minorEastAsia" w:hAnsiTheme="minorEastAsia" w:eastAsiaTheme="minorEastAsia"/>
          <w:sz w:val="32"/>
          <w:szCs w:val="32"/>
          <w:lang w:eastAsia="zh-CN"/>
        </w:rPr>
      </w:pP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795.7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92.47</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6.89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0.86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单位厉行节约，减少开支</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795.7</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0.41</w:t>
      </w:r>
      <w:r>
        <w:rPr>
          <w:rFonts w:hint="eastAsia" w:asciiTheme="minorEastAsia" w:hAnsiTheme="minorEastAsia" w:eastAsiaTheme="minorEastAsia"/>
          <w:sz w:val="32"/>
          <w:szCs w:val="32"/>
        </w:rPr>
        <w:t>%；文化旅游体育与传媒支出7</w:t>
      </w:r>
      <w:r>
        <w:rPr>
          <w:rFonts w:hint="eastAsia" w:asciiTheme="minorEastAsia" w:hAnsiTheme="minorEastAsia" w:eastAsiaTheme="minorEastAsia"/>
          <w:sz w:val="32"/>
          <w:szCs w:val="32"/>
          <w:lang w:val="en-US" w:eastAsia="zh-CN"/>
        </w:rPr>
        <w:t>05.6万元，占88.68%；</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61.04万元，占7.67%；</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25.76万元，占3.24%。</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639.41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796.28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124.54</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1、一般公共服务支出（类）宣传事务（款）其他宣传事务支出（项）。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color w:val="auto"/>
          <w:sz w:val="32"/>
          <w:szCs w:val="32"/>
        </w:rPr>
        <w:t>：</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2、文化旅游体育与传媒支出（类）文化和旅游（款）一般行政管理事务（项）。</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19.25</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1"/>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文化旅游体育与传媒支出（类）文化和旅游（款）其他文化和旅游支出（项）。</w:t>
      </w:r>
    </w:p>
    <w:p>
      <w:pPr>
        <w:pStyle w:val="11"/>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84.75</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1"/>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文化旅游体育与传媒支出（类）新闻出版电影（款）行政运行（项）。</w:t>
      </w:r>
    </w:p>
    <w:p>
      <w:pPr>
        <w:pStyle w:val="11"/>
        <w:numPr>
          <w:ilvl w:val="0"/>
          <w:numId w:val="0"/>
        </w:numPr>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429.04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137.66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当年人员工资调整增加费用。</w:t>
      </w:r>
    </w:p>
    <w:p>
      <w:pPr>
        <w:pStyle w:val="11"/>
        <w:numPr>
          <w:ilvl w:val="0"/>
          <w:numId w:val="3"/>
        </w:numPr>
        <w:ind w:left="0" w:leftChars="0"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文化旅游体育与传媒支出（类）新闻出版电影（款）其他新闻出版电影支出（项）。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1"/>
        <w:numPr>
          <w:ilvl w:val="0"/>
          <w:numId w:val="3"/>
        </w:numPr>
        <w:ind w:left="0" w:leftChars="0" w:firstLine="800" w:firstLineChars="250"/>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（类）行政事业单位养老支出（款） 机关事业单位基本养老保险缴费支出（项）。</w:t>
      </w:r>
    </w:p>
    <w:p>
      <w:pPr>
        <w:pStyle w:val="11"/>
        <w:ind w:firstLine="800" w:firstLineChars="250"/>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年初预算为</w:t>
      </w:r>
      <w:r>
        <w:rPr>
          <w:rFonts w:hint="eastAsia" w:asciiTheme="minorEastAsia" w:hAnsiTheme="minorEastAsia" w:eastAsiaTheme="minorEastAsia"/>
          <w:sz w:val="32"/>
          <w:szCs w:val="32"/>
          <w:lang w:val="en-US" w:eastAsia="zh-CN"/>
        </w:rPr>
        <w:t>55.59</w:t>
      </w:r>
      <w:r>
        <w:rPr>
          <w:rFonts w:hint="default" w:asciiTheme="minorEastAsia" w:hAnsiTheme="minorEastAsia" w:eastAsiaTheme="minorEastAsia"/>
          <w:sz w:val="32"/>
          <w:szCs w:val="32"/>
          <w:lang w:val="en-US" w:eastAsia="zh-CN"/>
        </w:rPr>
        <w:t>万元，支出决算为</w:t>
      </w:r>
      <w:r>
        <w:rPr>
          <w:rFonts w:hint="eastAsia" w:asciiTheme="minorEastAsia" w:hAnsiTheme="minorEastAsia" w:eastAsiaTheme="minorEastAsia"/>
          <w:sz w:val="32"/>
          <w:szCs w:val="32"/>
          <w:lang w:val="en-US" w:eastAsia="zh-CN"/>
        </w:rPr>
        <w:t>55.69</w:t>
      </w:r>
      <w:r>
        <w:rPr>
          <w:rFonts w:hint="default" w:asciiTheme="minorEastAsia" w:hAnsiTheme="minorEastAsia" w:eastAsiaTheme="minorEastAsia"/>
          <w:sz w:val="32"/>
          <w:szCs w:val="32"/>
          <w:lang w:val="en-US" w:eastAsia="zh-CN"/>
        </w:rPr>
        <w:t>万元，完成年初预算的</w:t>
      </w:r>
      <w:r>
        <w:rPr>
          <w:rFonts w:hint="eastAsia" w:asciiTheme="minorEastAsia" w:hAnsiTheme="minorEastAsia" w:eastAsiaTheme="minorEastAsia"/>
          <w:sz w:val="32"/>
          <w:szCs w:val="32"/>
          <w:lang w:val="en-US" w:eastAsia="zh-CN"/>
        </w:rPr>
        <w:t>100</w:t>
      </w:r>
      <w:r>
        <w:rPr>
          <w:rFonts w:hint="default"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决算数与年初预算数持平</w:t>
      </w:r>
      <w:r>
        <w:rPr>
          <w:rFonts w:hint="eastAsia" w:asciiTheme="minorEastAsia" w:hAnsiTheme="minorEastAsia" w:eastAsiaTheme="minorEastAsia"/>
          <w:sz w:val="32"/>
          <w:szCs w:val="32"/>
          <w:lang w:eastAsia="zh-CN"/>
        </w:rPr>
        <w:t>，原因是精准预算社保支出</w:t>
      </w:r>
      <w:r>
        <w:rPr>
          <w:rFonts w:hint="eastAsia" w:asciiTheme="minorEastAsia" w:hAnsiTheme="minorEastAsia" w:eastAsiaTheme="minorEastAsia"/>
          <w:sz w:val="32"/>
          <w:szCs w:val="32"/>
        </w:rPr>
        <w:t>。</w:t>
      </w:r>
    </w:p>
    <w:p>
      <w:pPr>
        <w:pStyle w:val="11"/>
        <w:numPr>
          <w:ilvl w:val="0"/>
          <w:numId w:val="3"/>
        </w:numPr>
        <w:ind w:left="0" w:leftChars="0" w:firstLine="800" w:firstLineChars="250"/>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（类）残疾人事业（款）  其他残疾人事业支出（项）。</w:t>
      </w:r>
    </w:p>
    <w:p>
      <w:pPr>
        <w:pStyle w:val="11"/>
        <w:numPr>
          <w:ilvl w:val="0"/>
          <w:numId w:val="0"/>
        </w:numPr>
        <w:ind w:firstLine="960" w:firstLineChars="3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万元，由于预算数为0，无法计算百分比，决算数大于年初预算数的主</w:t>
      </w:r>
      <w:r>
        <w:rPr>
          <w:rFonts w:hint="eastAsia" w:asciiTheme="minorEastAsia" w:hAnsiTheme="minorEastAsia" w:eastAsiaTheme="minorEastAsia"/>
          <w:sz w:val="32"/>
          <w:szCs w:val="32"/>
          <w:highlight w:val="none"/>
        </w:rPr>
        <w:t>要原因是：</w:t>
      </w:r>
      <w:r>
        <w:rPr>
          <w:rFonts w:hint="eastAsia" w:asciiTheme="minorEastAsia" w:hAnsiTheme="minorEastAsia" w:eastAsiaTheme="minorEastAsia"/>
          <w:sz w:val="32"/>
          <w:szCs w:val="32"/>
          <w:highlight w:val="none"/>
          <w:lang w:eastAsia="zh-CN"/>
        </w:rPr>
        <w:t>使用专项残疾人保障金</w:t>
      </w:r>
      <w:r>
        <w:rPr>
          <w:rFonts w:hint="eastAsia" w:asciiTheme="minorEastAsia" w:hAnsiTheme="minorEastAsia" w:eastAsiaTheme="minorEastAsia"/>
          <w:sz w:val="32"/>
          <w:szCs w:val="32"/>
          <w:highlight w:val="none"/>
        </w:rPr>
        <w:t>。</w:t>
      </w:r>
    </w:p>
    <w:p>
      <w:pPr>
        <w:pStyle w:val="11"/>
        <w:numPr>
          <w:ilvl w:val="0"/>
          <w:numId w:val="3"/>
        </w:numPr>
        <w:ind w:left="0" w:leftChars="0"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lang w:eastAsia="zh-CN"/>
        </w:rPr>
        <w:t>（类）行政事业单位医疗（款） 行政单位医疗（项）</w:t>
      </w:r>
      <w:r>
        <w:rPr>
          <w:rFonts w:hint="eastAsia" w:asciiTheme="minorEastAsia" w:hAnsiTheme="minorEastAsia" w:eastAsiaTheme="minorEastAsia"/>
          <w:sz w:val="32"/>
          <w:szCs w:val="32"/>
          <w:lang w:val="en-US" w:eastAsia="zh-CN"/>
        </w:rPr>
        <w:t>。</w:t>
      </w:r>
    </w:p>
    <w:p>
      <w:pPr>
        <w:pStyle w:val="11"/>
        <w:widowControl w:val="0"/>
        <w:numPr>
          <w:ilvl w:val="0"/>
          <w:numId w:val="0"/>
        </w:numPr>
        <w:autoSpaceDE w:val="0"/>
        <w:autoSpaceDN w:val="0"/>
        <w:adjustRightInd w:val="0"/>
        <w:ind w:firstLine="960" w:firstLineChars="3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64.92</w:t>
      </w:r>
      <w:r>
        <w:rPr>
          <w:rFonts w:hint="eastAsia" w:asciiTheme="minorEastAsia" w:hAnsiTheme="minorEastAsia" w:eastAsiaTheme="minorEastAsia"/>
          <w:sz w:val="32"/>
          <w:szCs w:val="32"/>
        </w:rPr>
        <w:t>%，决算数小于年初预算数</w:t>
      </w:r>
      <w:r>
        <w:rPr>
          <w:rFonts w:hint="eastAsia"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财政政策调整公务员医疗</w:t>
      </w:r>
      <w:r>
        <w:rPr>
          <w:rFonts w:hint="eastAsia" w:asciiTheme="minorEastAsia" w:hAnsiTheme="minorEastAsia" w:eastAsiaTheme="minorEastAsia"/>
          <w:color w:val="auto"/>
          <w:sz w:val="32"/>
          <w:szCs w:val="32"/>
          <w:highlight w:val="none"/>
          <w:lang w:val="en-US" w:eastAsia="zh-CN"/>
        </w:rPr>
        <w:t>13.92万元。</w:t>
      </w:r>
    </w:p>
    <w:p>
      <w:pPr>
        <w:pStyle w:val="11"/>
        <w:rPr>
          <w:rFonts w:hint="eastAsia" w:hAnsi="黑体"/>
          <w:b/>
          <w:sz w:val="32"/>
          <w:szCs w:val="32"/>
        </w:rPr>
      </w:pP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776.45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596.37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76.81</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180.08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23.19</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1"/>
        <w:ind w:firstLine="640" w:firstLineChars="200"/>
        <w:rPr>
          <w:rFonts w:asciiTheme="minorEastAsia" w:hAnsiTheme="minorEastAsia" w:eastAsiaTheme="minorEastAsia"/>
          <w:i/>
          <w:color w:val="FF0000"/>
          <w:sz w:val="32"/>
          <w:szCs w:val="32"/>
        </w:rPr>
      </w:pP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9.26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59.35</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持平，原因是单位无出国境支出</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单位厉行节约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进一步压缩三公经费</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48.69</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单位厉行节约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进一步压缩三公经费</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持平，原因是单位无公务用车预算</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49.33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单位厉行节约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进一步压缩三公经费</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元，减少</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单位厉行节约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进一步压缩三公经费</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36.01</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5.92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63.99</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安排因公出国（境）</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3.33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340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工作交流学习</w:t>
      </w:r>
      <w:r>
        <w:rPr>
          <w:rFonts w:hint="eastAsia" w:asciiTheme="minorEastAsia" w:hAnsiTheme="minorEastAsia" w:eastAsiaTheme="minorEastAsia"/>
          <w:sz w:val="32"/>
          <w:szCs w:val="32"/>
        </w:rPr>
        <w:t>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5.92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5.92</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公务用车油料费及维修费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4</w:t>
      </w:r>
      <w:r>
        <w:rPr>
          <w:rFonts w:hint="eastAsia" w:asciiTheme="minorEastAsia" w:hAnsiTheme="minorEastAsia"/>
          <w:sz w:val="32"/>
          <w:szCs w:val="32"/>
        </w:rPr>
        <w:t>辆。</w:t>
      </w:r>
    </w:p>
    <w:p>
      <w:pPr>
        <w:pStyle w:val="11"/>
        <w:rPr>
          <w:rFonts w:hint="eastAsia" w:hAnsi="黑体"/>
          <w:b/>
          <w:sz w:val="32"/>
          <w:szCs w:val="32"/>
        </w:rPr>
      </w:pPr>
    </w:p>
    <w:p>
      <w:pPr>
        <w:pStyle w:val="11"/>
        <w:rPr>
          <w:rFonts w:hAnsi="黑体"/>
          <w:b/>
          <w:sz w:val="32"/>
          <w:szCs w:val="32"/>
        </w:rPr>
      </w:pPr>
      <w:r>
        <w:rPr>
          <w:rFonts w:hint="eastAsia" w:hAnsi="黑体"/>
          <w:b/>
          <w:sz w:val="32"/>
          <w:szCs w:val="32"/>
        </w:rPr>
        <w:t>八、政府性基金预算收入支出决算情况</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2021年度本单位无政府性基金收支</w:t>
      </w:r>
      <w:r>
        <w:rPr>
          <w:rFonts w:hint="eastAsia" w:asciiTheme="minorEastAsia" w:hAnsiTheme="minorEastAsia" w:eastAsiaTheme="minorEastAsia"/>
          <w:sz w:val="32"/>
          <w:szCs w:val="32"/>
          <w:lang w:eastAsia="zh-CN"/>
        </w:rPr>
        <w:t>。</w:t>
      </w:r>
    </w:p>
    <w:p>
      <w:pPr>
        <w:pStyle w:val="11"/>
        <w:ind w:firstLine="800" w:firstLineChars="250"/>
        <w:rPr>
          <w:rFonts w:hint="eastAsia" w:asciiTheme="minorEastAsia" w:hAnsiTheme="minorEastAsia" w:eastAsiaTheme="minorEastAsia"/>
          <w:sz w:val="32"/>
          <w:szCs w:val="32"/>
          <w:lang w:eastAsia="zh-CN"/>
        </w:rPr>
      </w:pPr>
    </w:p>
    <w:p>
      <w:pPr>
        <w:pStyle w:val="11"/>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2021年度本单位无国有资本经营预算财政拨款支出</w:t>
      </w:r>
    </w:p>
    <w:p>
      <w:pPr>
        <w:pStyle w:val="11"/>
        <w:ind w:firstLine="640" w:firstLineChars="200"/>
        <w:rPr>
          <w:rFonts w:hint="default" w:asciiTheme="minorEastAsia" w:hAnsiTheme="minorEastAsia" w:eastAsiaTheme="minorEastAsia"/>
          <w:sz w:val="32"/>
          <w:szCs w:val="32"/>
          <w:lang w:val="en-US" w:eastAsia="zh-CN"/>
        </w:rPr>
      </w:pP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180.08</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27.64</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单位</w:t>
      </w:r>
      <w:r>
        <w:rPr>
          <w:rFonts w:hint="eastAsia" w:asciiTheme="minorEastAsia" w:hAnsiTheme="minorEastAsia" w:eastAsiaTheme="minorEastAsia"/>
          <w:color w:val="auto"/>
          <w:sz w:val="32"/>
          <w:szCs w:val="32"/>
        </w:rPr>
        <w:t>履职尽责任务增加、物价上涨。</w:t>
      </w:r>
    </w:p>
    <w:p>
      <w:pPr>
        <w:pStyle w:val="11"/>
        <w:rPr>
          <w:rFonts w:hint="eastAsia" w:hAnsi="黑体"/>
          <w:b/>
          <w:sz w:val="32"/>
          <w:szCs w:val="32"/>
        </w:rPr>
      </w:pPr>
    </w:p>
    <w:p>
      <w:pPr>
        <w:pStyle w:val="11"/>
        <w:rPr>
          <w:rFonts w:hAnsi="黑体"/>
          <w:b/>
          <w:color w:val="auto"/>
          <w:sz w:val="32"/>
          <w:szCs w:val="32"/>
        </w:rPr>
      </w:pPr>
      <w:r>
        <w:rPr>
          <w:rFonts w:hint="eastAsia" w:hAnsi="黑体"/>
          <w:b/>
          <w:sz w:val="32"/>
          <w:szCs w:val="32"/>
        </w:rPr>
        <w:t>十一、一般性支出情况说明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color w:val="auto"/>
          <w:sz w:val="32"/>
          <w:szCs w:val="32"/>
        </w:rPr>
        <w:t>2021年本部门开支会议费</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开支培训费</w:t>
      </w:r>
      <w:r>
        <w:rPr>
          <w:rFonts w:hint="eastAsia" w:asciiTheme="minorEastAsia" w:hAnsiTheme="minorEastAsia" w:eastAsiaTheme="minorEastAsia"/>
          <w:color w:val="auto"/>
          <w:sz w:val="32"/>
          <w:szCs w:val="32"/>
          <w:lang w:val="en-US" w:eastAsia="zh-CN"/>
        </w:rPr>
        <w:t>0.4</w:t>
      </w:r>
      <w:r>
        <w:rPr>
          <w:rFonts w:hint="eastAsia" w:asciiTheme="minorEastAsia" w:hAnsiTheme="minorEastAsia" w:eastAsiaTheme="minorEastAsia"/>
          <w:color w:val="auto"/>
          <w:sz w:val="32"/>
          <w:szCs w:val="32"/>
        </w:rPr>
        <w:t>万元，用于</w:t>
      </w:r>
      <w:r>
        <w:rPr>
          <w:rFonts w:hint="eastAsia" w:asciiTheme="minorEastAsia" w:hAnsiTheme="minorEastAsia" w:eastAsiaTheme="minorEastAsia"/>
          <w:color w:val="auto"/>
          <w:sz w:val="32"/>
          <w:szCs w:val="32"/>
          <w:lang w:eastAsia="zh-CN"/>
        </w:rPr>
        <w:t>单位职工参加党校培训</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2021</w:t>
      </w:r>
      <w:r>
        <w:rPr>
          <w:rFonts w:hint="eastAsia" w:asciiTheme="minorEastAsia" w:hAnsiTheme="minorEastAsia" w:eastAsiaTheme="minorEastAsia"/>
          <w:sz w:val="32"/>
          <w:szCs w:val="32"/>
          <w:lang w:val="en-US" w:eastAsia="zh-CN"/>
        </w:rPr>
        <w:t>年未</w:t>
      </w:r>
      <w:r>
        <w:rPr>
          <w:rFonts w:hint="eastAsia" w:asciiTheme="minorEastAsia" w:hAnsiTheme="minorEastAsia" w:eastAsiaTheme="minorEastAsia"/>
          <w:sz w:val="32"/>
          <w:szCs w:val="32"/>
        </w:rPr>
        <w:t>举办节庆、晚会、论坛、赛事活动。</w:t>
      </w:r>
    </w:p>
    <w:p>
      <w:pPr>
        <w:pStyle w:val="11"/>
        <w:ind w:firstLine="640" w:firstLineChars="200"/>
        <w:rPr>
          <w:rFonts w:asciiTheme="minorEastAsia" w:hAnsiTheme="minorEastAsia" w:eastAsiaTheme="minorEastAsia"/>
          <w:i/>
          <w:iCs/>
          <w:sz w:val="32"/>
          <w:szCs w:val="32"/>
        </w:rPr>
      </w:pP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int="eastAsia" w:hAnsi="黑体"/>
          <w:b/>
          <w:sz w:val="32"/>
          <w:szCs w:val="32"/>
          <w:lang w:eastAsia="zh-CN"/>
        </w:rPr>
      </w:pPr>
    </w:p>
    <w:p>
      <w:pPr>
        <w:pStyle w:val="11"/>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w:t>
      </w:r>
      <w:r>
        <w:rPr>
          <w:rFonts w:hint="eastAsia" w:ascii="宋体" w:hAnsi="宋体" w:cs="黑体"/>
          <w:color w:val="000000"/>
          <w:kern w:val="0"/>
          <w:sz w:val="32"/>
          <w:szCs w:val="32"/>
          <w:lang w:eastAsia="zh-CN"/>
        </w:rPr>
        <w:t>单位</w:t>
      </w:r>
      <w:r>
        <w:rPr>
          <w:rFonts w:hint="eastAsia" w:ascii="宋体" w:hAnsi="宋体" w:cs="黑体"/>
          <w:color w:val="000000"/>
          <w:kern w:val="0"/>
          <w:sz w:val="32"/>
          <w:szCs w:val="32"/>
        </w:rPr>
        <w:t>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年度一般公共预算项目支出全面开展绩效自评，其中，一级项目</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个，二级项目</w:t>
      </w:r>
      <w:r>
        <w:rPr>
          <w:rFonts w:hint="eastAsia" w:ascii="宋体" w:hAnsi="宋体" w:cs="黑体"/>
          <w:color w:val="000000"/>
          <w:kern w:val="0"/>
          <w:sz w:val="32"/>
          <w:szCs w:val="32"/>
          <w:lang w:val="en-US" w:eastAsia="zh-CN"/>
        </w:rPr>
        <w:t>3</w:t>
      </w:r>
      <w:r>
        <w:rPr>
          <w:rFonts w:ascii="宋体" w:hAnsi="宋体" w:cs="黑体"/>
          <w:color w:val="000000"/>
          <w:kern w:val="0"/>
          <w:sz w:val="32"/>
          <w:szCs w:val="32"/>
        </w:rPr>
        <w:t xml:space="preserve"> </w:t>
      </w:r>
      <w:r>
        <w:rPr>
          <w:rFonts w:hint="eastAsia" w:ascii="宋体" w:hAnsi="宋体" w:cs="黑体"/>
          <w:color w:val="000000"/>
          <w:kern w:val="0"/>
          <w:sz w:val="32"/>
          <w:szCs w:val="32"/>
        </w:rPr>
        <w:t>个，共涉及资金</w:t>
      </w:r>
      <w:r>
        <w:rPr>
          <w:rFonts w:hint="eastAsia" w:ascii="宋体" w:hAnsi="宋体" w:cs="黑体"/>
          <w:color w:val="000000"/>
          <w:kern w:val="0"/>
          <w:sz w:val="32"/>
          <w:szCs w:val="32"/>
          <w:lang w:val="en-US" w:eastAsia="zh-CN"/>
        </w:rPr>
        <w:t>34.8</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。组织对</w:t>
      </w:r>
      <w:r>
        <w:rPr>
          <w:rFonts w:ascii="宋体" w:hAnsi="宋体" w:cs="黑体"/>
          <w:color w:val="000000"/>
          <w:kern w:val="0"/>
          <w:sz w:val="32"/>
          <w:szCs w:val="32"/>
        </w:rPr>
        <w:t>2021</w:t>
      </w:r>
      <w:r>
        <w:rPr>
          <w:rFonts w:hint="eastAsia" w:ascii="宋体" w:hAnsi="宋体" w:cs="黑体"/>
          <w:color w:val="000000"/>
          <w:kern w:val="0"/>
          <w:sz w:val="32"/>
          <w:szCs w:val="32"/>
        </w:rPr>
        <w:t>年度政府性基金预算项目支出开展绩效自评，共涉及资金</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 xml:space="preserve"> </w:t>
      </w:r>
      <w:r>
        <w:rPr>
          <w:rFonts w:hint="eastAsia" w:ascii="宋体" w:hAnsi="宋体" w:cs="黑体"/>
          <w:color w:val="000000"/>
          <w:kern w:val="0"/>
          <w:sz w:val="32"/>
          <w:szCs w:val="32"/>
        </w:rPr>
        <w:t>万元，占政府性基金预算项目支出总额的</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w:t>
      </w:r>
      <w:r>
        <w:rPr>
          <w:rFonts w:hint="eastAsia" w:ascii="宋体" w:hAnsi="宋体" w:cs="黑体"/>
          <w:color w:val="000000"/>
          <w:kern w:val="0"/>
          <w:sz w:val="32"/>
          <w:szCs w:val="32"/>
        </w:rPr>
        <w:t>。组织对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年度国有资本经营预算项目支出开展绩效自评，共涉及资金</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 xml:space="preserve"> </w:t>
      </w:r>
      <w:r>
        <w:rPr>
          <w:rFonts w:hint="eastAsia" w:ascii="宋体" w:hAnsi="宋体" w:cs="黑体"/>
          <w:color w:val="000000"/>
          <w:kern w:val="0"/>
          <w:sz w:val="32"/>
          <w:szCs w:val="32"/>
        </w:rPr>
        <w:t>万元，占国有资本经营预算项目支出总额的</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w:t>
      </w:r>
      <w:r>
        <w:rPr>
          <w:rFonts w:hint="eastAsia" w:ascii="宋体" w:hAnsi="宋体" w:cs="黑体"/>
          <w:color w:val="000000"/>
          <w:kern w:val="0"/>
          <w:sz w:val="32"/>
          <w:szCs w:val="32"/>
        </w:rPr>
        <w:t>。</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组织对“执法监管办案专项经费”“</w:t>
      </w:r>
      <w:r>
        <w:rPr>
          <w:rFonts w:hint="eastAsia" w:ascii="宋体" w:hAnsi="宋体" w:cs="黑体"/>
          <w:color w:val="000000"/>
          <w:kern w:val="0"/>
          <w:sz w:val="32"/>
          <w:szCs w:val="32"/>
          <w:lang w:eastAsia="zh-CN"/>
        </w:rPr>
        <w:t>办案费</w:t>
      </w:r>
      <w:r>
        <w:rPr>
          <w:rFonts w:hint="eastAsia" w:ascii="宋体" w:hAnsi="宋体" w:cs="黑体"/>
          <w:color w:val="000000"/>
          <w:kern w:val="0"/>
          <w:sz w:val="32"/>
          <w:szCs w:val="32"/>
        </w:rPr>
        <w:t>”</w:t>
      </w:r>
      <w:r>
        <w:rPr>
          <w:rFonts w:hint="eastAsia" w:ascii="宋体" w:hAnsi="宋体" w:cs="黑体"/>
          <w:color w:val="000000"/>
          <w:kern w:val="0"/>
          <w:sz w:val="32"/>
          <w:szCs w:val="32"/>
          <w:lang w:eastAsia="zh-CN"/>
        </w:rPr>
        <w:t>“扫黄打非工作专项经费”</w:t>
      </w:r>
      <w:r>
        <w:rPr>
          <w:rFonts w:hint="eastAsia" w:ascii="宋体" w:hAnsi="宋体" w:cs="黑体"/>
          <w:color w:val="000000"/>
          <w:kern w:val="0"/>
          <w:sz w:val="32"/>
          <w:szCs w:val="32"/>
        </w:rPr>
        <w:t>等</w:t>
      </w:r>
      <w:r>
        <w:rPr>
          <w:rFonts w:hint="eastAsia" w:ascii="宋体" w:hAnsi="宋体" w:cs="黑体"/>
          <w:color w:val="000000"/>
          <w:kern w:val="0"/>
          <w:sz w:val="32"/>
          <w:szCs w:val="32"/>
          <w:lang w:val="en-US" w:eastAsia="zh-CN"/>
        </w:rPr>
        <w:t>3</w:t>
      </w:r>
      <w:r>
        <w:rPr>
          <w:rFonts w:hint="eastAsia" w:ascii="宋体" w:hAnsi="宋体" w:cs="黑体"/>
          <w:color w:val="000000"/>
          <w:kern w:val="0"/>
          <w:sz w:val="32"/>
          <w:szCs w:val="32"/>
        </w:rPr>
        <w:t>个项目开展了部门评价，涉及一般公共预算支出</w:t>
      </w:r>
      <w:r>
        <w:rPr>
          <w:rFonts w:hint="eastAsia" w:ascii="宋体" w:hAnsi="宋体" w:cs="黑体"/>
          <w:color w:val="000000"/>
          <w:kern w:val="0"/>
          <w:sz w:val="32"/>
          <w:szCs w:val="32"/>
          <w:lang w:val="en-US" w:eastAsia="zh-CN"/>
        </w:rPr>
        <w:t>34.8</w:t>
      </w:r>
      <w:r>
        <w:rPr>
          <w:rFonts w:ascii="宋体" w:hAnsi="宋体" w:cs="黑体"/>
          <w:color w:val="000000"/>
          <w:kern w:val="0"/>
          <w:sz w:val="32"/>
          <w:szCs w:val="32"/>
        </w:rPr>
        <w:t xml:space="preserve"> </w:t>
      </w:r>
      <w:r>
        <w:rPr>
          <w:rFonts w:hint="eastAsia" w:ascii="宋体" w:hAnsi="宋体" w:cs="黑体"/>
          <w:color w:val="000000"/>
          <w:kern w:val="0"/>
          <w:sz w:val="32"/>
          <w:szCs w:val="32"/>
        </w:rPr>
        <w:t>万元，政府性基金预算支出</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 xml:space="preserve"> </w:t>
      </w:r>
      <w:r>
        <w:rPr>
          <w:rFonts w:hint="eastAsia" w:ascii="宋体" w:hAnsi="宋体" w:cs="黑体"/>
          <w:color w:val="000000"/>
          <w:kern w:val="0"/>
          <w:sz w:val="32"/>
          <w:szCs w:val="32"/>
        </w:rPr>
        <w:t>万元，国有资本经营预算支出</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 xml:space="preserve"> </w:t>
      </w:r>
      <w:r>
        <w:rPr>
          <w:rFonts w:hint="eastAsia" w:ascii="宋体" w:hAnsi="宋体" w:cs="黑体"/>
          <w:color w:val="000000"/>
          <w:kern w:val="0"/>
          <w:sz w:val="32"/>
          <w:szCs w:val="32"/>
        </w:rPr>
        <w:t>万元。从评价情况来看，行使扫黄打非、版权执法职能，为全市的经济发展和社会稳定创造良好的社会文化环境。</w:t>
      </w:r>
    </w:p>
    <w:p>
      <w:pPr>
        <w:autoSpaceDE w:val="0"/>
        <w:autoSpaceDN w:val="0"/>
        <w:adjustRightInd w:val="0"/>
        <w:ind w:firstLine="640" w:firstLineChars="200"/>
        <w:jc w:val="left"/>
        <w:rPr>
          <w:rFonts w:hint="eastAsia" w:ascii="宋体" w:hAnsi="宋体" w:cs="黑体" w:eastAsiaTheme="minorEastAsia"/>
          <w:color w:val="000000"/>
          <w:kern w:val="0"/>
          <w:sz w:val="32"/>
          <w:szCs w:val="32"/>
          <w:lang w:eastAsia="zh-CN"/>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eastAsia="zh-CN"/>
        </w:rPr>
        <w:t>岳阳市文化市场综合执法局</w:t>
      </w:r>
      <w:r>
        <w:rPr>
          <w:rFonts w:hint="eastAsia" w:ascii="宋体" w:hAnsi="宋体" w:cs="黑体"/>
          <w:color w:val="000000"/>
          <w:kern w:val="0"/>
          <w:sz w:val="32"/>
          <w:szCs w:val="32"/>
        </w:rPr>
        <w:t>等</w:t>
      </w: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个单位开展整体支出绩效评价，涉及一般公共预算支出</w:t>
      </w:r>
      <w:r>
        <w:rPr>
          <w:rFonts w:hint="eastAsia" w:ascii="宋体" w:hAnsi="宋体" w:cs="黑体"/>
          <w:color w:val="000000"/>
          <w:kern w:val="0"/>
          <w:sz w:val="32"/>
          <w:szCs w:val="32"/>
          <w:lang w:val="en-US" w:eastAsia="zh-CN"/>
        </w:rPr>
        <w:t>639.41</w:t>
      </w:r>
      <w:r>
        <w:rPr>
          <w:rFonts w:ascii="宋体" w:hAnsi="宋体" w:cs="黑体"/>
          <w:color w:val="000000"/>
          <w:kern w:val="0"/>
          <w:sz w:val="32"/>
          <w:szCs w:val="32"/>
        </w:rPr>
        <w:t xml:space="preserve"> </w:t>
      </w:r>
      <w:r>
        <w:rPr>
          <w:rFonts w:hint="eastAsia" w:ascii="宋体" w:hAnsi="宋体" w:cs="黑体"/>
          <w:color w:val="000000"/>
          <w:kern w:val="0"/>
          <w:sz w:val="32"/>
          <w:szCs w:val="32"/>
        </w:rPr>
        <w:t>万元，政府性基金预算支出</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 xml:space="preserve"> </w:t>
      </w:r>
      <w:r>
        <w:rPr>
          <w:rFonts w:hint="eastAsia" w:ascii="宋体" w:hAnsi="宋体" w:cs="黑体"/>
          <w:color w:val="000000"/>
          <w:kern w:val="0"/>
          <w:sz w:val="32"/>
          <w:szCs w:val="32"/>
        </w:rPr>
        <w:t>万元。从评价情况来看</w:t>
      </w:r>
      <w:r>
        <w:rPr>
          <w:rFonts w:hint="eastAsia" w:ascii="宋体" w:hAnsi="宋体" w:cs="黑体"/>
          <w:color w:val="000000"/>
          <w:kern w:val="0"/>
          <w:sz w:val="32"/>
          <w:szCs w:val="32"/>
          <w:lang w:eastAsia="zh-CN"/>
        </w:rPr>
        <w:t>，双管齐下，筑牢文化市场安全防线；规范执法，守好日常巡查监管红线；抓重破难，保持专项整治高压态势；深挖细究，查办大要案件凸显实绩；多措并举，提升执法队伍综合能力。</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执法监管办案专项经费项目绩效自评综述：根据年初设定的绩效目标，项目绩效自评得分为</w:t>
      </w:r>
      <w:r>
        <w:rPr>
          <w:rFonts w:hint="eastAsia" w:ascii="宋体" w:hAnsi="宋体" w:cs="黑体"/>
          <w:color w:val="000000"/>
          <w:kern w:val="0"/>
          <w:sz w:val="32"/>
          <w:szCs w:val="32"/>
          <w:lang w:val="en-US" w:eastAsia="zh-CN"/>
        </w:rPr>
        <w:t>99</w:t>
      </w:r>
      <w:r>
        <w:rPr>
          <w:rFonts w:ascii="宋体" w:hAnsi="宋体" w:cs="黑体"/>
          <w:color w:val="000000"/>
          <w:kern w:val="0"/>
          <w:sz w:val="32"/>
          <w:szCs w:val="32"/>
        </w:rPr>
        <w:t xml:space="preserve"> </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9</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9</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。项目绩效目标完成情况：一是全面抓好疫情防控工作，严格落实安全生产监管责任，实行常态化疫情防控监管；二是优化巡查模式强化日常监管，扎实抓好“双随机一公开”工作。发现的主要问题及原因：一是</w:t>
      </w:r>
      <w:r>
        <w:rPr>
          <w:rFonts w:hint="eastAsia" w:ascii="宋体" w:hAnsi="宋体" w:cs="黑体"/>
          <w:color w:val="000000"/>
          <w:kern w:val="0"/>
          <w:sz w:val="32"/>
          <w:szCs w:val="32"/>
          <w:lang w:eastAsia="zh-CN"/>
        </w:rPr>
        <w:t>开展执法培训，提升执法队伍综合能力</w:t>
      </w:r>
      <w:r>
        <w:rPr>
          <w:rFonts w:hint="eastAsia" w:ascii="宋体" w:hAnsi="宋体" w:cs="黑体"/>
          <w:color w:val="000000"/>
          <w:kern w:val="0"/>
          <w:sz w:val="32"/>
          <w:szCs w:val="32"/>
        </w:rPr>
        <w:t>；二是</w:t>
      </w:r>
      <w:r>
        <w:rPr>
          <w:rFonts w:hint="eastAsia" w:ascii="宋体" w:hAnsi="宋体" w:cs="黑体"/>
          <w:color w:val="000000"/>
          <w:kern w:val="0"/>
          <w:sz w:val="32"/>
          <w:szCs w:val="32"/>
          <w:lang w:eastAsia="zh-CN"/>
        </w:rPr>
        <w:t>提高办案效率</w:t>
      </w:r>
      <w:r>
        <w:rPr>
          <w:rFonts w:hint="eastAsia" w:ascii="宋体" w:hAnsi="宋体" w:cs="黑体"/>
          <w:color w:val="000000"/>
          <w:kern w:val="0"/>
          <w:sz w:val="32"/>
          <w:szCs w:val="32"/>
        </w:rPr>
        <w:t>。</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eastAsia="zh-CN"/>
        </w:rPr>
        <w:t>办案费</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99</w:t>
      </w:r>
      <w:r>
        <w:rPr>
          <w:rFonts w:ascii="宋体" w:hAnsi="宋体" w:cs="黑体"/>
          <w:color w:val="000000"/>
          <w:kern w:val="0"/>
          <w:sz w:val="32"/>
          <w:szCs w:val="32"/>
        </w:rPr>
        <w:t xml:space="preserve"> </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24</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10.25</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42.71</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一是强力开展“扫黑除恶”专项整治行动，建章立制提升执法规范化水平，以“扫黄打非”为抓手，严守意识形态阵地，积极开展建党100周年专项保障行动，严密开展暑期文化旅游市场专项整治；二是全年指导各县区大队通过信息直报系统向省文旅厅报送综合执法信息143条，使用技术监管平台办结行政处罚案件475件，向省厅报送重大案件6件，录入网上巡22678次，各项数据显著提升。发现的主要问题及原因：一是</w:t>
      </w:r>
      <w:r>
        <w:rPr>
          <w:rFonts w:hint="eastAsia" w:ascii="宋体" w:hAnsi="宋体" w:cs="黑体"/>
          <w:color w:val="000000"/>
          <w:kern w:val="0"/>
          <w:sz w:val="32"/>
          <w:szCs w:val="32"/>
          <w:lang w:eastAsia="zh-CN"/>
        </w:rPr>
        <w:t>执法力度要加大</w:t>
      </w:r>
      <w:r>
        <w:rPr>
          <w:rFonts w:hint="eastAsia" w:ascii="宋体" w:hAnsi="宋体" w:cs="黑体"/>
          <w:color w:val="000000"/>
          <w:kern w:val="0"/>
          <w:sz w:val="32"/>
          <w:szCs w:val="32"/>
        </w:rPr>
        <w:t>；二是</w:t>
      </w:r>
      <w:r>
        <w:rPr>
          <w:rFonts w:hint="eastAsia" w:ascii="宋体" w:hAnsi="宋体" w:cs="黑体"/>
          <w:color w:val="000000"/>
          <w:kern w:val="0"/>
          <w:sz w:val="32"/>
          <w:szCs w:val="32"/>
          <w:lang w:eastAsia="zh-CN"/>
        </w:rPr>
        <w:t>充实执法队伍</w:t>
      </w:r>
      <w:r>
        <w:rPr>
          <w:rFonts w:hint="eastAsia" w:ascii="宋体" w:hAnsi="宋体" w:cs="黑体"/>
          <w:color w:val="000000"/>
          <w:kern w:val="0"/>
          <w:sz w:val="32"/>
          <w:szCs w:val="32"/>
        </w:rPr>
        <w:t>。下一步改进措施：一是</w:t>
      </w:r>
      <w:r>
        <w:rPr>
          <w:rFonts w:hint="eastAsia" w:ascii="宋体" w:hAnsi="宋体" w:cs="黑体"/>
          <w:color w:val="000000"/>
          <w:kern w:val="0"/>
          <w:sz w:val="32"/>
          <w:szCs w:val="32"/>
          <w:lang w:eastAsia="zh-CN"/>
        </w:rPr>
        <w:t>开展执法培训，提升执法队伍综合能力</w:t>
      </w:r>
      <w:r>
        <w:rPr>
          <w:rFonts w:hint="eastAsia" w:ascii="宋体" w:hAnsi="宋体" w:cs="黑体"/>
          <w:color w:val="000000"/>
          <w:kern w:val="0"/>
          <w:sz w:val="32"/>
          <w:szCs w:val="32"/>
        </w:rPr>
        <w:t>；二是</w:t>
      </w:r>
      <w:r>
        <w:rPr>
          <w:rFonts w:hint="eastAsia" w:ascii="宋体" w:hAnsi="宋体" w:cs="黑体"/>
          <w:color w:val="000000"/>
          <w:kern w:val="0"/>
          <w:sz w:val="32"/>
          <w:szCs w:val="32"/>
          <w:lang w:eastAsia="zh-CN"/>
        </w:rPr>
        <w:t>提高办案效率</w:t>
      </w:r>
      <w:r>
        <w:rPr>
          <w:rFonts w:hint="eastAsia" w:ascii="宋体" w:hAnsi="宋体" w:cs="黑体"/>
          <w:color w:val="000000"/>
          <w:kern w:val="0"/>
          <w:sz w:val="32"/>
          <w:szCs w:val="32"/>
        </w:rPr>
        <w:t>。</w:t>
      </w:r>
    </w:p>
    <w:p>
      <w:pPr>
        <w:pStyle w:val="2"/>
        <w:rPr>
          <w:rFonts w:hint="default" w:eastAsia="宋体"/>
          <w:lang w:val="en-US" w:eastAsia="zh-CN"/>
        </w:rPr>
      </w:pPr>
      <w:r>
        <w:rPr>
          <w:rFonts w:hint="eastAsia"/>
          <w:lang w:val="en-US" w:eastAsia="zh-CN"/>
        </w:rPr>
        <w:t xml:space="preserve">    </w:t>
      </w:r>
      <w:r>
        <w:rPr>
          <w:rFonts w:hint="eastAsia" w:ascii="宋体" w:hAnsi="宋体" w:cs="黑体"/>
          <w:color w:val="000000"/>
          <w:kern w:val="0"/>
          <w:sz w:val="32"/>
          <w:szCs w:val="32"/>
          <w:lang w:eastAsia="zh-CN"/>
        </w:rPr>
        <w:t>扫黄打非工作专项经费</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99</w:t>
      </w:r>
      <w:r>
        <w:rPr>
          <w:rFonts w:ascii="宋体" w:hAnsi="宋体" w:cs="黑体"/>
          <w:color w:val="000000"/>
          <w:kern w:val="0"/>
          <w:sz w:val="32"/>
          <w:szCs w:val="32"/>
        </w:rPr>
        <w:t xml:space="preserve"> </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1.8</w:t>
      </w:r>
      <w:r>
        <w:rPr>
          <w:rFonts w:ascii="宋体" w:hAnsi="宋体" w:cs="黑体"/>
          <w:color w:val="000000"/>
          <w:kern w:val="0"/>
          <w:sz w:val="32"/>
          <w:szCs w:val="32"/>
        </w:rPr>
        <w:t xml:space="preserve"> </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47.34</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2630</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。项目绩效目标完成情况：一是利用“两微一端”等传播政治性有害出版物的行为，集中整治</w:t>
      </w:r>
      <w:r>
        <w:rPr>
          <w:rFonts w:hint="eastAsia" w:ascii="宋体" w:hAnsi="宋体" w:cs="黑体"/>
          <w:color w:val="000000"/>
          <w:kern w:val="0"/>
          <w:sz w:val="32"/>
          <w:szCs w:val="32"/>
          <w:lang w:eastAsia="zh-CN"/>
        </w:rPr>
        <w:t>，保障“扫黄打非”有关工作顺利开展</w:t>
      </w:r>
      <w:r>
        <w:rPr>
          <w:rFonts w:hint="eastAsia" w:ascii="宋体" w:hAnsi="宋体" w:cs="黑体"/>
          <w:color w:val="000000"/>
          <w:kern w:val="0"/>
          <w:sz w:val="32"/>
          <w:szCs w:val="32"/>
        </w:rPr>
        <w:t>；二是支队结合工作实际，认真按照《年度学习规划》组织开展法制培训工作，支队勇于创新，积极推动法制宣传。发现的主要问题及原因：一是</w:t>
      </w:r>
      <w:r>
        <w:rPr>
          <w:rFonts w:hint="eastAsia" w:ascii="宋体" w:hAnsi="宋体" w:cs="黑体"/>
          <w:color w:val="000000"/>
          <w:kern w:val="0"/>
          <w:sz w:val="32"/>
          <w:szCs w:val="32"/>
          <w:lang w:eastAsia="zh-CN"/>
        </w:rPr>
        <w:t>预算编制有待加强</w:t>
      </w:r>
      <w:r>
        <w:rPr>
          <w:rFonts w:hint="eastAsia" w:ascii="宋体" w:hAnsi="宋体" w:cs="黑体"/>
          <w:color w:val="000000"/>
          <w:kern w:val="0"/>
          <w:sz w:val="32"/>
          <w:szCs w:val="32"/>
        </w:rPr>
        <w:t>；二是执法人员学习</w:t>
      </w:r>
      <w:r>
        <w:rPr>
          <w:rFonts w:hint="eastAsia" w:ascii="宋体" w:hAnsi="宋体" w:cs="黑体"/>
          <w:color w:val="000000"/>
          <w:kern w:val="0"/>
          <w:sz w:val="32"/>
          <w:szCs w:val="32"/>
          <w:lang w:eastAsia="zh-CN"/>
        </w:rPr>
        <w:t>有待提高</w:t>
      </w:r>
      <w:r>
        <w:rPr>
          <w:rFonts w:hint="eastAsia" w:ascii="宋体" w:hAnsi="宋体" w:cs="黑体"/>
          <w:color w:val="000000"/>
          <w:kern w:val="0"/>
          <w:sz w:val="32"/>
          <w:szCs w:val="32"/>
        </w:rPr>
        <w:t>。下一步改进措施：一是</w:t>
      </w:r>
      <w:r>
        <w:rPr>
          <w:rFonts w:hint="eastAsia" w:ascii="宋体" w:hAnsi="宋体" w:cs="黑体"/>
          <w:color w:val="000000"/>
          <w:kern w:val="0"/>
          <w:sz w:val="32"/>
          <w:szCs w:val="32"/>
          <w:lang w:eastAsia="zh-CN"/>
        </w:rPr>
        <w:t>加强预算编制</w:t>
      </w:r>
      <w:r>
        <w:rPr>
          <w:rFonts w:hint="eastAsia" w:ascii="宋体" w:hAnsi="宋体" w:cs="黑体"/>
          <w:color w:val="000000"/>
          <w:kern w:val="0"/>
          <w:sz w:val="32"/>
          <w:szCs w:val="32"/>
        </w:rPr>
        <w:t>；二是</w:t>
      </w:r>
      <w:r>
        <w:rPr>
          <w:rFonts w:hint="eastAsia" w:ascii="宋体" w:hAnsi="宋体" w:cs="黑体"/>
          <w:color w:val="000000"/>
          <w:kern w:val="0"/>
          <w:sz w:val="32"/>
          <w:szCs w:val="32"/>
          <w:lang w:eastAsia="zh-CN"/>
        </w:rPr>
        <w:t>开展执法培训，提升执法队伍综合能力</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ind w:firstLine="640" w:firstLineChars="200"/>
        <w:rPr>
          <w:rFonts w:hint="eastAsia"/>
          <w:sz w:val="32"/>
          <w:szCs w:val="32"/>
        </w:rPr>
      </w:pPr>
      <w:r>
        <w:rPr>
          <w:rFonts w:hint="eastAsia"/>
          <w:sz w:val="32"/>
          <w:szCs w:val="32"/>
        </w:rPr>
        <w:t>绩效管理工作开展顺利，部门决算中项目绩效自评结果为</w:t>
      </w:r>
      <w:r>
        <w:rPr>
          <w:rFonts w:hint="eastAsia" w:ascii="宋体" w:hAnsi="宋体" w:cs="黑体"/>
          <w:color w:val="000000"/>
          <w:kern w:val="0"/>
          <w:sz w:val="32"/>
          <w:szCs w:val="32"/>
          <w:lang w:eastAsia="zh-CN"/>
        </w:rPr>
        <w:t>优秀</w:t>
      </w:r>
      <w:r>
        <w:rPr>
          <w:rFonts w:hint="eastAsia"/>
          <w:sz w:val="32"/>
          <w:szCs w:val="32"/>
        </w:rPr>
        <w:t>，部门评价项目绩效评价结果为</w:t>
      </w:r>
      <w:r>
        <w:rPr>
          <w:rFonts w:hint="eastAsia" w:ascii="宋体" w:hAnsi="宋体" w:cs="黑体"/>
          <w:color w:val="000000"/>
          <w:kern w:val="0"/>
          <w:sz w:val="32"/>
          <w:szCs w:val="32"/>
          <w:lang w:eastAsia="zh-CN"/>
        </w:rPr>
        <w:t>优秀</w:t>
      </w:r>
      <w:r>
        <w:rPr>
          <w:rFonts w:hint="eastAsia"/>
          <w:sz w:val="32"/>
          <w:szCs w:val="32"/>
        </w:rPr>
        <w:t>，以部门为主体开展的重点绩效评价结果为</w:t>
      </w:r>
      <w:r>
        <w:rPr>
          <w:rFonts w:hint="eastAsia" w:ascii="宋体" w:hAnsi="宋体" w:cs="黑体"/>
          <w:color w:val="000000"/>
          <w:kern w:val="0"/>
          <w:sz w:val="32"/>
          <w:szCs w:val="32"/>
          <w:lang w:eastAsia="zh-CN"/>
        </w:rPr>
        <w:t>优秀</w:t>
      </w:r>
      <w:r>
        <w:rPr>
          <w:rFonts w:hint="eastAsia"/>
          <w:sz w:val="32"/>
          <w:szCs w:val="32"/>
        </w:rPr>
        <w:t>。</w:t>
      </w:r>
    </w:p>
    <w:p>
      <w:pPr>
        <w:ind w:firstLine="640" w:firstLineChars="200"/>
        <w:rPr>
          <w:sz w:val="32"/>
          <w:szCs w:val="32"/>
        </w:rPr>
      </w:pPr>
      <w:r>
        <w:rPr>
          <w:rFonts w:hint="eastAsia"/>
          <w:sz w:val="32"/>
          <w:szCs w:val="32"/>
        </w:rPr>
        <w:t>预算绩效管理开展情况、绩效目标和绩效评价报告等，一并作为附件公开。</w:t>
      </w: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spacing w:line="600" w:lineRule="exact"/>
        <w:rPr>
          <w:rFonts w:hint="eastAsia" w:eastAsia="仿宋_GB2312"/>
          <w:kern w:val="0"/>
          <w:sz w:val="32"/>
          <w:szCs w:val="32"/>
        </w:rPr>
      </w:pPr>
      <w:r>
        <w:rPr>
          <w:rFonts w:hint="eastAsia" w:eastAsia="仿宋_GB2312"/>
          <w:kern w:val="0"/>
          <w:sz w:val="32"/>
          <w:szCs w:val="32"/>
          <w:lang w:eastAsia="zh-CN"/>
        </w:rPr>
        <w:t>　一、</w:t>
      </w:r>
      <w:r>
        <w:rPr>
          <w:rFonts w:hint="eastAsia" w:eastAsia="仿宋_GB2312"/>
          <w:kern w:val="0"/>
          <w:sz w:val="32"/>
          <w:szCs w:val="32"/>
        </w:rPr>
        <w:t>财政拨款收入：指本级财政当年拨付的资金。</w:t>
      </w:r>
    </w:p>
    <w:p>
      <w:pPr>
        <w:spacing w:line="600" w:lineRule="exact"/>
        <w:rPr>
          <w:rFonts w:hint="eastAsia" w:eastAsia="仿宋_GB2312"/>
          <w:kern w:val="0"/>
          <w:sz w:val="32"/>
          <w:szCs w:val="32"/>
        </w:rPr>
      </w:pPr>
      <w:r>
        <w:rPr>
          <w:rFonts w:hint="eastAsia" w:eastAsia="仿宋_GB2312"/>
          <w:kern w:val="0"/>
          <w:sz w:val="32"/>
          <w:szCs w:val="32"/>
          <w:lang w:eastAsia="zh-CN"/>
        </w:rPr>
        <w:t>　　二、</w:t>
      </w:r>
      <w:r>
        <w:rPr>
          <w:rFonts w:hint="eastAsia" w:eastAsia="仿宋_GB2312"/>
          <w:kern w:val="0"/>
          <w:sz w:val="32"/>
          <w:szCs w:val="32"/>
        </w:rPr>
        <w:t>其他收入：指除上述“财政拨款收入”、“上级补助收入”、“事业收入”、“经营收入”、“附属单位上缴收入”等以外的收入。</w:t>
      </w:r>
    </w:p>
    <w:p>
      <w:pPr>
        <w:spacing w:line="600" w:lineRule="exact"/>
        <w:ind w:firstLine="643"/>
        <w:rPr>
          <w:rFonts w:hint="eastAsia" w:eastAsia="仿宋_GB2312"/>
          <w:kern w:val="0"/>
          <w:sz w:val="32"/>
          <w:szCs w:val="32"/>
        </w:rPr>
      </w:pPr>
      <w:r>
        <w:rPr>
          <w:rFonts w:hint="eastAsia" w:eastAsia="仿宋_GB2312"/>
          <w:kern w:val="0"/>
          <w:sz w:val="32"/>
          <w:szCs w:val="32"/>
          <w:lang w:eastAsia="zh-CN"/>
        </w:rPr>
        <w:t>三、</w:t>
      </w:r>
      <w:r>
        <w:rPr>
          <w:rFonts w:hint="eastAsia" w:eastAsia="仿宋_GB2312"/>
          <w:kern w:val="0"/>
          <w:sz w:val="32"/>
          <w:szCs w:val="32"/>
        </w:rPr>
        <w:t>上年结转和结余：指以前年度尚未完成、结转到本年按有关规定继续使用的资金。</w:t>
      </w:r>
    </w:p>
    <w:p>
      <w:pPr>
        <w:spacing w:line="600" w:lineRule="exact"/>
        <w:rPr>
          <w:rFonts w:hint="eastAsia" w:eastAsia="仿宋_GB2312"/>
          <w:kern w:val="0"/>
          <w:sz w:val="32"/>
          <w:szCs w:val="32"/>
        </w:rPr>
      </w:pPr>
      <w:r>
        <w:rPr>
          <w:rFonts w:hint="eastAsia" w:eastAsia="仿宋_GB2312"/>
          <w:kern w:val="0"/>
          <w:sz w:val="32"/>
          <w:szCs w:val="32"/>
          <w:lang w:eastAsia="zh-CN"/>
        </w:rPr>
        <w:t>　　四、</w:t>
      </w:r>
      <w:r>
        <w:rPr>
          <w:rFonts w:hint="eastAsia" w:eastAsia="仿宋_GB2312"/>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spacing w:line="600" w:lineRule="exact"/>
        <w:rPr>
          <w:rFonts w:hint="eastAsia" w:eastAsia="仿宋_GB2312"/>
          <w:kern w:val="0"/>
          <w:sz w:val="32"/>
          <w:szCs w:val="32"/>
        </w:rPr>
      </w:pPr>
      <w:r>
        <w:rPr>
          <w:rFonts w:hint="eastAsia" w:eastAsia="仿宋_GB2312"/>
          <w:kern w:val="0"/>
          <w:sz w:val="32"/>
          <w:szCs w:val="32"/>
          <w:lang w:eastAsia="zh-CN"/>
        </w:rPr>
        <w:t>　　五、</w:t>
      </w:r>
      <w:r>
        <w:rPr>
          <w:rFonts w:hint="eastAsia" w:eastAsia="仿宋_GB2312"/>
          <w:kern w:val="0"/>
          <w:sz w:val="32"/>
          <w:szCs w:val="32"/>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spacing w:line="600" w:lineRule="exact"/>
        <w:rPr>
          <w:rFonts w:hint="eastAsia" w:eastAsia="仿宋_GB2312"/>
          <w:kern w:val="0"/>
          <w:sz w:val="32"/>
          <w:szCs w:val="32"/>
        </w:rPr>
      </w:pPr>
      <w:r>
        <w:rPr>
          <w:rFonts w:hint="eastAsia" w:eastAsia="仿宋_GB2312"/>
          <w:kern w:val="0"/>
          <w:sz w:val="32"/>
          <w:szCs w:val="32"/>
          <w:lang w:eastAsia="zh-CN"/>
        </w:rPr>
        <w:t>　　六、</w:t>
      </w:r>
      <w:r>
        <w:rPr>
          <w:rFonts w:hint="eastAsia" w:eastAsia="仿宋_GB2312"/>
          <w:kern w:val="0"/>
          <w:sz w:val="32"/>
          <w:szCs w:val="32"/>
        </w:rPr>
        <w:t>工资福利支出：反映单位开支的在职职工和编制外长期聘用人员的各类劳动报酬，以及为上述人员缴纳的各项社会保险费等。</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DA2F9952"/>
    <w:multiLevelType w:val="singleLevel"/>
    <w:tmpl w:val="DA2F9952"/>
    <w:lvl w:ilvl="0" w:tentative="0">
      <w:start w:val="3"/>
      <w:numFmt w:val="decimal"/>
      <w:suff w:val="nothing"/>
      <w:lvlText w:val="%1、"/>
      <w:lvlJc w:val="left"/>
    </w:lvl>
  </w:abstractNum>
  <w:abstractNum w:abstractNumId="2">
    <w:nsid w:val="FC5F40D2"/>
    <w:multiLevelType w:val="singleLevel"/>
    <w:tmpl w:val="FC5F40D2"/>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QxZjRjNWQ2YzBlZDQxNTc2NWYwZTRlMzBlYWU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9B5C94"/>
    <w:rsid w:val="05633A58"/>
    <w:rsid w:val="06B411F0"/>
    <w:rsid w:val="087403E0"/>
    <w:rsid w:val="0BE56081"/>
    <w:rsid w:val="0C0205FE"/>
    <w:rsid w:val="0FA576EB"/>
    <w:rsid w:val="10B65DAD"/>
    <w:rsid w:val="1309230F"/>
    <w:rsid w:val="13BE003E"/>
    <w:rsid w:val="14DB5119"/>
    <w:rsid w:val="15522FC2"/>
    <w:rsid w:val="17A87124"/>
    <w:rsid w:val="1D48246B"/>
    <w:rsid w:val="23050911"/>
    <w:rsid w:val="27DB542D"/>
    <w:rsid w:val="29F86FC6"/>
    <w:rsid w:val="2BB80C2A"/>
    <w:rsid w:val="366364DD"/>
    <w:rsid w:val="370B6762"/>
    <w:rsid w:val="388F7775"/>
    <w:rsid w:val="425F18FD"/>
    <w:rsid w:val="43F25953"/>
    <w:rsid w:val="45F9639D"/>
    <w:rsid w:val="48ED43E7"/>
    <w:rsid w:val="4D974F71"/>
    <w:rsid w:val="4E594B59"/>
    <w:rsid w:val="59705057"/>
    <w:rsid w:val="59F91C43"/>
    <w:rsid w:val="60A907EA"/>
    <w:rsid w:val="6145544E"/>
    <w:rsid w:val="72555FEF"/>
    <w:rsid w:val="7AC2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6323</Words>
  <Characters>6793</Characters>
  <Lines>69</Lines>
  <Paragraphs>19</Paragraphs>
  <TotalTime>3</TotalTime>
  <ScaleCrop>false</ScaleCrop>
  <LinksUpToDate>false</LinksUpToDate>
  <CharactersWithSpaces>6863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2023-09-22T08:24:02Z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C02081F76A1C414C807C3137DC2EA958</vt:lpwstr>
  </property>
</Properties>
</file>