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both"/>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rFonts w:hint="eastAsia"/>
          <w:sz w:val="84"/>
          <w:szCs w:val="84"/>
          <w:lang w:eastAsia="zh-CN"/>
        </w:rPr>
      </w:pPr>
      <w:r>
        <w:rPr>
          <w:rFonts w:hint="eastAsia"/>
          <w:sz w:val="84"/>
          <w:szCs w:val="84"/>
          <w:lang w:eastAsia="zh-CN"/>
        </w:rPr>
        <w:t>岳阳市城区文物保护中心</w:t>
      </w:r>
    </w:p>
    <w:p>
      <w:pPr>
        <w:pStyle w:val="9"/>
        <w:jc w:val="center"/>
        <w:rPr>
          <w:sz w:val="84"/>
          <w:szCs w:val="84"/>
        </w:rPr>
      </w:pP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keepNext w:val="0"/>
        <w:keepLines w:val="0"/>
        <w:pageBreakBefore w:val="0"/>
        <w:widowControl w:val="0"/>
        <w:kinsoku/>
        <w:wordWrap/>
        <w:overflowPunct/>
        <w:topLinePunct w:val="0"/>
        <w:bidi w:val="0"/>
        <w:snapToGrid/>
        <w:spacing w:line="480" w:lineRule="exact"/>
        <w:jc w:val="center"/>
        <w:textAlignment w:val="auto"/>
        <w:rPr>
          <w:b/>
          <w:sz w:val="36"/>
          <w:szCs w:val="28"/>
        </w:rPr>
      </w:pPr>
      <w:r>
        <w:rPr>
          <w:rFonts w:hint="eastAsia"/>
          <w:b/>
          <w:sz w:val="36"/>
          <w:szCs w:val="28"/>
        </w:rPr>
        <w:t>目录</w:t>
      </w:r>
    </w:p>
    <w:p>
      <w:pPr>
        <w:pStyle w:val="9"/>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lang w:eastAsia="zh-CN"/>
        </w:rPr>
        <w:t>岳阳市城区文物保护中心</w:t>
      </w:r>
      <w:r>
        <w:rPr>
          <w:rFonts w:hint="eastAsia"/>
          <w:b/>
          <w:sz w:val="28"/>
          <w:szCs w:val="28"/>
        </w:rPr>
        <w:t>概况</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r>
        <w:rPr>
          <w:rFonts w:hint="eastAsia" w:cs="仿宋_GB2312" w:asciiTheme="minorEastAsia" w:hAnsiTheme="minorEastAsia" w:eastAsiaTheme="minorEastAsia"/>
          <w:sz w:val="28"/>
          <w:szCs w:val="28"/>
        </w:rPr>
        <w:t>及决算单位构成</w:t>
      </w:r>
    </w:p>
    <w:p>
      <w:pPr>
        <w:pStyle w:val="9"/>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ascii="仿宋_GB2312" w:hAnsi="仿宋_GB2312" w:cs="仿宋_GB2312"/>
          <w:sz w:val="28"/>
          <w:szCs w:val="28"/>
        </w:rPr>
      </w:pPr>
      <w:r>
        <w:rPr>
          <w:rFonts w:ascii="仿宋_GB2312" w:hAnsi="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cs="仿宋_GB2312" w:eastAsiaTheme="minorEastAsia"/>
          <w:color w:val="000000"/>
          <w:kern w:val="0"/>
          <w:sz w:val="28"/>
          <w:szCs w:val="28"/>
          <w:lang w:eastAsia="zh-CN"/>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cs="仿宋_GB2312" w:asciiTheme="minorEastAsia" w:hAnsiTheme="minorEastAsia" w:eastAsiaTheme="minorEastAsia"/>
          <w:sz w:val="28"/>
          <w:szCs w:val="28"/>
        </w:rPr>
        <w:t>国有资本经营预算财政拨款支出决算</w:t>
      </w:r>
      <w:r>
        <w:rPr>
          <w:rFonts w:hint="eastAsia" w:cs="仿宋_GB2312" w:asciiTheme="minorEastAsia" w:hAnsiTheme="minorEastAsia"/>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w:t>
      </w:r>
      <w:r>
        <w:rPr>
          <w:rFonts w:hint="eastAsia" w:ascii="仿宋_GB2312" w:hAnsi="仿宋_GB2312" w:cs="仿宋_GB2312"/>
          <w:color w:val="000000"/>
          <w:kern w:val="0"/>
          <w:sz w:val="28"/>
          <w:szCs w:val="28"/>
        </w:rPr>
        <w:t>政府采购支出说明</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lang w:eastAsia="zh-CN"/>
        </w:rPr>
      </w:pPr>
      <w:r>
        <w:rPr>
          <w:rFonts w:hint="eastAsia" w:ascii="仿宋_GB2312" w:hAnsi="仿宋_GB2312" w:cs="仿宋_GB2312" w:eastAsiaTheme="minorEastAsia"/>
          <w:sz w:val="28"/>
          <w:szCs w:val="28"/>
          <w:lang w:eastAsia="zh-CN"/>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keepNext w:val="0"/>
        <w:keepLines w:val="0"/>
        <w:pageBreakBefore w:val="0"/>
        <w:widowControl w:val="0"/>
        <w:kinsoku/>
        <w:wordWrap/>
        <w:overflowPunct/>
        <w:topLinePunct w:val="0"/>
        <w:bidi w:val="0"/>
        <w:snapToGrid/>
        <w:spacing w:line="620" w:lineRule="exact"/>
        <w:jc w:val="center"/>
        <w:textAlignment w:val="auto"/>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rFonts w:hint="eastAsia"/>
          <w:sz w:val="84"/>
          <w:szCs w:val="84"/>
          <w:lang w:eastAsia="zh-CN"/>
        </w:rPr>
      </w:pPr>
      <w:r>
        <w:rPr>
          <w:rFonts w:hint="eastAsia"/>
          <w:sz w:val="84"/>
          <w:szCs w:val="84"/>
          <w:lang w:eastAsia="zh-CN"/>
        </w:rPr>
        <w:t>岳阳市城区文物保护中心</w:t>
      </w:r>
    </w:p>
    <w:p>
      <w:pPr>
        <w:pStyle w:val="9"/>
        <w:jc w:val="center"/>
        <w:rPr>
          <w:sz w:val="84"/>
          <w:szCs w:val="84"/>
        </w:rPr>
      </w:pP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0" w:leftChars="0" w:firstLine="0" w:firstLineChars="0"/>
        <w:jc w:val="left"/>
        <w:rPr>
          <w:rFonts w:ascii="黑体" w:hAnsi="黑体" w:eastAsia="黑体"/>
          <w:sz w:val="32"/>
          <w:szCs w:val="32"/>
        </w:rPr>
      </w:pPr>
    </w:p>
    <w:p>
      <w:pPr>
        <w:pStyle w:val="10"/>
        <w:ind w:left="0" w:leftChars="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0" w:firstLineChars="200"/>
        <w:jc w:val="left"/>
        <w:rPr>
          <w:rFonts w:hint="eastAsia" w:ascii="宋体" w:hAnsi="宋体" w:eastAsia="宋体" w:cs="宋体"/>
          <w:sz w:val="28"/>
          <w:szCs w:val="32"/>
        </w:rPr>
      </w:pPr>
      <w:r>
        <w:rPr>
          <w:rFonts w:hint="eastAsia" w:ascii="宋体" w:hAnsi="宋体" w:eastAsia="宋体" w:cs="宋体"/>
          <w:sz w:val="32"/>
          <w:szCs w:val="32"/>
        </w:rPr>
        <w:t>负责岳阳中心城区全国重点文物保护单位和省级文物保护单位的维修，保护和开发，利用文物古建筑场所进行文物展示，举办陈列展览和各类文化活动。</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宋体" w:hAnsi="宋体" w:eastAsia="宋体" w:cs="宋体"/>
          <w:bCs/>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岳阳市城区文物保护中心</w:t>
      </w:r>
      <w:r>
        <w:rPr>
          <w:rFonts w:hint="eastAsia" w:asciiTheme="minorEastAsia" w:hAnsiTheme="minorEastAsia"/>
          <w:bCs/>
          <w:kern w:val="0"/>
          <w:sz w:val="32"/>
          <w:szCs w:val="32"/>
        </w:rPr>
        <w:t>单位内设机构包括：</w:t>
      </w:r>
      <w:r>
        <w:rPr>
          <w:rFonts w:hint="eastAsia" w:ascii="宋体" w:hAnsi="宋体" w:eastAsia="宋体" w:cs="宋体"/>
          <w:kern w:val="0"/>
          <w:sz w:val="32"/>
          <w:szCs w:val="32"/>
          <w:lang w:val="en-US" w:eastAsia="zh-CN"/>
        </w:rPr>
        <w:t>办公室、维保部、开发管理部及保卫部等4个职能部室。岳阳市城区文物保护中心为公益一类全额拨款性质的正科级单位，单位正式在册工作人员9人，退休人员9名，单位领导正职（主任）1名，副职（副主任）2名。</w:t>
      </w:r>
    </w:p>
    <w:p>
      <w:pPr>
        <w:jc w:val="both"/>
        <w:rPr>
          <w:rFonts w:ascii="黑体" w:hAnsi="黑体" w:eastAsia="黑体"/>
          <w:sz w:val="28"/>
          <w:szCs w:val="28"/>
        </w:rPr>
      </w:pPr>
      <w:r>
        <w:rPr>
          <w:rFonts w:hint="eastAsia" w:asciiTheme="minorEastAsia" w:hAnsiTheme="minorEastAsia"/>
          <w:bCs/>
          <w:kern w:val="0"/>
          <w:sz w:val="32"/>
          <w:szCs w:val="32"/>
          <w:lang w:val="en-US" w:eastAsia="zh-CN"/>
        </w:rPr>
        <w:t xml:space="preserve">    </w:t>
      </w: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岳阳市城区文物保护中心</w:t>
      </w:r>
      <w:r>
        <w:rPr>
          <w:rFonts w:hint="eastAsia" w:asciiTheme="minorEastAsia" w:hAnsiTheme="minorEastAsia"/>
          <w:bCs/>
          <w:kern w:val="0"/>
          <w:sz w:val="32"/>
          <w:szCs w:val="32"/>
        </w:rPr>
        <w:t>单位</w:t>
      </w: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20年部门决算汇总公开单位构成包括：</w:t>
      </w:r>
      <w:r>
        <w:rPr>
          <w:rFonts w:hint="eastAsia" w:ascii="宋体" w:hAnsi="宋体" w:cs="宋体"/>
          <w:color w:val="auto"/>
          <w:sz w:val="32"/>
          <w:szCs w:val="24"/>
          <w:highlight w:val="white"/>
          <w:lang w:val="zh-CN"/>
        </w:rPr>
        <w:t>岳阳市城区文物保护中心为二级机构，</w:t>
      </w:r>
      <w:r>
        <w:rPr>
          <w:rFonts w:hint="eastAsia" w:ascii="宋体" w:hAnsi="宋体" w:cs="宋体"/>
          <w:color w:val="auto"/>
          <w:sz w:val="32"/>
          <w:szCs w:val="24"/>
          <w:highlight w:val="white"/>
          <w:lang w:val="en-US"/>
        </w:rPr>
        <w:t>不包含下属单位。</w:t>
      </w: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rFonts w:hint="eastAsia"/>
          <w:sz w:val="72"/>
          <w:szCs w:val="72"/>
        </w:rPr>
      </w:pPr>
      <w:r>
        <w:rPr>
          <w:rFonts w:hint="eastAsia"/>
          <w:sz w:val="72"/>
          <w:szCs w:val="72"/>
        </w:rPr>
        <w:t>部门决算表</w:t>
      </w:r>
    </w:p>
    <w:p>
      <w:pPr>
        <w:jc w:val="center"/>
        <w:rPr>
          <w:rFonts w:hint="eastAsia" w:eastAsiaTheme="minorEastAsia"/>
          <w:sz w:val="72"/>
          <w:szCs w:val="72"/>
          <w:lang w:eastAsia="zh-CN"/>
        </w:rPr>
      </w:pPr>
      <w:r>
        <w:rPr>
          <w:rFonts w:hint="eastAsia"/>
          <w:sz w:val="72"/>
          <w:szCs w:val="72"/>
          <w:lang w:eastAsia="zh-CN"/>
        </w:rPr>
        <w:t>（见附件）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9"/>
        <w:jc w:val="both"/>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415.04</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125.29</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一般公共预算财政拨款收入减少</w:t>
      </w:r>
      <w:r>
        <w:rPr>
          <w:rFonts w:hint="eastAsia" w:asciiTheme="minorEastAsia" w:hAnsiTheme="minorEastAsia" w:eastAsiaTheme="minorEastAsia"/>
          <w:sz w:val="32"/>
          <w:szCs w:val="32"/>
          <w:lang w:val="en-US" w:eastAsia="zh-CN"/>
        </w:rPr>
        <w:t>153.81万元；附属单位上缴增加24.35万元；使用非财政拨款结余增加6.19万元；年初结转和结余减少2.03万元。</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348.15</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266.3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76</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81.85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415.04</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415.04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ind w:firstLine="640" w:firstLineChars="200"/>
        <w:rPr>
          <w:rFonts w:asciiTheme="minorEastAsia" w:hAnsiTheme="minorEastAsia" w:eastAsiaTheme="minorEastAsia"/>
          <w:i/>
          <w:iCs/>
          <w:sz w:val="32"/>
          <w:szCs w:val="32"/>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323.53</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158.83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33</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一般公共预算财政拨款收入减少</w:t>
      </w:r>
      <w:r>
        <w:rPr>
          <w:rFonts w:hint="eastAsia" w:asciiTheme="minorEastAsia" w:hAnsiTheme="minorEastAsia" w:eastAsiaTheme="minorEastAsia"/>
          <w:sz w:val="32"/>
          <w:szCs w:val="32"/>
          <w:lang w:val="en-US" w:eastAsia="zh-CN"/>
        </w:rPr>
        <w:t>153.81万元；年初财政拨款结转和结余减少5.02万元。</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hint="default" w:asciiTheme="minorEastAsia" w:hAnsiTheme="minorEastAsia" w:eastAsiaTheme="minorEastAsia"/>
          <w:i/>
          <w:iCs/>
          <w:sz w:val="32"/>
          <w:szCs w:val="32"/>
          <w:lang w:val="en-US"/>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323.53</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78</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76.24</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19</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文化旅游体育与传媒支出减少</w:t>
      </w:r>
      <w:r>
        <w:rPr>
          <w:rFonts w:hint="eastAsia" w:asciiTheme="minorEastAsia" w:hAnsiTheme="minorEastAsia" w:eastAsiaTheme="minorEastAsia"/>
          <w:sz w:val="32"/>
          <w:szCs w:val="32"/>
          <w:lang w:val="en-US" w:eastAsia="zh-CN"/>
        </w:rPr>
        <w:t>76.34万元；社会保障和就业支出增加0.1万元.</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323.53</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eastAsia="zh-CN"/>
        </w:rPr>
        <w:t>文化旅游体育与传媒支出</w:t>
      </w:r>
      <w:r>
        <w:rPr>
          <w:rFonts w:hint="eastAsia" w:asciiTheme="minorEastAsia" w:hAnsiTheme="minorEastAsia" w:eastAsiaTheme="minorEastAsia"/>
          <w:sz w:val="32"/>
          <w:szCs w:val="32"/>
          <w:lang w:val="en-US" w:eastAsia="zh-CN"/>
        </w:rPr>
        <w:t>311.63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8.38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lang w:val="en-US" w:eastAsia="zh-CN"/>
        </w:rPr>
        <w:t>3.52万元，占1%。</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127.29</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415.04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326</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eastAsia="zh-CN"/>
        </w:rPr>
        <w:t>文化旅游体育与传媒</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115.39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315.09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273</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2020年资金结余结转到2021年使用。</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8.38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8.38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lang w:eastAsia="zh-CN"/>
        </w:rPr>
        <w:t>卫生健康</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3.52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3.52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4、其他支出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（项）</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88.04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2020年资金结余结转到2021年使用。</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323.53</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104.18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%,主要包括主要包括基本工资、津贴补贴、</w:t>
      </w:r>
      <w:r>
        <w:rPr>
          <w:rFonts w:hint="eastAsia" w:asciiTheme="minorEastAsia" w:hAnsiTheme="minorEastAsia" w:eastAsiaTheme="minorEastAsia"/>
          <w:sz w:val="32"/>
          <w:szCs w:val="32"/>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219.35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68</w:t>
      </w:r>
      <w:r>
        <w:rPr>
          <w:rFonts w:hint="eastAsia" w:asciiTheme="minorEastAsia" w:hAnsiTheme="minorEastAsia" w:eastAsiaTheme="minorEastAsia"/>
          <w:sz w:val="32"/>
          <w:szCs w:val="32"/>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因公出国（境）费支出预算为0万元，支出决算为0万元，由于预算数为0，无法计算百分比，主要原因为本年未安排因公出国（境）；与上年相比无变化，主要原因是未安排外事出访活动。</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公务接待费支出预算为0万元，支出决算为0万元，由于预算数为0，无法计算百分比，决算数为0，主要原因为本年</w:t>
      </w:r>
      <w:r>
        <w:rPr>
          <w:rFonts w:hint="eastAsia" w:asciiTheme="minorEastAsia" w:hAnsiTheme="minorEastAsia" w:eastAsiaTheme="minorEastAsia"/>
          <w:sz w:val="32"/>
          <w:szCs w:val="32"/>
          <w:lang w:val="en-US" w:eastAsia="zh-CN"/>
        </w:rPr>
        <w:t>未发生公务接待</w:t>
      </w:r>
      <w:r>
        <w:rPr>
          <w:rFonts w:hint="eastAsia" w:asciiTheme="minorEastAsia" w:hAnsiTheme="minorEastAsia" w:eastAsiaTheme="minorEastAsia"/>
          <w:sz w:val="32"/>
          <w:szCs w:val="32"/>
        </w:rPr>
        <w:t>；与上年相比无变化，主要原因为本年未</w:t>
      </w:r>
      <w:r>
        <w:rPr>
          <w:rFonts w:hint="eastAsia" w:asciiTheme="minorEastAsia" w:hAnsiTheme="minorEastAsia" w:eastAsiaTheme="minorEastAsia"/>
          <w:sz w:val="32"/>
          <w:szCs w:val="32"/>
          <w:lang w:val="en-US" w:eastAsia="zh-CN"/>
        </w:rPr>
        <w:t>发生公务接待</w:t>
      </w:r>
      <w:r>
        <w:rPr>
          <w:rFonts w:hint="eastAsia" w:asciiTheme="minorEastAsia" w:hAnsiTheme="minorEastAsia" w:eastAsiaTheme="minorEastAsia"/>
          <w:sz w:val="32"/>
          <w:szCs w:val="32"/>
        </w:rPr>
        <w:t>。</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公务用车购置费支出预算为0万元，支出决算为0万元，由于预算数为0，无法计算百分比，决算数为0，主要原因为本年未购置公务用车；与上年相比无变化，主要原因为本年未购置公务用车。</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公务用车运行维护费支出预算为0万元，支出决算为0万元，由于预算数为0，无法计算百分比，决算数为0，主要原因为本年未购置公务用车；与上年相比无变化，主要原因为本年未购置公务用车。</w:t>
      </w:r>
    </w:p>
    <w:p>
      <w:pPr>
        <w:pStyle w:val="9"/>
        <w:rPr>
          <w:rFonts w:asciiTheme="minorEastAsia" w:hAnsiTheme="minorEastAsia" w:eastAsiaTheme="minorEastAsia"/>
          <w:b/>
          <w:sz w:val="32"/>
          <w:szCs w:val="32"/>
        </w:rPr>
      </w:pPr>
      <w:bookmarkStart w:id="0" w:name="_GoBack"/>
      <w:bookmarkEnd w:id="0"/>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人次,开支内容包括：</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万元，主要用于</w:t>
      </w:r>
      <w:r>
        <w:rPr>
          <w:rFonts w:hint="eastAsia" w:asciiTheme="minorEastAsia" w:hAnsiTheme="minorEastAsia" w:eastAsiaTheme="minorEastAsia"/>
          <w:sz w:val="32"/>
          <w:szCs w:val="32"/>
          <w:lang w:eastAsia="zh-CN"/>
        </w:rPr>
        <w:t>无此项支出</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未</w:t>
      </w:r>
      <w:r>
        <w:rPr>
          <w:rFonts w:hint="eastAsia" w:asciiTheme="minorEastAsia" w:hAnsiTheme="minorEastAsia" w:eastAsiaTheme="minorEastAsia"/>
          <w:sz w:val="32"/>
          <w:szCs w:val="32"/>
        </w:rPr>
        <w:t>发生</w:t>
      </w:r>
      <w:r>
        <w:rPr>
          <w:rFonts w:hint="eastAsia" w:asciiTheme="minorEastAsia" w:hAnsiTheme="minorEastAsia" w:eastAsiaTheme="minorEastAsia"/>
          <w:sz w:val="32"/>
          <w:szCs w:val="32"/>
          <w:lang w:eastAsia="zh-CN"/>
        </w:rPr>
        <w:t>公务</w:t>
      </w:r>
      <w:r>
        <w:rPr>
          <w:rFonts w:hint="eastAsia" w:asciiTheme="minorEastAsia" w:hAnsiTheme="minorEastAsia" w:eastAsiaTheme="minorEastAsia"/>
          <w:sz w:val="32"/>
          <w:szCs w:val="32"/>
        </w:rPr>
        <w:t>接待支出。</w:t>
      </w:r>
    </w:p>
    <w:p>
      <w:pPr>
        <w:rPr>
          <w:rFonts w:cs="黑体" w:asciiTheme="minorEastAsia" w:hAnsiTheme="minorEastAsia"/>
          <w:b w:val="0"/>
          <w:bCs w:val="0"/>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万元，（单位本级或某二级机构）更新公务用车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万元，主要是</w:t>
      </w:r>
      <w:r>
        <w:rPr>
          <w:rFonts w:hint="eastAsia" w:asciiTheme="minorEastAsia" w:hAnsiTheme="minorEastAsia"/>
          <w:sz w:val="32"/>
          <w:szCs w:val="32"/>
          <w:lang w:eastAsia="zh-CN"/>
        </w:rPr>
        <w:t>无</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9"/>
        <w:rPr>
          <w:rFonts w:hint="eastAsia" w:hAnsi="黑体"/>
          <w:b/>
          <w:sz w:val="32"/>
          <w:szCs w:val="32"/>
        </w:rPr>
      </w:pPr>
      <w:r>
        <w:rPr>
          <w:rFonts w:hint="eastAsia" w:hAnsi="黑体"/>
          <w:b/>
          <w:sz w:val="32"/>
          <w:szCs w:val="32"/>
        </w:rPr>
        <w:t>八、政府性基金预算收入支出决算情况</w:t>
      </w:r>
    </w:p>
    <w:p>
      <w:pPr>
        <w:pStyle w:val="9"/>
        <w:rPr>
          <w:rFonts w:hint="eastAsia" w:hAnsi="黑体" w:eastAsiaTheme="minorEastAsia"/>
          <w:b/>
          <w:sz w:val="32"/>
          <w:szCs w:val="32"/>
          <w:lang w:val="en-US" w:eastAsia="zh-CN"/>
        </w:rPr>
      </w:pPr>
      <w:r>
        <w:rPr>
          <w:rFonts w:hint="eastAsia" w:hAnsi="黑体"/>
          <w:b/>
          <w:sz w:val="32"/>
          <w:szCs w:val="32"/>
          <w:lang w:val="en-US" w:eastAsia="zh-CN"/>
        </w:rPr>
        <w:t xml:space="preserve">    </w:t>
      </w:r>
      <w:r>
        <w:rPr>
          <w:rFonts w:hint="eastAsia" w:asciiTheme="minorEastAsia" w:hAnsiTheme="minorEastAsia" w:eastAsiaTheme="minorEastAsia"/>
          <w:i w:val="0"/>
          <w:iCs/>
          <w:color w:val="auto"/>
          <w:sz w:val="32"/>
          <w:szCs w:val="32"/>
        </w:rPr>
        <w:t>本单位无政府性基金收支</w:t>
      </w:r>
      <w:r>
        <w:rPr>
          <w:rFonts w:hint="eastAsia" w:asciiTheme="minorEastAsia" w:hAnsiTheme="minorEastAsia" w:eastAsiaTheme="minorEastAsia"/>
          <w:i w:val="0"/>
          <w:iCs/>
          <w:color w:val="auto"/>
          <w:sz w:val="32"/>
          <w:szCs w:val="32"/>
          <w:lang w:eastAsia="zh-CN"/>
        </w:rPr>
        <w:t>。</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p>
    <w:p>
      <w:pPr>
        <w:pStyle w:val="9"/>
        <w:numPr>
          <w:ilvl w:val="0"/>
          <w:numId w:val="2"/>
        </w:numPr>
        <w:rPr>
          <w:rFonts w:hint="eastAsia" w:hAnsi="黑体"/>
          <w:b/>
          <w:sz w:val="32"/>
          <w:szCs w:val="32"/>
          <w:lang w:eastAsia="zh-CN"/>
        </w:rPr>
      </w:pPr>
      <w:r>
        <w:rPr>
          <w:rFonts w:hint="eastAsia" w:hAnsi="黑体"/>
          <w:b/>
          <w:sz w:val="32"/>
          <w:szCs w:val="32"/>
        </w:rPr>
        <w:t>国有资本经营预算财政拨款支出决算</w:t>
      </w:r>
      <w:r>
        <w:rPr>
          <w:rFonts w:hint="eastAsia" w:hAnsi="黑体"/>
          <w:b/>
          <w:sz w:val="32"/>
          <w:szCs w:val="32"/>
          <w:lang w:eastAsia="zh-CN"/>
        </w:rPr>
        <w:t>情况</w:t>
      </w:r>
    </w:p>
    <w:p>
      <w:pPr>
        <w:pStyle w:val="9"/>
        <w:ind w:firstLine="640" w:firstLineChars="200"/>
        <w:rPr>
          <w:rFonts w:hint="eastAsia" w:asciiTheme="minorEastAsia" w:hAnsiTheme="minorEastAsia" w:eastAsiaTheme="minorEastAsia"/>
          <w:i w:val="0"/>
          <w:iCs/>
          <w:color w:val="auto"/>
          <w:sz w:val="32"/>
          <w:szCs w:val="32"/>
          <w:lang w:eastAsia="zh-CN"/>
        </w:rPr>
      </w:pPr>
      <w:r>
        <w:rPr>
          <w:rFonts w:hint="eastAsia" w:asciiTheme="minorEastAsia" w:hAnsiTheme="minorEastAsia" w:eastAsiaTheme="minorEastAsia"/>
          <w:i w:val="0"/>
          <w:iCs/>
          <w:color w:val="auto"/>
          <w:sz w:val="32"/>
          <w:szCs w:val="32"/>
          <w:lang w:eastAsia="zh-CN"/>
        </w:rPr>
        <w:t>本</w:t>
      </w:r>
      <w:r>
        <w:rPr>
          <w:rFonts w:hint="eastAsia" w:asciiTheme="minorEastAsia" w:hAnsiTheme="minorEastAsia" w:eastAsiaTheme="minorEastAsia"/>
          <w:i w:val="0"/>
          <w:iCs/>
          <w:color w:val="auto"/>
          <w:sz w:val="32"/>
          <w:szCs w:val="32"/>
        </w:rPr>
        <w:t>单位无国有资本经营预算财政拨款支出</w:t>
      </w:r>
      <w:r>
        <w:rPr>
          <w:rFonts w:hint="eastAsia" w:asciiTheme="minorEastAsia" w:hAnsiTheme="minorEastAsia" w:eastAsiaTheme="minorEastAsia"/>
          <w:i w:val="0"/>
          <w:iCs/>
          <w:color w:val="auto"/>
          <w:sz w:val="32"/>
          <w:szCs w:val="32"/>
          <w:lang w:eastAsia="zh-CN"/>
        </w:rPr>
        <w:t>。</w:t>
      </w:r>
    </w:p>
    <w:p>
      <w:pPr>
        <w:pStyle w:val="9"/>
        <w:ind w:firstLine="640" w:firstLineChars="200"/>
        <w:rPr>
          <w:rFonts w:hint="default" w:hAnsi="黑体"/>
          <w:b/>
          <w:sz w:val="32"/>
          <w:szCs w:val="32"/>
          <w:lang w:val="en-US" w:eastAsia="zh-CN"/>
        </w:rPr>
      </w:pPr>
      <w:r>
        <w:rPr>
          <w:rFonts w:hint="eastAsia" w:asciiTheme="minorEastAsia" w:hAnsiTheme="minorEastAsia" w:eastAsiaTheme="minorEastAsia"/>
          <w:sz w:val="32"/>
          <w:szCs w:val="32"/>
        </w:rPr>
        <w:t>2021年度国有资本经营预算财政拨款</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rPr>
          <w:rFonts w:hAnsi="黑体"/>
          <w:b/>
          <w:sz w:val="32"/>
          <w:szCs w:val="32"/>
        </w:rPr>
      </w:pPr>
      <w:r>
        <w:rPr>
          <w:rFonts w:hint="eastAsia" w:hAnsi="黑体"/>
          <w:b/>
          <w:sz w:val="32"/>
          <w:szCs w:val="32"/>
        </w:rPr>
        <w:t>十、机关运行经费支出说明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万元，比年初预算数（或者上年决算数）增加（减少）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万元，增长（降低）</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十一、一般性支出情况说明</w:t>
      </w:r>
    </w:p>
    <w:p>
      <w:pPr>
        <w:pStyle w:val="9"/>
        <w:ind w:firstLine="640" w:firstLineChars="200"/>
        <w:rPr>
          <w:rFonts w:asciiTheme="minorEastAsia" w:hAnsiTheme="minorEastAsia" w:eastAsiaTheme="minorEastAsia"/>
          <w:i/>
          <w:iCs/>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万元；开支培训费</w:t>
      </w:r>
      <w:r>
        <w:rPr>
          <w:rFonts w:hint="eastAsia" w:asciiTheme="minorEastAsia" w:hAnsiTheme="minorEastAsia" w:eastAsiaTheme="minorEastAsia"/>
          <w:sz w:val="32"/>
          <w:szCs w:val="32"/>
          <w:lang w:val="en-US" w:eastAsia="zh-CN"/>
        </w:rPr>
        <w:t>0.05</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旅游发展</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围绕岳阳文庙搞活文创类旅游的开发利用工作</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未</w:t>
      </w:r>
      <w:r>
        <w:rPr>
          <w:rFonts w:hint="eastAsia" w:asciiTheme="minorEastAsia" w:hAnsiTheme="minorEastAsia" w:eastAsiaTheme="minorEastAsia"/>
          <w:sz w:val="32"/>
          <w:szCs w:val="32"/>
        </w:rPr>
        <w:t>举办节庆、晚会、论坛、赛事</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rPr>
          <w:rFonts w:hAnsi="黑体"/>
          <w:b/>
          <w:sz w:val="32"/>
          <w:szCs w:val="32"/>
        </w:rPr>
      </w:pPr>
      <w:r>
        <w:rPr>
          <w:rFonts w:hint="eastAsia" w:hAnsi="黑体"/>
          <w:b/>
          <w:sz w:val="32"/>
          <w:szCs w:val="32"/>
        </w:rPr>
        <w:t>十二、政府采购支出说明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十三、国有资产占用情况说明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辆，其他用车主要是</w:t>
      </w:r>
      <w:r>
        <w:rPr>
          <w:rFonts w:hint="eastAsia" w:asciiTheme="minorEastAsia" w:hAnsiTheme="minorEastAsia" w:eastAsiaTheme="minorEastAsia"/>
          <w:sz w:val="32"/>
          <w:szCs w:val="32"/>
          <w:lang w:eastAsia="zh-CN"/>
        </w:rPr>
        <w:t>无此项支出</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rPr>
          <w:rFonts w:hAnsi="黑体"/>
          <w:b/>
          <w:sz w:val="32"/>
          <w:szCs w:val="32"/>
        </w:rPr>
      </w:pPr>
      <w:r>
        <w:rPr>
          <w:rFonts w:hint="eastAsia" w:hAnsi="黑体"/>
          <w:b/>
          <w:sz w:val="32"/>
          <w:szCs w:val="32"/>
          <w:lang w:eastAsia="zh-CN"/>
        </w:rPr>
        <w:t>十四、</w:t>
      </w:r>
      <w:r>
        <w:rPr>
          <w:rFonts w:hint="eastAsia" w:hAnsi="黑体"/>
          <w:b/>
          <w:sz w:val="32"/>
          <w:szCs w:val="32"/>
        </w:rPr>
        <w:t>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年度等</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个政府性基金预算项目支出开展绩效自评，共涉及资金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万元，占政府性基金预算项目支出总额的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年度等</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个国有资本经营预算项目支出开展绩效自评，共涉及资金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万元，占国有资本经营预算项目支出总额的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eastAsia="zh-CN"/>
        </w:rPr>
        <w:t>无此项预算</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个单位开展整体支出绩效评价，涉及一般公共预算支出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eastAsia="zh-CN"/>
        </w:rPr>
        <w:t>无此项预算</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r>
        <w:rPr>
          <w:rFonts w:hint="eastAsia" w:cs="黑体" w:asciiTheme="minorEastAsia" w:hAnsiTheme="minorEastAsia"/>
          <w:b/>
          <w:color w:val="000000"/>
          <w:kern w:val="0"/>
          <w:sz w:val="32"/>
          <w:szCs w:val="32"/>
          <w:lang w:eastAsia="zh-CN"/>
        </w:rPr>
        <w:t>本单位无项目绩效自评</w:t>
      </w:r>
      <w:r>
        <w:rPr>
          <w:rFonts w:hint="eastAsia" w:cs="黑体" w:asciiTheme="minorEastAsia" w:hAnsiTheme="minorEastAsia"/>
          <w:b/>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项目绩效自评综述：根据年初设定的绩效目标，项目绩效自评得分为</w:t>
      </w:r>
      <w:r>
        <w:rPr>
          <w:rFonts w:hint="eastAsia" w:cs="黑体" w:asciiTheme="minorEastAsia" w:hAnsiTheme="minorEastAsia"/>
          <w:color w:val="000000"/>
          <w:kern w:val="0"/>
          <w:sz w:val="32"/>
          <w:szCs w:val="32"/>
          <w:lang w:eastAsia="zh-CN"/>
        </w:rPr>
        <w:t>无</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。项目绩效目标完成情况：一是；二是。发现的主要问题及原因：一是；二是。下一步改进措施：一是；二是。</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项目绩效自评综述：</w:t>
      </w:r>
      <w:r>
        <w:rPr>
          <w:rFonts w:hint="eastAsia" w:cs="黑体" w:asciiTheme="minorEastAsia" w:hAnsiTheme="minorEastAsia"/>
          <w:color w:val="000000"/>
          <w:kern w:val="0"/>
          <w:sz w:val="32"/>
          <w:szCs w:val="32"/>
          <w:lang w:eastAsia="zh-CN"/>
        </w:rPr>
        <w:t>本单位无项目绩效自评</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lang w:eastAsia="zh-CN"/>
        </w:rPr>
      </w:pPr>
    </w:p>
    <w:p>
      <w:pPr>
        <w:pStyle w:val="9"/>
        <w:rPr>
          <w:sz w:val="72"/>
          <w:szCs w:val="72"/>
        </w:rPr>
      </w:pPr>
    </w:p>
    <w:p>
      <w:pPr>
        <w:pStyle w:val="9"/>
        <w:jc w:val="both"/>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二、机关运行经费</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cs="黑体" w:asciiTheme="minorEastAsia" w:hAnsiTheme="minorEastAsia"/>
          <w:color w:val="000000"/>
          <w:kern w:val="0"/>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hint="eastAsia" w:cs="黑体" w:asciiTheme="minorEastAsia" w:hAnsiTheme="minorEastAsia" w:eastAsiaTheme="minorEastAsia"/>
          <w:b/>
          <w:color w:val="000000"/>
          <w:kern w:val="0"/>
          <w:sz w:val="32"/>
          <w:szCs w:val="32"/>
          <w:lang w:val="en-US" w:eastAsia="zh-CN"/>
        </w:rPr>
      </w:pPr>
      <w:r>
        <w:rPr>
          <w:rFonts w:hint="eastAsia" w:cs="黑体" w:asciiTheme="minorEastAsia" w:hAnsiTheme="minorEastAsia"/>
          <w:b/>
          <w:color w:val="000000"/>
          <w:kern w:val="0"/>
          <w:sz w:val="32"/>
          <w:szCs w:val="32"/>
          <w:lang w:val="en-US" w:eastAsia="zh-CN"/>
        </w:rPr>
        <w:t>1、2021年部门决算公开表格</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lang w:val="en-US" w:eastAsia="zh-CN"/>
        </w:rPr>
        <w:t>2、</w:t>
      </w: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A298D"/>
    <w:multiLevelType w:val="singleLevel"/>
    <w:tmpl w:val="B16A298D"/>
    <w:lvl w:ilvl="0" w:tentative="0">
      <w:start w:val="9"/>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NGQxZjRjNWQ2YzBlZDQxNTc2NWYwZTRlMzBlYWUifQ=="/>
  </w:docVars>
  <w:rsids>
    <w:rsidRoot w:val="00172A27"/>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33308"/>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245BEB"/>
    <w:rsid w:val="03CD394B"/>
    <w:rsid w:val="05633A58"/>
    <w:rsid w:val="06B411F0"/>
    <w:rsid w:val="06F127CA"/>
    <w:rsid w:val="087403E0"/>
    <w:rsid w:val="09591064"/>
    <w:rsid w:val="09C9041E"/>
    <w:rsid w:val="0A175F9F"/>
    <w:rsid w:val="0BE56081"/>
    <w:rsid w:val="0D040924"/>
    <w:rsid w:val="0DA61673"/>
    <w:rsid w:val="0E2557C4"/>
    <w:rsid w:val="10E20B40"/>
    <w:rsid w:val="13BE003E"/>
    <w:rsid w:val="15D305D6"/>
    <w:rsid w:val="16A31501"/>
    <w:rsid w:val="17411E34"/>
    <w:rsid w:val="17A87124"/>
    <w:rsid w:val="19035318"/>
    <w:rsid w:val="19B4772E"/>
    <w:rsid w:val="1A707A6D"/>
    <w:rsid w:val="1B4259EA"/>
    <w:rsid w:val="1CE21A70"/>
    <w:rsid w:val="21613B53"/>
    <w:rsid w:val="23281C18"/>
    <w:rsid w:val="23AD35BC"/>
    <w:rsid w:val="23E30F0B"/>
    <w:rsid w:val="254308AD"/>
    <w:rsid w:val="27DB542D"/>
    <w:rsid w:val="297D4D9D"/>
    <w:rsid w:val="2A7D693C"/>
    <w:rsid w:val="2D0159DC"/>
    <w:rsid w:val="2E451281"/>
    <w:rsid w:val="358C7C21"/>
    <w:rsid w:val="366364DD"/>
    <w:rsid w:val="370B6762"/>
    <w:rsid w:val="38F62A80"/>
    <w:rsid w:val="3F7936FF"/>
    <w:rsid w:val="3FB1448E"/>
    <w:rsid w:val="41A51D66"/>
    <w:rsid w:val="41C23E6E"/>
    <w:rsid w:val="43580A8C"/>
    <w:rsid w:val="45F9639D"/>
    <w:rsid w:val="45FF7A66"/>
    <w:rsid w:val="48ED43E7"/>
    <w:rsid w:val="49C20111"/>
    <w:rsid w:val="4AAF2318"/>
    <w:rsid w:val="4AE516A0"/>
    <w:rsid w:val="4E2415BF"/>
    <w:rsid w:val="547D422D"/>
    <w:rsid w:val="55576E3E"/>
    <w:rsid w:val="55902DF0"/>
    <w:rsid w:val="574633BB"/>
    <w:rsid w:val="584319BA"/>
    <w:rsid w:val="5D7D47EF"/>
    <w:rsid w:val="5DA1232B"/>
    <w:rsid w:val="5E087D39"/>
    <w:rsid w:val="5E3E26AF"/>
    <w:rsid w:val="60A907EA"/>
    <w:rsid w:val="6145544E"/>
    <w:rsid w:val="616D02E8"/>
    <w:rsid w:val="63690078"/>
    <w:rsid w:val="63A47F08"/>
    <w:rsid w:val="6437077B"/>
    <w:rsid w:val="65E24481"/>
    <w:rsid w:val="66AE6C06"/>
    <w:rsid w:val="67DB2AF0"/>
    <w:rsid w:val="681A2AC8"/>
    <w:rsid w:val="686556F6"/>
    <w:rsid w:val="68E06AC2"/>
    <w:rsid w:val="691741BA"/>
    <w:rsid w:val="695F2482"/>
    <w:rsid w:val="6B6668C4"/>
    <w:rsid w:val="71C468B3"/>
    <w:rsid w:val="72612D72"/>
    <w:rsid w:val="75EB29F0"/>
    <w:rsid w:val="78915552"/>
    <w:rsid w:val="7A581D45"/>
    <w:rsid w:val="7D6E10E2"/>
    <w:rsid w:val="7DFC79A4"/>
    <w:rsid w:val="7E703748"/>
    <w:rsid w:val="7FB96999"/>
    <w:rsid w:val="7FD25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4893</Words>
  <Characters>5269</Characters>
  <Lines>69</Lines>
  <Paragraphs>19</Paragraphs>
  <TotalTime>0</TotalTime>
  <ScaleCrop>false</ScaleCrop>
  <LinksUpToDate>false</LinksUpToDate>
  <CharactersWithSpaces>5307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2023-09-22T08:19:58Z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C02081F76A1C414C807C3137DC2EA958</vt:lpwstr>
  </property>
</Properties>
</file>