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cs="宋体" w:asciiTheme="majorEastAsia" w:hAnsiTheme="majorEastAsia" w:eastAsiaTheme="majorEastAsia"/>
                <w:color w:val="000000"/>
                <w:kern w:val="0"/>
                <w:sz w:val="40"/>
                <w:szCs w:val="40"/>
              </w:rPr>
            </w:pPr>
            <w:r>
              <w:rPr>
                <w:rFonts w:hint="eastAsia" w:cs="宋体" w:asciiTheme="majorEastAsia" w:hAnsiTheme="majorEastAsia" w:eastAsiaTheme="majorEastAsia"/>
                <w:color w:val="000000"/>
                <w:kern w:val="0"/>
                <w:sz w:val="40"/>
                <w:szCs w:val="40"/>
              </w:rPr>
              <w:t>岳阳市巴陵戏传承研究院2022年度单位预算</w:t>
            </w:r>
          </w:p>
        </w:tc>
      </w:tr>
      <w:tr>
        <w:tblPrEx>
          <w:tblCellMar>
            <w:top w:w="0" w:type="dxa"/>
            <w:left w:w="108" w:type="dxa"/>
            <w:bottom w:w="0" w:type="dxa"/>
            <w:right w:w="108" w:type="dxa"/>
          </w:tblCellMar>
        </w:tblPrEx>
        <w:trPr>
          <w:trHeight w:val="642" w:hRule="atLeast"/>
        </w:trPr>
        <w:tc>
          <w:tcPr>
            <w:tcW w:w="5000" w:type="pct"/>
            <w:tcBorders>
              <w:top w:val="nil"/>
              <w:left w:val="nil"/>
              <w:bottom w:val="nil"/>
              <w:right w:val="nil"/>
            </w:tcBorders>
            <w:shd w:val="clear" w:color="auto" w:fill="auto"/>
            <w:vAlign w:val="center"/>
          </w:tcPr>
          <w:p>
            <w:pPr>
              <w:widowControl/>
              <w:jc w:val="center"/>
              <w:rPr>
                <w:rFonts w:cs="宋体" w:asciiTheme="majorEastAsia" w:hAnsiTheme="majorEastAsia" w:eastAsiaTheme="majorEastAsia"/>
                <w:kern w:val="0"/>
                <w:sz w:val="36"/>
                <w:szCs w:val="36"/>
              </w:rPr>
            </w:pPr>
            <w:r>
              <w:rPr>
                <w:rFonts w:hint="eastAsia" w:cs="宋体" w:asciiTheme="majorEastAsia" w:hAnsiTheme="majorEastAsia" w:eastAsiaTheme="majorEastAsia"/>
                <w:kern w:val="0"/>
                <w:sz w:val="36"/>
                <w:szCs w:val="36"/>
              </w:rPr>
              <w:t>目录</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第一部分  2022年单位预算说明</w:t>
            </w:r>
          </w:p>
        </w:tc>
      </w:tr>
      <w:tr>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第二部分  2022年单位预算公开表格</w:t>
            </w:r>
          </w:p>
        </w:tc>
      </w:tr>
      <w:tr>
        <w:tblPrEx>
          <w:tblCellMar>
            <w:top w:w="0" w:type="dxa"/>
            <w:left w:w="108" w:type="dxa"/>
            <w:bottom w:w="0" w:type="dxa"/>
            <w:right w:w="108" w:type="dxa"/>
          </w:tblCellMar>
        </w:tblPrEx>
        <w:trPr>
          <w:trHeight w:val="4482" w:hRule="atLeast"/>
        </w:trPr>
        <w:tc>
          <w:tcPr>
            <w:tcW w:w="5000" w:type="pct"/>
            <w:vMerge w:val="restart"/>
            <w:tcBorders>
              <w:top w:val="nil"/>
              <w:left w:val="nil"/>
              <w:bottom w:val="nil"/>
              <w:right w:val="nil"/>
            </w:tcBorders>
            <w:shd w:val="clear" w:color="auto" w:fill="auto"/>
            <w:vAlign w:val="center"/>
          </w:tcPr>
          <w:p>
            <w:pPr>
              <w:widowControl/>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1、收支总表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2、收入总表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3、支出总表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4、支出预算分类汇总表（按政府预算经济分类）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5、支出预算分类汇总表（按部门预算经济分类）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6、财政拨款收支总表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7、一般公共预算支出表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8、一般公共预算基本支出表-人员经费（工资福利支出）（按政府预算经济分类）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9、一般公共预算基本支出表-人员经费（工资福利支出）（按部门预算经济分类）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10、一般公共预算基本支出表-人员经费（对个人和家庭的补助）（按政府预算经济分类）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11、一般公共预算基本支出表-人员经费（对个人和家庭的补助）（按部门预算经济分类）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12、一般公共预算基本支出表-</w:t>
            </w:r>
            <w:r>
              <w:rPr>
                <w:rFonts w:hint="eastAsia" w:cs="宋体" w:asciiTheme="majorEastAsia" w:hAnsiTheme="majorEastAsia" w:eastAsiaTheme="majorEastAsia"/>
                <w:color w:val="000000"/>
                <w:kern w:val="0"/>
                <w:sz w:val="28"/>
                <w:szCs w:val="28"/>
                <w:lang w:val="en-US" w:eastAsia="zh-CN"/>
              </w:rPr>
              <w:t>公用</w:t>
            </w:r>
            <w:r>
              <w:rPr>
                <w:rFonts w:hint="eastAsia" w:cs="宋体" w:asciiTheme="majorEastAsia" w:hAnsiTheme="majorEastAsia" w:eastAsiaTheme="majorEastAsia"/>
                <w:color w:val="000000"/>
                <w:kern w:val="0"/>
                <w:sz w:val="28"/>
                <w:szCs w:val="28"/>
              </w:rPr>
              <w:t>经费（商品和服务支出）（按政府预算经济分类）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13、一般公共预算基本支出表-</w:t>
            </w:r>
            <w:r>
              <w:rPr>
                <w:rFonts w:hint="eastAsia" w:cs="宋体" w:asciiTheme="majorEastAsia" w:hAnsiTheme="majorEastAsia" w:eastAsiaTheme="majorEastAsia"/>
                <w:color w:val="000000"/>
                <w:kern w:val="0"/>
                <w:sz w:val="28"/>
                <w:szCs w:val="28"/>
                <w:lang w:val="en-US" w:eastAsia="zh-CN"/>
              </w:rPr>
              <w:t>公用</w:t>
            </w:r>
            <w:r>
              <w:rPr>
                <w:rFonts w:hint="eastAsia" w:cs="宋体" w:asciiTheme="majorEastAsia" w:hAnsiTheme="majorEastAsia" w:eastAsiaTheme="majorEastAsia"/>
                <w:color w:val="000000"/>
                <w:kern w:val="0"/>
                <w:sz w:val="28"/>
                <w:szCs w:val="28"/>
              </w:rPr>
              <w:t>经费（商品和服务支出）（按部门预算经济分类）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14、一般公共预算“三公”经费支出表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15、政府性基金预算支出表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16、政府性基金预算支出分类汇总表（按政府预算经济分类）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17、政府性基金预算支出分类汇总表（按部门预算经济分类）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18、国有资本经营预算支出表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19、财政专户管理资金预算支出表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20、专项资金预算汇总表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21、项目支出绩效目标表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22、整体支出绩效目标表</w:t>
            </w:r>
          </w:p>
          <w:p>
            <w:pPr>
              <w:pStyle w:val="4"/>
              <w:widowControl/>
              <w:spacing w:beforeAutospacing="0" w:afterAutospacing="0"/>
              <w:jc w:val="both"/>
              <w:textAlignment w:val="center"/>
              <w:rPr>
                <w:rFonts w:cs="宋体" w:asciiTheme="majorEastAsia" w:hAnsiTheme="majorEastAsia" w:eastAsiaTheme="majorEastAsia"/>
                <w:color w:val="000000"/>
                <w:sz w:val="28"/>
                <w:szCs w:val="28"/>
              </w:rPr>
            </w:pPr>
            <w:r>
              <w:rPr>
                <w:rFonts w:hint="eastAsia" w:cs="宋体" w:asciiTheme="majorEastAsia" w:hAnsiTheme="majorEastAsia" w:eastAsiaTheme="majorEastAsia"/>
                <w:color w:val="000000"/>
                <w:sz w:val="28"/>
                <w:szCs w:val="28"/>
              </w:rPr>
              <w:t>23、一般公共预算基本支出表</w:t>
            </w:r>
            <w:r>
              <w:rPr>
                <w:rFonts w:hint="eastAsia" w:cs="宋体" w:asciiTheme="majorEastAsia" w:hAnsiTheme="majorEastAsia" w:eastAsiaTheme="majorEastAsia"/>
                <w:color w:val="000000"/>
                <w:sz w:val="28"/>
                <w:szCs w:val="28"/>
              </w:rPr>
              <w:br w:type="textWrapping"/>
            </w:r>
            <w:r>
              <w:rPr>
                <w:rFonts w:hint="eastAsia" w:cs="宋体" w:asciiTheme="majorEastAsia" w:hAnsiTheme="majorEastAsia" w:eastAsiaTheme="majorEastAsia"/>
                <w:color w:val="000000"/>
                <w:sz w:val="28"/>
                <w:szCs w:val="28"/>
              </w:rPr>
              <w:t>注：以上单位预算公开报表中，空表表示本单位无相关收支情况。</w:t>
            </w:r>
          </w:p>
        </w:tc>
      </w:tr>
      <w:tr>
        <w:tblPrEx>
          <w:tblCellMar>
            <w:top w:w="0" w:type="dxa"/>
            <w:left w:w="108" w:type="dxa"/>
            <w:bottom w:w="0" w:type="dxa"/>
            <w:right w:w="108" w:type="dxa"/>
          </w:tblCellMar>
        </w:tblPrEx>
        <w:trPr>
          <w:trHeight w:val="4482" w:hRule="atLeast"/>
        </w:trPr>
        <w:tc>
          <w:tcPr>
            <w:tcW w:w="5000" w:type="pct"/>
            <w:vMerge w:val="continue"/>
            <w:tcBorders>
              <w:top w:val="nil"/>
              <w:left w:val="nil"/>
              <w:bottom w:val="nil"/>
              <w:right w:val="nil"/>
            </w:tcBorders>
            <w:vAlign w:val="center"/>
          </w:tcPr>
          <w:p>
            <w:pPr>
              <w:widowControl/>
              <w:jc w:val="left"/>
              <w:rPr>
                <w:rFonts w:cs="宋体" w:asciiTheme="majorEastAsia" w:hAnsiTheme="majorEastAsia" w:eastAsiaTheme="majorEastAsia"/>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cs="宋体" w:asciiTheme="majorEastAsia" w:hAnsiTheme="majorEastAsia" w:eastAsiaTheme="majorEastAsia"/>
                <w:color w:val="000000"/>
                <w:kern w:val="0"/>
                <w:sz w:val="36"/>
                <w:szCs w:val="36"/>
              </w:rPr>
            </w:pPr>
            <w:r>
              <w:rPr>
                <w:rFonts w:hint="eastAsia" w:cs="宋体" w:asciiTheme="majorEastAsia" w:hAnsiTheme="majorEastAsia" w:eastAsiaTheme="majorEastAsia"/>
                <w:color w:val="000000"/>
                <w:kern w:val="0"/>
                <w:sz w:val="36"/>
                <w:szCs w:val="36"/>
              </w:rPr>
              <w:t>第一部分  2022年单位预算说明</w:t>
            </w:r>
          </w:p>
        </w:tc>
      </w:tr>
      <w:tr>
        <w:tblPrEx>
          <w:tblCellMar>
            <w:top w:w="0" w:type="dxa"/>
            <w:left w:w="108" w:type="dxa"/>
            <w:bottom w:w="0" w:type="dxa"/>
            <w:right w:w="108" w:type="dxa"/>
          </w:tblCellMar>
        </w:tblPrEx>
        <w:trPr>
          <w:trHeight w:val="2625"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一、单位基本概况</w:t>
            </w:r>
          </w:p>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（一）职能职责</w:t>
            </w:r>
          </w:p>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1、宣传党的文艺方针政策，传承和保护国家非物质文化遗产——巴陵戏，以及“文化惠民”“送戏下乡”等各类公益性文艺演出。</w:t>
            </w:r>
          </w:p>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2、完成上级主管部门交办的其他工作。</w:t>
            </w:r>
          </w:p>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（二）机构设置</w:t>
            </w:r>
          </w:p>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根据编委核定，我院内设部室9个，全部纳入2022年部门预算编制范围。</w:t>
            </w:r>
          </w:p>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内设部室分别是：综合部、巴陵戏剧室、花鼓戏剧室、民乐队、歌舞工作室、舞美工作室、宣传普教室、艺术研究室、后勤保障部。</w:t>
            </w:r>
          </w:p>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二、单位预算单位构成</w:t>
            </w:r>
          </w:p>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本单位预算仅含本级预算。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三、单位收支总体情况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（一）收入预算</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包括一般公共预算、政府性基金、国有资本经营预算等财政拨款收入，以及经营收入、事业收入等单位资金。2022年本单位收入预算1586.2万元，其中，一般公共预算拨款1586.2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收入较去年增加469.29万元，主要是因为增加了按项目管理的工资福利收入。</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（二）支出预算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hint="eastAsia"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2022年本单位支出预算1586.2万元，其中，文化旅游体育与传媒支出1323.44万元，占比83.43%，社会保障和就业支出116.15万元，占比7.32%，卫生健康支出59.5万元，占比3.75%，住房保障支出87.11万元，占比5.49%。支出较去年增加469.29万元，其中基本支出减少11.13万元，项目支出增加480.42万元。基本支出较上年减少主要是因为人员工资减少（退休2人），项目支出增加的原因是新增了按项目管理的工资福利支出和按项目管理的商品和服务支出。</w:t>
            </w:r>
          </w:p>
          <w:p>
            <w:pPr>
              <w:pStyle w:val="4"/>
              <w:widowControl/>
              <w:spacing w:beforeAutospacing="0" w:afterAutospacing="0" w:line="26" w:lineRule="atLeast"/>
              <w:jc w:val="both"/>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2022年预算公开文档第三大点（对应表3）、第四大点（对应表7）中的金额和百分比，由于预算编制时金额明细到了“分”，而公开表格显示和公开文档取数只到“百元”，可能导致0.01的尾数差异。</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四、一般公共预算拨款支出预算</w:t>
            </w:r>
          </w:p>
        </w:tc>
      </w:tr>
      <w:tr>
        <w:tblPrEx>
          <w:tblCellMar>
            <w:top w:w="0" w:type="dxa"/>
            <w:left w:w="108" w:type="dxa"/>
            <w:bottom w:w="0" w:type="dxa"/>
            <w:right w:w="108" w:type="dxa"/>
          </w:tblCellMar>
        </w:tblPrEx>
        <w:trPr>
          <w:trHeight w:val="1260"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2022年本单位一般公共预算拨款支出预算1586.2万元，其中，文化旅游体育与传媒支出1323.44万元，占比83.43%，社会保障和就业支出116.15万元，占比7.32%，卫生健康支出59.5万元，占比3.75%，住房保障支出87.11万元，占比5.49%。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一）基本支出：2022年基本支出年初预算数为1105.78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二）项目支出：2022年项目支出年初预算数为480.42万元，是指单位为完成特定行政工作任务或事业发展目标而发生的支出，包括有关业务工作经费、运行维护经费等。其中：工会经费补助专项支出47.10万元，主要用于正常发放工会经费补助；伙食补助费专项支出62.80万元，用于正常支付2022年度职工伙食补助费；绩效平安奖专项支出314万元，主要用于正常发放绩效平安奖；物业管理费专项支出56.52万元，主要用于正常支付2022年物业管理费。</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2022年度本单位无政府性基金安排的支出，所以公开的附件15-17（政府性基金预算）为空。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本单位2022年机关运行经费当年一般公共预算拨款106.95万元，比上一年减少2.18万元，减少2.04%。主要原因是因为减少了按项目管理的工资福利经费和按项目管理的商品和服务经费。</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（二）“三公”经费预算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FF0000"/>
                <w:kern w:val="0"/>
                <w:sz w:val="28"/>
                <w:szCs w:val="28"/>
              </w:rPr>
            </w:pPr>
            <w:r>
              <w:rPr>
                <w:rFonts w:hint="eastAsia" w:cs="宋体" w:asciiTheme="majorEastAsia" w:hAnsiTheme="majorEastAsia" w:eastAsiaTheme="majorEastAsia"/>
                <w:kern w:val="0"/>
                <w:sz w:val="28"/>
                <w:szCs w:val="28"/>
              </w:rPr>
              <w:t xml:space="preserve"> 2022年本单位“三公”经费预算数1万元（数据来源见表14），其中，公务接待费1万元，因公出国（境）费0万元，公务用车购置及运行费0万元（其中，公务用车购置费0万元，公务用车运行费0万元）。2022年三公经费预算较上年减少3.4万元，主要原因是缩减了接待频次。</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（三）一般性支出情况</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本单位2022年会议费预算0万元，拟召开0次会议，人数0人，培训费预算0万元,拟开展0次培训，人数0人；计划主办节庆、晚会、论坛、赛事活动0万元。2022年度本单位未计划安排会议、培训，未计划举办节庆、晚会、论坛、赛事活动。</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本单位2022年政府采购预算总额0万元，其中工程类0万元，货物类0万元，服务类0万元。2022年度本单位未安排政府采购预算。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截至上年底，本单位共有车辆3辆，其中领导干部用车0辆，一般公务用车0辆，其他用车3辆。单位价值50万元以上通用设备0台，单位价值100万元以上专用设备0台。</w:t>
            </w:r>
          </w:p>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2022年拟报废处置公务用车0辆，拟新增配置车辆0辆，其中领导干部用车0辆，一般公务用车0辆，其他用车0辆。</w:t>
            </w:r>
          </w:p>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2022年拟新增配备领导干部用车0辆，一般公务用车0辆，其他用车0辆，新增配备单位价值50万元以上通用设备0台，单位价值100万元以上专用设备0台。2022年度本单位未计划处置或新增车辆、设备等。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（六）预算绩效目标说明</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本单位所有支出实行绩效目标管理。纳入2022年部门整体支出绩效目标的金额为1586.2万元，其中，基本支出1105.78万元，项目支出480.42万元，详见文尾附表中单位预算公开表格的表21-22。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cs="宋体" w:asciiTheme="majorEastAsia" w:hAnsiTheme="majorEastAsia" w:eastAsiaTheme="majorEastAsia"/>
                <w:color w:val="000000"/>
                <w:kern w:val="0"/>
                <w:sz w:val="36"/>
                <w:szCs w:val="36"/>
              </w:rPr>
            </w:pPr>
            <w:r>
              <w:rPr>
                <w:rFonts w:hint="eastAsia" w:cs="宋体" w:asciiTheme="majorEastAsia" w:hAnsiTheme="majorEastAsia" w:eastAsiaTheme="majorEastAsia"/>
                <w:color w:val="000000"/>
                <w:kern w:val="0"/>
                <w:sz w:val="36"/>
                <w:szCs w:val="36"/>
              </w:rPr>
              <w:t>第二部分  2022年单位预算公开表格</w:t>
            </w:r>
          </w:p>
        </w:tc>
      </w:tr>
      <w:tr>
        <w:tblPrEx>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widowControl/>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1、收支总表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2、收入总表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3、支出总表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4、支出预算分类汇总表（按政府预算经济分类）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5、支出预算分类汇总表（按部门预算经济分类）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6、财政拨款收支总表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7、一般公共预算支出表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8、一般公共预算基本支出表-人员经费（工资福利支出）（按政府预算经济分类）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9、一般公共预算基本支出表-人员经费（工资福利支出）（按部门预算经济分类）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10、一般公共预算基本支出表-人员经费（对个人和家庭的补助）（按政府预算经济分类）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11、一般公共预算基本支出表-人员经费（对个人和家庭的补助）（按部门预算经济分类）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12、一般公共预算基本支出表-</w:t>
            </w:r>
            <w:r>
              <w:rPr>
                <w:rFonts w:hint="eastAsia" w:cs="宋体" w:asciiTheme="majorEastAsia" w:hAnsiTheme="majorEastAsia" w:eastAsiaTheme="majorEastAsia"/>
                <w:color w:val="000000"/>
                <w:kern w:val="0"/>
                <w:sz w:val="28"/>
                <w:szCs w:val="28"/>
                <w:lang w:val="en-US" w:eastAsia="zh-CN"/>
              </w:rPr>
              <w:t>公用</w:t>
            </w:r>
            <w:r>
              <w:rPr>
                <w:rFonts w:hint="eastAsia" w:cs="宋体" w:asciiTheme="majorEastAsia" w:hAnsiTheme="majorEastAsia" w:eastAsiaTheme="majorEastAsia"/>
                <w:color w:val="000000"/>
                <w:kern w:val="0"/>
                <w:sz w:val="28"/>
                <w:szCs w:val="28"/>
              </w:rPr>
              <w:t>经费（商品和服务支出）（按政府预算经济分类）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13、一般公共预算基本支出表-</w:t>
            </w:r>
            <w:r>
              <w:rPr>
                <w:rFonts w:hint="eastAsia" w:cs="宋体" w:asciiTheme="majorEastAsia" w:hAnsiTheme="majorEastAsia" w:eastAsiaTheme="majorEastAsia"/>
                <w:color w:val="000000"/>
                <w:kern w:val="0"/>
                <w:sz w:val="28"/>
                <w:szCs w:val="28"/>
                <w:lang w:val="en-US" w:eastAsia="zh-CN"/>
              </w:rPr>
              <w:t>公用</w:t>
            </w:r>
            <w:bookmarkStart w:id="0" w:name="_GoBack"/>
            <w:bookmarkEnd w:id="0"/>
            <w:r>
              <w:rPr>
                <w:rFonts w:hint="eastAsia" w:cs="宋体" w:asciiTheme="majorEastAsia" w:hAnsiTheme="majorEastAsia" w:eastAsiaTheme="majorEastAsia"/>
                <w:color w:val="000000"/>
                <w:kern w:val="0"/>
                <w:sz w:val="28"/>
                <w:szCs w:val="28"/>
              </w:rPr>
              <w:t>经费（商品和服务支出）（按部门预算经济分类）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14、一般公共预算“三公”经费支出表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15、政府性基金预算支出表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16、政府性基金预算支出分类汇总表（按政府预算经济分类）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17、政府性基金预算支出分类汇总表（按部门预算经济分类）</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18、国有资本经营预算支出表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19、财政专户管理资金预算支出表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20、专项资金预算汇总表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21、项目支出绩效目标表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22、整体支出绩效目标表</w:t>
            </w:r>
          </w:p>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sz w:val="28"/>
                <w:szCs w:val="28"/>
              </w:rPr>
              <w:t>23、一般公共预算基本支出表</w:t>
            </w:r>
            <w:r>
              <w:rPr>
                <w:rFonts w:hint="eastAsia" w:cs="宋体" w:asciiTheme="majorEastAsia" w:hAnsiTheme="majorEastAsia" w:eastAsiaTheme="majorEastAsia"/>
                <w:color w:val="000000"/>
                <w:kern w:val="0"/>
                <w:sz w:val="28"/>
                <w:szCs w:val="28"/>
              </w:rPr>
              <w:br w:type="textWrapping"/>
            </w:r>
            <w:r>
              <w:rPr>
                <w:rFonts w:hint="eastAsia" w:cs="宋体" w:asciiTheme="majorEastAsia" w:hAnsiTheme="majorEastAsia" w:eastAsiaTheme="majorEastAsia"/>
                <w:color w:val="000000"/>
                <w:kern w:val="0"/>
                <w:sz w:val="28"/>
                <w:szCs w:val="28"/>
              </w:rPr>
              <w:t>注：以上单位预算公开报表中，空表表示本单位无相关收支情况。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2NGQxZjRjNWQ2YzBlZDQxNTc2NWYwZTRlMzBlYWUifQ=="/>
  </w:docVars>
  <w:rsids>
    <w:rsidRoot w:val="00EC0F43"/>
    <w:rsid w:val="005206EF"/>
    <w:rsid w:val="00547A34"/>
    <w:rsid w:val="006673C9"/>
    <w:rsid w:val="006C6190"/>
    <w:rsid w:val="008F52A4"/>
    <w:rsid w:val="0095079E"/>
    <w:rsid w:val="00DC508D"/>
    <w:rsid w:val="00EC0F43"/>
    <w:rsid w:val="3B263C97"/>
    <w:rsid w:val="49F92FDD"/>
    <w:rsid w:val="7F833A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ascii="Calibri" w:hAnsi="Calibri" w:eastAsia="宋体"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564</Words>
  <Characters>3220</Characters>
  <Lines>26</Lines>
  <Paragraphs>7</Paragraphs>
  <TotalTime>2</TotalTime>
  <ScaleCrop>false</ScaleCrop>
  <LinksUpToDate>false</LinksUpToDate>
  <CharactersWithSpaces>3777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2023-09-21T14:02:00Z</dcterms:created>
  <dc:creator>PC</dc:creator>
  <cp:lastModifiedBy>Administrator</cp:lastModifiedBy>
  <dcterms:modified xsi:type="dcterms:W3CDTF">2023-09-22T08:28:07Z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39B85630CF25492997825E5C036B21C6_12</vt:lpwstr>
  </property>
</Properties>
</file>