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spacing w:line="251" w:lineRule="auto"/>
        <w:rPr/>
      </w:pPr>
      <w:r/>
    </w:p>
    <w:p>
      <w:pPr>
        <w:pStyle w:val="BodyText"/>
        <w:spacing w:line="251" w:lineRule="auto"/>
        <w:rPr/>
      </w:pPr>
      <w:r/>
    </w:p>
    <w:p>
      <w:pPr>
        <w:pStyle w:val="BodyText"/>
        <w:spacing w:line="252" w:lineRule="auto"/>
        <w:rPr/>
      </w:pPr>
      <w:r/>
    </w:p>
    <w:p>
      <w:pPr>
        <w:pStyle w:val="BodyText"/>
        <w:spacing w:line="252" w:lineRule="auto"/>
        <w:rPr/>
      </w:pPr>
      <w:r/>
    </w:p>
    <w:p>
      <w:pPr>
        <w:pStyle w:val="BodyText"/>
        <w:spacing w:line="252" w:lineRule="auto"/>
        <w:rPr/>
      </w:pPr>
      <w:r/>
    </w:p>
    <w:p>
      <w:pPr>
        <w:ind w:left="3107" w:right="255" w:hanging="2570"/>
        <w:spacing w:before="330" w:line="199" w:lineRule="auto"/>
        <w:outlineLvl w:val="0"/>
        <w:rPr>
          <w:rFonts w:ascii="Microsoft YaHei" w:hAnsi="Microsoft YaHei" w:eastAsia="Microsoft YaHei" w:cs="Microsoft YaHei"/>
          <w:sz w:val="77"/>
          <w:szCs w:val="77"/>
        </w:rPr>
      </w:pPr>
      <w:r>
        <w:rPr>
          <w:rFonts w:ascii="Microsoft YaHei" w:hAnsi="Microsoft YaHei" w:eastAsia="Microsoft YaHei" w:cs="Microsoft YaHei"/>
          <w:sz w:val="77"/>
          <w:szCs w:val="77"/>
          <w:b/>
          <w:bCs/>
          <w:spacing w:val="8"/>
        </w:rPr>
        <w:t>岳阳市巴陵戏传承研究院</w:t>
      </w:r>
      <w:r>
        <w:rPr>
          <w:rFonts w:ascii="Microsoft YaHei" w:hAnsi="Microsoft YaHei" w:eastAsia="Microsoft YaHei" w:cs="Microsoft YaHei"/>
          <w:sz w:val="77"/>
          <w:szCs w:val="77"/>
          <w:b/>
          <w:bCs/>
        </w:rPr>
        <w:t xml:space="preserve"> </w:t>
      </w:r>
      <w:r>
        <w:rPr>
          <w:rFonts w:ascii="Microsoft YaHei" w:hAnsi="Microsoft YaHei" w:eastAsia="Microsoft YaHei" w:cs="Microsoft YaHei"/>
          <w:sz w:val="77"/>
          <w:szCs w:val="77"/>
          <w:b/>
          <w:bCs/>
        </w:rPr>
        <w:t>2024年度</w:t>
      </w:r>
    </w:p>
    <w:p>
      <w:pPr>
        <w:ind w:left="3261"/>
        <w:spacing w:before="3" w:line="184" w:lineRule="auto"/>
        <w:outlineLvl w:val="1"/>
        <w:rPr>
          <w:rFonts w:ascii="Microsoft YaHei" w:hAnsi="Microsoft YaHei" w:eastAsia="Microsoft YaHei" w:cs="Microsoft YaHei"/>
          <w:sz w:val="77"/>
          <w:szCs w:val="77"/>
        </w:rPr>
      </w:pPr>
      <w:r>
        <w:rPr>
          <w:rFonts w:ascii="Microsoft YaHei" w:hAnsi="Microsoft YaHei" w:eastAsia="Microsoft YaHei" w:cs="Microsoft YaHei"/>
          <w:sz w:val="77"/>
          <w:szCs w:val="77"/>
          <w:b/>
          <w:bCs/>
          <w:spacing w:val="6"/>
        </w:rPr>
        <w:t>单位预算</w:t>
      </w:r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ind w:left="4470"/>
        <w:spacing w:before="127" w:line="226" w:lineRule="auto"/>
        <w:outlineLvl w:val="1"/>
        <w:rPr>
          <w:rFonts w:ascii="SimHei" w:hAnsi="SimHei" w:eastAsia="SimHei" w:cs="SimHei"/>
          <w:sz w:val="39"/>
          <w:szCs w:val="39"/>
        </w:rPr>
      </w:pPr>
      <w:r>
        <w:rPr>
          <w:rFonts w:ascii="SimHei" w:hAnsi="SimHei" w:eastAsia="SimHei" w:cs="SimHei"/>
          <w:sz w:val="39"/>
          <w:szCs w:val="39"/>
          <w:spacing w:val="-22"/>
        </w:rPr>
        <w:t>目录</w:t>
      </w:r>
    </w:p>
    <w:p>
      <w:pPr>
        <w:pStyle w:val="BodyText"/>
        <w:spacing w:line="257" w:lineRule="auto"/>
        <w:rPr/>
      </w:pPr>
      <w:r/>
    </w:p>
    <w:p>
      <w:pPr>
        <w:pStyle w:val="BodyText"/>
        <w:spacing w:line="257" w:lineRule="auto"/>
        <w:rPr/>
      </w:pPr>
      <w:r/>
    </w:p>
    <w:p>
      <w:pPr>
        <w:ind w:left="2"/>
        <w:spacing w:before="98" w:line="221" w:lineRule="auto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</w:rPr>
        <w:t>第一部分</w:t>
      </w:r>
      <w:r>
        <w:rPr>
          <w:rFonts w:ascii="SimHei" w:hAnsi="SimHei" w:eastAsia="SimHei" w:cs="SimHei"/>
          <w:sz w:val="30"/>
          <w:szCs w:val="30"/>
        </w:rPr>
        <w:t xml:space="preserve">  </w:t>
      </w:r>
      <w:r>
        <w:rPr>
          <w:rFonts w:ascii="SimHei" w:hAnsi="SimHei" w:eastAsia="SimHei" w:cs="SimHei"/>
          <w:sz w:val="30"/>
          <w:szCs w:val="30"/>
        </w:rPr>
        <w:t>2024年单位预算说明</w:t>
      </w:r>
    </w:p>
    <w:p>
      <w:pPr>
        <w:ind w:left="2"/>
        <w:spacing w:before="297" w:line="222" w:lineRule="auto"/>
        <w:outlineLvl w:val="2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spacing w:val="1"/>
        </w:rPr>
        <w:t>第二部分</w:t>
      </w:r>
      <w:r>
        <w:rPr>
          <w:rFonts w:ascii="SimHei" w:hAnsi="SimHei" w:eastAsia="SimHei" w:cs="SimHei"/>
          <w:sz w:val="30"/>
          <w:szCs w:val="30"/>
          <w:spacing w:val="1"/>
        </w:rPr>
        <w:t xml:space="preserve">  </w:t>
      </w:r>
      <w:r>
        <w:rPr>
          <w:rFonts w:ascii="SimHei" w:hAnsi="SimHei" w:eastAsia="SimHei" w:cs="SimHei"/>
          <w:sz w:val="30"/>
          <w:szCs w:val="30"/>
          <w:spacing w:val="1"/>
        </w:rPr>
        <w:t>2024年单位预算公开表格</w:t>
      </w:r>
    </w:p>
    <w:p>
      <w:pPr>
        <w:ind w:left="23"/>
        <w:spacing w:before="295" w:line="223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1、收支总表</w:t>
      </w:r>
    </w:p>
    <w:p>
      <w:pPr>
        <w:ind w:left="4"/>
        <w:spacing w:before="292" w:line="223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2、收入总表</w:t>
      </w:r>
    </w:p>
    <w:p>
      <w:pPr>
        <w:ind w:left="7"/>
        <w:spacing w:before="292" w:line="224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</w:rPr>
        <w:t>3、支出总表</w:t>
      </w:r>
    </w:p>
    <w:p>
      <w:pPr>
        <w:spacing w:before="292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1"/>
        </w:rPr>
        <w:t>4、支出预算分类汇总表（按政府预算经济分类）</w:t>
      </w:r>
    </w:p>
    <w:p>
      <w:pPr>
        <w:ind w:left="7"/>
        <w:spacing w:before="296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1"/>
        </w:rPr>
        <w:t>5、支出预算分类汇总表（按部门预算经济分类）</w:t>
      </w:r>
    </w:p>
    <w:p>
      <w:pPr>
        <w:ind w:left="3"/>
        <w:spacing w:before="297" w:line="223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</w:rPr>
        <w:t>6、财政拨款收支总表</w:t>
      </w:r>
    </w:p>
    <w:p>
      <w:pPr>
        <w:ind w:left="8"/>
        <w:spacing w:before="292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</w:rPr>
        <w:t>7、一般公共预算支出表</w:t>
      </w:r>
    </w:p>
    <w:p>
      <w:pPr>
        <w:ind w:left="10" w:hanging="8"/>
        <w:spacing w:before="148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"/>
        </w:rPr>
        <w:t>8、一般公共预算基本支出表-人员经费（工资福利支出</w:t>
      </w:r>
      <w:r>
        <w:rPr>
          <w:rFonts w:ascii="FangSong" w:hAnsi="FangSong" w:eastAsia="FangSong" w:cs="FangSong"/>
          <w:sz w:val="30"/>
          <w:szCs w:val="30"/>
          <w:spacing w:val="-20"/>
        </w:rPr>
        <w:t>）（</w:t>
      </w:r>
      <w:r>
        <w:rPr>
          <w:rFonts w:ascii="FangSong" w:hAnsi="FangSong" w:eastAsia="FangSong" w:cs="FangSong"/>
          <w:sz w:val="30"/>
          <w:szCs w:val="30"/>
          <w:spacing w:val="3"/>
        </w:rPr>
        <w:t>按政</w:t>
      </w:r>
      <w:r>
        <w:rPr>
          <w:rFonts w:ascii="FangSong" w:hAnsi="FangSong" w:eastAsia="FangSong" w:cs="FangSong"/>
          <w:sz w:val="30"/>
          <w:szCs w:val="30"/>
          <w:spacing w:val="2"/>
        </w:rPr>
        <w:t>府预算</w:t>
      </w:r>
      <w:r>
        <w:rPr>
          <w:rFonts w:ascii="FangSong" w:hAnsi="FangSong" w:eastAsia="FangSong" w:cs="FangSong"/>
          <w:sz w:val="30"/>
          <w:szCs w:val="30"/>
          <w:spacing w:val="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3"/>
        </w:rPr>
        <w:t>经济分类）</w:t>
      </w:r>
    </w:p>
    <w:p>
      <w:pPr>
        <w:spacing w:line="222" w:lineRule="auto"/>
        <w:sectPr>
          <w:pgSz w:w="11905" w:h="16837"/>
          <w:pgMar w:top="1431" w:right="1409" w:bottom="0" w:left="1144" w:header="0" w:footer="0" w:gutter="0"/>
        </w:sectPr>
        <w:rPr>
          <w:rFonts w:ascii="FangSong" w:hAnsi="FangSong" w:eastAsia="FangSong" w:cs="FangSong"/>
          <w:sz w:val="30"/>
          <w:szCs w:val="30"/>
        </w:rPr>
      </w:pPr>
    </w:p>
    <w:p>
      <w:pPr>
        <w:ind w:left="9" w:right="150" w:hanging="8"/>
        <w:spacing w:before="60" w:line="204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"/>
        </w:rPr>
        <w:t>9、一般公共预算基本支出表-人员经费（工资福利支出</w:t>
      </w:r>
      <w:r>
        <w:rPr>
          <w:rFonts w:ascii="FangSong" w:hAnsi="FangSong" w:eastAsia="FangSong" w:cs="FangSong"/>
          <w:sz w:val="30"/>
          <w:szCs w:val="30"/>
          <w:spacing w:val="-20"/>
        </w:rPr>
        <w:t>）（</w:t>
      </w:r>
      <w:r>
        <w:rPr>
          <w:rFonts w:ascii="FangSong" w:hAnsi="FangSong" w:eastAsia="FangSong" w:cs="FangSong"/>
          <w:sz w:val="30"/>
          <w:szCs w:val="30"/>
          <w:spacing w:val="3"/>
        </w:rPr>
        <w:t>按部</w:t>
      </w:r>
      <w:r>
        <w:rPr>
          <w:rFonts w:ascii="FangSong" w:hAnsi="FangSong" w:eastAsia="FangSong" w:cs="FangSong"/>
          <w:sz w:val="30"/>
          <w:szCs w:val="30"/>
          <w:spacing w:val="2"/>
        </w:rPr>
        <w:t>门预算</w:t>
      </w:r>
      <w:r>
        <w:rPr>
          <w:rFonts w:ascii="FangSong" w:hAnsi="FangSong" w:eastAsia="FangSong" w:cs="FangSong"/>
          <w:sz w:val="30"/>
          <w:szCs w:val="30"/>
          <w:spacing w:val="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3"/>
        </w:rPr>
        <w:t>经济分类）</w:t>
      </w:r>
    </w:p>
    <w:p>
      <w:pPr>
        <w:ind w:left="10" w:firstLine="11"/>
        <w:spacing w:before="1" w:line="20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"/>
        </w:rPr>
        <w:t>10、一般公共预算基本支出表-人员经费（对个人和家庭的补助</w:t>
      </w:r>
      <w:r>
        <w:rPr>
          <w:rFonts w:ascii="FangSong" w:hAnsi="FangSong" w:eastAsia="FangSong" w:cs="FangSong"/>
          <w:sz w:val="30"/>
          <w:szCs w:val="30"/>
          <w:spacing w:val="-18"/>
        </w:rPr>
        <w:t>）（</w:t>
      </w:r>
      <w:r>
        <w:rPr>
          <w:rFonts w:ascii="FangSong" w:hAnsi="FangSong" w:eastAsia="FangSong" w:cs="FangSong"/>
          <w:sz w:val="30"/>
          <w:szCs w:val="30"/>
          <w:spacing w:val="2"/>
        </w:rPr>
        <w:t>按政</w:t>
      </w:r>
      <w:r>
        <w:rPr>
          <w:rFonts w:ascii="FangSong" w:hAnsi="FangSong" w:eastAsia="FangSong" w:cs="FangSong"/>
          <w:sz w:val="30"/>
          <w:szCs w:val="30"/>
          <w:spacing w:val="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"/>
        </w:rPr>
        <w:t>府预算经济分类）</w:t>
      </w:r>
    </w:p>
    <w:p>
      <w:pPr>
        <w:ind w:left="38" w:hanging="16"/>
        <w:spacing w:before="1" w:line="20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"/>
        </w:rPr>
        <w:t>11、一般公共预算基本支出表-人员经费（对个人和家庭的补助</w:t>
      </w:r>
      <w:r>
        <w:rPr>
          <w:rFonts w:ascii="FangSong" w:hAnsi="FangSong" w:eastAsia="FangSong" w:cs="FangSong"/>
          <w:sz w:val="30"/>
          <w:szCs w:val="30"/>
          <w:spacing w:val="-18"/>
        </w:rPr>
        <w:t>）（</w:t>
      </w:r>
      <w:r>
        <w:rPr>
          <w:rFonts w:ascii="FangSong" w:hAnsi="FangSong" w:eastAsia="FangSong" w:cs="FangSong"/>
          <w:sz w:val="30"/>
          <w:szCs w:val="30"/>
          <w:spacing w:val="2"/>
        </w:rPr>
        <w:t>按部</w:t>
      </w:r>
      <w:r>
        <w:rPr>
          <w:rFonts w:ascii="FangSong" w:hAnsi="FangSong" w:eastAsia="FangSong" w:cs="FangSong"/>
          <w:sz w:val="30"/>
          <w:szCs w:val="30"/>
          <w:spacing w:val="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5"/>
        </w:rPr>
        <w:t>门预算经济分类）</w:t>
      </w:r>
    </w:p>
    <w:p>
      <w:pPr>
        <w:ind w:left="9" w:firstLine="12"/>
        <w:spacing w:before="1" w:line="20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"/>
        </w:rPr>
        <w:t>12、一般公共预算基本支出表-公用经费（商品和服务支出</w:t>
      </w:r>
      <w:r>
        <w:rPr>
          <w:rFonts w:ascii="FangSong" w:hAnsi="FangSong" w:eastAsia="FangSong" w:cs="FangSong"/>
          <w:sz w:val="30"/>
          <w:szCs w:val="30"/>
          <w:spacing w:val="-18"/>
        </w:rPr>
        <w:t>）（</w:t>
      </w:r>
      <w:r>
        <w:rPr>
          <w:rFonts w:ascii="FangSong" w:hAnsi="FangSong" w:eastAsia="FangSong" w:cs="FangSong"/>
          <w:sz w:val="30"/>
          <w:szCs w:val="30"/>
          <w:spacing w:val="2"/>
        </w:rPr>
        <w:t>按政府预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"/>
        </w:rPr>
        <w:t>算经济分类）</w:t>
      </w:r>
    </w:p>
    <w:p>
      <w:pPr>
        <w:ind w:left="9" w:firstLine="12"/>
        <w:spacing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"/>
        </w:rPr>
        <w:t>13、一般公共预算基本支出表-公用经费（商品和服务支出</w:t>
      </w:r>
      <w:r>
        <w:rPr>
          <w:rFonts w:ascii="FangSong" w:hAnsi="FangSong" w:eastAsia="FangSong" w:cs="FangSong"/>
          <w:sz w:val="30"/>
          <w:szCs w:val="30"/>
          <w:spacing w:val="-18"/>
        </w:rPr>
        <w:t>）（</w:t>
      </w:r>
      <w:r>
        <w:rPr>
          <w:rFonts w:ascii="FangSong" w:hAnsi="FangSong" w:eastAsia="FangSong" w:cs="FangSong"/>
          <w:sz w:val="30"/>
          <w:szCs w:val="30"/>
          <w:spacing w:val="2"/>
        </w:rPr>
        <w:t>按部门预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"/>
        </w:rPr>
        <w:t>算经济分类）</w:t>
      </w:r>
    </w:p>
    <w:p>
      <w:pPr>
        <w:ind w:left="22"/>
        <w:spacing w:before="79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14、一般公共预算“三公</w:t>
      </w:r>
      <w:r>
        <w:rPr>
          <w:rFonts w:ascii="FangSong" w:hAnsi="FangSong" w:eastAsia="FangSong" w:cs="FangSong"/>
          <w:sz w:val="30"/>
          <w:szCs w:val="30"/>
          <w:spacing w:val="-9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3"/>
        </w:rPr>
        <w:t>”经费支出表</w:t>
      </w:r>
    </w:p>
    <w:p>
      <w:pPr>
        <w:ind w:left="22"/>
        <w:spacing w:before="296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15、政府性基金预算支出表</w:t>
      </w:r>
    </w:p>
    <w:p>
      <w:pPr>
        <w:ind w:left="22"/>
        <w:spacing w:before="297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</w:rPr>
        <w:t>16、政府性基金预算支出分类汇总表（按政府预算经济分类）</w:t>
      </w:r>
    </w:p>
    <w:p>
      <w:pPr>
        <w:ind w:left="22"/>
        <w:spacing w:before="299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</w:rPr>
        <w:t>17、政府性基金预算支出分类汇总表（按部门预算经济分类）</w:t>
      </w:r>
    </w:p>
    <w:p>
      <w:pPr>
        <w:ind w:left="22"/>
        <w:spacing w:before="296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18、国有资本经营预算支出表</w:t>
      </w:r>
    </w:p>
    <w:p>
      <w:pPr>
        <w:ind w:left="22"/>
        <w:spacing w:before="294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19、财政专户管理资金预算支出表</w:t>
      </w:r>
    </w:p>
    <w:p>
      <w:pPr>
        <w:ind w:left="3"/>
        <w:spacing w:before="295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</w:rPr>
        <w:t>20、专项资金预算汇总表</w:t>
      </w:r>
    </w:p>
    <w:p>
      <w:pPr>
        <w:ind w:left="3"/>
        <w:spacing w:before="295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</w:rPr>
        <w:t>21、项目支出绩效目标表</w:t>
      </w:r>
    </w:p>
    <w:p>
      <w:pPr>
        <w:ind w:left="3"/>
        <w:spacing w:before="295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</w:rPr>
        <w:t>22、单位整体支出绩效目标表</w:t>
      </w:r>
    </w:p>
    <w:p>
      <w:pPr>
        <w:ind w:left="3"/>
        <w:spacing w:before="295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</w:rPr>
        <w:t>23、一般公共预算基本支出表</w:t>
      </w:r>
    </w:p>
    <w:p>
      <w:pPr>
        <w:ind w:left="17"/>
        <w:spacing w:before="295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color w:val="FF0000"/>
          <w:spacing w:val="1"/>
        </w:rPr>
        <w:t>注：以上单位预算公开报表中，空表表示本单位无相关收</w:t>
      </w:r>
      <w:r>
        <w:rPr>
          <w:rFonts w:ascii="FangSong" w:hAnsi="FangSong" w:eastAsia="FangSong" w:cs="FangSong"/>
          <w:sz w:val="30"/>
          <w:szCs w:val="30"/>
          <w:color w:val="FF0000"/>
        </w:rPr>
        <w:t>支情况。</w:t>
      </w:r>
    </w:p>
    <w:p>
      <w:pPr>
        <w:pStyle w:val="BodyText"/>
        <w:spacing w:line="282" w:lineRule="auto"/>
        <w:rPr/>
      </w:pPr>
      <w:r/>
    </w:p>
    <w:p>
      <w:pPr>
        <w:pStyle w:val="BodyText"/>
        <w:spacing w:line="282" w:lineRule="auto"/>
        <w:rPr/>
      </w:pPr>
      <w:r/>
    </w:p>
    <w:p>
      <w:pPr>
        <w:pStyle w:val="BodyText"/>
        <w:spacing w:line="282" w:lineRule="auto"/>
        <w:rPr/>
      </w:pPr>
      <w:r/>
    </w:p>
    <w:p>
      <w:pPr>
        <w:ind w:left="2704"/>
        <w:spacing w:before="97" w:line="221" w:lineRule="auto"/>
        <w:outlineLvl w:val="2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</w:rPr>
        <w:t>第一部分</w:t>
      </w:r>
      <w:r>
        <w:rPr>
          <w:rFonts w:ascii="SimHei" w:hAnsi="SimHei" w:eastAsia="SimHei" w:cs="SimHei"/>
          <w:sz w:val="30"/>
          <w:szCs w:val="30"/>
        </w:rPr>
        <w:t xml:space="preserve">  </w:t>
      </w:r>
      <w:r>
        <w:rPr>
          <w:rFonts w:ascii="SimHei" w:hAnsi="SimHei" w:eastAsia="SimHei" w:cs="SimHei"/>
          <w:sz w:val="30"/>
          <w:szCs w:val="30"/>
        </w:rPr>
        <w:t>2024年单位预算说明</w:t>
      </w:r>
    </w:p>
    <w:p>
      <w:pPr>
        <w:pStyle w:val="BodyText"/>
        <w:spacing w:line="261" w:lineRule="auto"/>
        <w:rPr/>
      </w:pPr>
      <w:r/>
    </w:p>
    <w:p>
      <w:pPr>
        <w:pStyle w:val="BodyText"/>
        <w:spacing w:line="261" w:lineRule="auto"/>
        <w:rPr/>
      </w:pPr>
      <w:r/>
    </w:p>
    <w:p>
      <w:pPr>
        <w:ind w:left="308"/>
        <w:spacing w:before="98" w:line="221" w:lineRule="auto"/>
        <w:outlineLvl w:val="3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spacing w:val="-1"/>
        </w:rPr>
        <w:t>一、单位基本概况</w:t>
      </w:r>
    </w:p>
    <w:p>
      <w:pPr>
        <w:ind w:left="317"/>
        <w:spacing w:before="296" w:line="221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4"/>
        </w:rPr>
        <w:t>（一）职能职责</w:t>
      </w:r>
    </w:p>
    <w:p>
      <w:pPr>
        <w:ind w:right="57" w:firstLine="326"/>
        <w:spacing w:before="245" w:line="222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1、宣传党的文艺方针政策，传承和保护国家非物质文化遗产—</w:t>
      </w:r>
      <w:r>
        <w:rPr>
          <w:rFonts w:ascii="SimSun" w:hAnsi="SimSun" w:eastAsia="SimSun" w:cs="SimSun"/>
          <w:sz w:val="30"/>
          <w:szCs w:val="30"/>
          <w:spacing w:val="-2"/>
        </w:rPr>
        <w:t>—巴陵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4"/>
        </w:rPr>
        <w:t>戏，以及“文化惠民</w:t>
      </w:r>
      <w:r>
        <w:rPr>
          <w:rFonts w:ascii="SimSun" w:hAnsi="SimSun" w:eastAsia="SimSun" w:cs="SimSun"/>
          <w:sz w:val="30"/>
          <w:szCs w:val="30"/>
          <w:spacing w:val="-94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4"/>
        </w:rPr>
        <w:t>”“送戏下乡</w:t>
      </w:r>
      <w:r>
        <w:rPr>
          <w:rFonts w:ascii="SimSun" w:hAnsi="SimSun" w:eastAsia="SimSun" w:cs="SimSun"/>
          <w:sz w:val="30"/>
          <w:szCs w:val="30"/>
          <w:spacing w:val="-11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4"/>
        </w:rPr>
        <w:t>”等各类公益性文艺演出。</w:t>
      </w:r>
    </w:p>
    <w:p>
      <w:pPr>
        <w:ind w:left="609"/>
        <w:spacing w:before="9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2、完成上级主管部门交办的其他工作。</w:t>
      </w:r>
    </w:p>
    <w:p>
      <w:pPr>
        <w:ind w:left="317"/>
        <w:spacing w:before="248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4"/>
        </w:rPr>
        <w:t>（二）机构设置</w:t>
      </w:r>
    </w:p>
    <w:p>
      <w:pPr>
        <w:spacing w:line="219" w:lineRule="auto"/>
        <w:sectPr>
          <w:pgSz w:w="11905" w:h="16837"/>
          <w:pgMar w:top="375" w:right="1259" w:bottom="0" w:left="1145" w:header="0" w:footer="0" w:gutter="0"/>
        </w:sectPr>
        <w:rPr>
          <w:rFonts w:ascii="SimSun" w:hAnsi="SimSun" w:eastAsia="SimSun" w:cs="SimSun"/>
          <w:sz w:val="30"/>
          <w:szCs w:val="30"/>
        </w:rPr>
      </w:pPr>
    </w:p>
    <w:p>
      <w:pPr>
        <w:ind w:left="304"/>
        <w:spacing w:before="60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根据编委核定，我院内设部室9个，全部纳入202</w:t>
      </w:r>
      <w:r>
        <w:rPr>
          <w:rFonts w:ascii="SimSun" w:hAnsi="SimSun" w:eastAsia="SimSun" w:cs="SimSun"/>
          <w:sz w:val="30"/>
          <w:szCs w:val="30"/>
          <w:spacing w:val="-1"/>
        </w:rPr>
        <w:t>3年部门预算编制范围</w:t>
      </w:r>
    </w:p>
    <w:p>
      <w:pPr>
        <w:ind w:left="30"/>
        <w:spacing w:before="199" w:line="151" w:lineRule="exact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position w:val="1"/>
        </w:rPr>
        <w:t>。</w:t>
      </w:r>
    </w:p>
    <w:p>
      <w:pPr>
        <w:ind w:left="5" w:right="21" w:firstLine="31"/>
        <w:spacing w:before="21" w:line="216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2"/>
        </w:rPr>
        <w:t>内设部室分别是：综合部、巴陵戏剧室、花鼓戏剧室、民乐队、歌舞工作</w:t>
      </w:r>
      <w:r>
        <w:rPr>
          <w:rFonts w:ascii="SimSun" w:hAnsi="SimSun" w:eastAsia="SimSun" w:cs="SimSun"/>
          <w:sz w:val="30"/>
          <w:szCs w:val="30"/>
          <w:spacing w:val="15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2"/>
        </w:rPr>
        <w:t>室  舞美工作室  宣传普教室</w:t>
      </w:r>
      <w:r>
        <w:rPr>
          <w:rFonts w:ascii="SimSun" w:hAnsi="SimSun" w:eastAsia="SimSun" w:cs="SimSun"/>
          <w:sz w:val="30"/>
          <w:szCs w:val="30"/>
          <w:spacing w:val="18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2"/>
        </w:rPr>
        <w:t>艺术研究室  后勤保障部</w:t>
      </w:r>
    </w:p>
    <w:p>
      <w:pPr>
        <w:ind w:left="308"/>
        <w:spacing w:line="221" w:lineRule="auto"/>
        <w:outlineLvl w:val="3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spacing w:val="-1"/>
        </w:rPr>
        <w:t>二、单位预算单位构成</w:t>
      </w:r>
    </w:p>
    <w:p>
      <w:pPr>
        <w:ind w:left="305"/>
        <w:spacing w:before="294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2"/>
        </w:rPr>
        <w:t>本单位预算仅含本级预算。</w:t>
      </w:r>
    </w:p>
    <w:p>
      <w:pPr>
        <w:ind w:left="310"/>
        <w:spacing w:before="300" w:line="222" w:lineRule="auto"/>
        <w:outlineLvl w:val="3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spacing w:val="-1"/>
        </w:rPr>
        <w:t>三、单位收支总体情况</w:t>
      </w:r>
    </w:p>
    <w:p>
      <w:pPr>
        <w:ind w:left="2" w:right="16" w:firstLine="302"/>
        <w:spacing w:before="150" w:line="222" w:lineRule="auto"/>
        <w:jc w:val="both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本单位2024年没有政府性基金预算拨款、国</w:t>
      </w:r>
      <w:r>
        <w:rPr>
          <w:rFonts w:ascii="SimSun" w:hAnsi="SimSun" w:eastAsia="SimSun" w:cs="SimSun"/>
          <w:sz w:val="30"/>
          <w:szCs w:val="30"/>
          <w:spacing w:val="-1"/>
        </w:rPr>
        <w:t>有资本经营预算收入和纳入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专户管理的非税收入拨款收入，也没有使用政府性基金预算拨款、国有资</w:t>
      </w:r>
      <w:r>
        <w:rPr>
          <w:rFonts w:ascii="SimSun" w:hAnsi="SimSun" w:eastAsia="SimSun" w:cs="SimSun"/>
          <w:sz w:val="30"/>
          <w:szCs w:val="30"/>
          <w:spacing w:val="18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本经营预算收入和纳入专户管理的非税收入拨款安排的支出，所以公开的</w:t>
      </w:r>
      <w:r>
        <w:rPr>
          <w:rFonts w:ascii="SimSun" w:hAnsi="SimSun" w:eastAsia="SimSun" w:cs="SimSun"/>
          <w:sz w:val="30"/>
          <w:szCs w:val="30"/>
          <w:spacing w:val="18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9"/>
        </w:rPr>
        <w:t>附件15</w:t>
      </w:r>
      <w:r>
        <w:rPr>
          <w:rFonts w:ascii="SimSun" w:hAnsi="SimSun" w:eastAsia="SimSun" w:cs="SimSun"/>
          <w:sz w:val="30"/>
          <w:szCs w:val="30"/>
          <w:spacing w:val="18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9"/>
        </w:rPr>
        <w:t>16</w:t>
      </w:r>
      <w:r>
        <w:rPr>
          <w:rFonts w:ascii="SimSun" w:hAnsi="SimSun" w:eastAsia="SimSun" w:cs="SimSun"/>
          <w:sz w:val="30"/>
          <w:szCs w:val="30"/>
          <w:spacing w:val="18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9"/>
        </w:rPr>
        <w:t>17</w:t>
      </w:r>
      <w:r>
        <w:rPr>
          <w:rFonts w:ascii="SimSun" w:hAnsi="SimSun" w:eastAsia="SimSun" w:cs="SimSun"/>
          <w:sz w:val="30"/>
          <w:szCs w:val="30"/>
          <w:spacing w:val="16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9"/>
        </w:rPr>
        <w:t>18</w:t>
      </w:r>
      <w:r>
        <w:rPr>
          <w:rFonts w:ascii="SimSun" w:hAnsi="SimSun" w:eastAsia="SimSun" w:cs="SimSun"/>
          <w:sz w:val="30"/>
          <w:szCs w:val="30"/>
          <w:spacing w:val="18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9"/>
        </w:rPr>
        <w:t>19表均为空</w:t>
      </w:r>
    </w:p>
    <w:p>
      <w:pPr>
        <w:ind w:left="328"/>
        <w:spacing w:before="1" w:line="227" w:lineRule="auto"/>
        <w:rPr>
          <w:rFonts w:ascii="KaiTi" w:hAnsi="KaiTi" w:eastAsia="KaiTi" w:cs="KaiTi"/>
          <w:sz w:val="30"/>
          <w:szCs w:val="30"/>
        </w:rPr>
      </w:pPr>
      <w:r>
        <w:rPr>
          <w:rFonts w:ascii="KaiTi" w:hAnsi="KaiTi" w:eastAsia="KaiTi" w:cs="KaiTi"/>
          <w:sz w:val="30"/>
          <w:szCs w:val="30"/>
          <w:spacing w:val="-4"/>
        </w:rPr>
        <w:t>（一）收入预算</w:t>
      </w:r>
    </w:p>
    <w:p>
      <w:pPr>
        <w:ind w:left="2" w:right="90" w:firstLine="301"/>
        <w:spacing w:before="138" w:line="224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3"/>
        </w:rPr>
        <w:t>包括一般公共预算、政府性基金、国有资本经营预算等财政拨款收入，</w:t>
      </w:r>
      <w:r>
        <w:rPr>
          <w:rFonts w:ascii="SimSun" w:hAnsi="SimSun" w:eastAsia="SimSun" w:cs="SimSun"/>
          <w:sz w:val="30"/>
          <w:szCs w:val="30"/>
          <w:spacing w:val="8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以及经营收入、事业收入等单位资金。2024年度本单位收入预算2057</w:t>
      </w:r>
      <w:r>
        <w:rPr>
          <w:rFonts w:ascii="SimSun" w:hAnsi="SimSun" w:eastAsia="SimSun" w:cs="SimSun"/>
          <w:sz w:val="30"/>
          <w:szCs w:val="30"/>
          <w:spacing w:val="-1"/>
        </w:rPr>
        <w:t>.62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万元，其中，一般公共预算拨款2057.62万元，政府性基金预算资</w:t>
      </w:r>
      <w:r>
        <w:rPr>
          <w:rFonts w:ascii="SimSun" w:hAnsi="SimSun" w:eastAsia="SimSun" w:cs="SimSun"/>
          <w:sz w:val="30"/>
          <w:szCs w:val="30"/>
          <w:spacing w:val="-1"/>
        </w:rPr>
        <w:t>金0.00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万元(所以公开的附件17为空)，国有资本经营预算资金0.00万</w:t>
      </w:r>
      <w:r>
        <w:rPr>
          <w:rFonts w:ascii="SimSun" w:hAnsi="SimSun" w:eastAsia="SimSun" w:cs="SimSun"/>
          <w:sz w:val="30"/>
          <w:szCs w:val="30"/>
          <w:spacing w:val="-1"/>
        </w:rPr>
        <w:t>元(所以公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开的附件18为空)，财政专户管理资金0.00万元(所以公开的附</w:t>
      </w:r>
      <w:r>
        <w:rPr>
          <w:rFonts w:ascii="SimSun" w:hAnsi="SimSun" w:eastAsia="SimSun" w:cs="SimSun"/>
          <w:sz w:val="30"/>
          <w:szCs w:val="30"/>
          <w:spacing w:val="-1"/>
        </w:rPr>
        <w:t>件19为</w:t>
      </w:r>
    </w:p>
    <w:p>
      <w:pPr>
        <w:ind w:left="10"/>
        <w:spacing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空)，上级补助收入资金0.00万元，事业单位经营收入资金0.00万元，上</w:t>
      </w:r>
    </w:p>
    <w:p>
      <w:pPr>
        <w:ind w:left="328"/>
        <w:spacing w:before="150" w:line="228" w:lineRule="auto"/>
        <w:rPr>
          <w:rFonts w:ascii="KaiTi" w:hAnsi="KaiTi" w:eastAsia="KaiTi" w:cs="KaiTi"/>
          <w:sz w:val="30"/>
          <w:szCs w:val="30"/>
        </w:rPr>
      </w:pPr>
      <w:r>
        <w:rPr>
          <w:rFonts w:ascii="KaiTi" w:hAnsi="KaiTi" w:eastAsia="KaiTi" w:cs="KaiTi"/>
          <w:sz w:val="30"/>
          <w:szCs w:val="30"/>
          <w:spacing w:val="-4"/>
        </w:rPr>
        <w:t>（二）支出预算</w:t>
      </w:r>
    </w:p>
    <w:p>
      <w:pPr>
        <w:ind w:left="23" w:right="5" w:firstLine="284"/>
        <w:spacing w:before="139" w:line="224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2024年本单位支出预算2057.62万元，其中，207文化旅游体育与</w:t>
      </w:r>
      <w:r>
        <w:rPr>
          <w:rFonts w:ascii="SimSun" w:hAnsi="SimSun" w:eastAsia="SimSun" w:cs="SimSun"/>
          <w:sz w:val="30"/>
          <w:szCs w:val="30"/>
          <w:spacing w:val="-1"/>
        </w:rPr>
        <w:t>传媒支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出1394.90万元，208社会保障和就业支出4</w:t>
      </w:r>
      <w:r>
        <w:rPr>
          <w:rFonts w:ascii="SimSun" w:hAnsi="SimSun" w:eastAsia="SimSun" w:cs="SimSun"/>
          <w:sz w:val="30"/>
          <w:szCs w:val="30"/>
          <w:spacing w:val="-1"/>
        </w:rPr>
        <w:t>02.99万元，210卫生健康支出</w:t>
      </w:r>
      <w:r>
        <w:rPr>
          <w:rFonts w:ascii="SimSun" w:hAnsi="SimSun" w:eastAsia="SimSun" w:cs="SimSun"/>
          <w:sz w:val="30"/>
          <w:szCs w:val="30"/>
        </w:rPr>
        <w:t xml:space="preserve">  </w:t>
      </w:r>
      <w:r>
        <w:rPr>
          <w:rFonts w:ascii="SimSun" w:hAnsi="SimSun" w:eastAsia="SimSun" w:cs="SimSun"/>
          <w:sz w:val="30"/>
          <w:szCs w:val="30"/>
        </w:rPr>
        <w:t>128.15万元，221住房保障支出131.58万元，</w:t>
      </w:r>
      <w:r>
        <w:rPr>
          <w:rFonts w:ascii="SimSun" w:hAnsi="SimSun" w:eastAsia="SimSun" w:cs="SimSun"/>
          <w:sz w:val="30"/>
          <w:szCs w:val="30"/>
          <w:spacing w:val="-1"/>
        </w:rPr>
        <w:t>支出较去年增加212.15万</w:t>
      </w:r>
    </w:p>
    <w:p>
      <w:pPr>
        <w:ind w:left="3"/>
        <w:spacing w:line="217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2"/>
        </w:rPr>
        <w:t>元  主要是因为人员增加</w:t>
      </w:r>
    </w:p>
    <w:p>
      <w:pPr>
        <w:ind w:left="321"/>
        <w:spacing w:before="1" w:line="220" w:lineRule="auto"/>
        <w:outlineLvl w:val="3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spacing w:val="-1"/>
        </w:rPr>
        <w:t>四、一般公共预算拨款支出预算</w:t>
      </w:r>
    </w:p>
    <w:p>
      <w:pPr>
        <w:ind w:left="3" w:firstLine="304"/>
        <w:spacing w:before="152" w:line="216" w:lineRule="auto"/>
        <w:jc w:val="both"/>
        <w:rPr>
          <w:rFonts w:ascii="SimSun" w:hAnsi="SimSun" w:eastAsia="SimSun" w:cs="SimSun"/>
          <w:sz w:val="30"/>
          <w:szCs w:val="30"/>
        </w:rPr>
      </w:pPr>
      <w:r>
        <w:pict>
          <v:shape id="_x0000_s2" style="position:absolute;margin-left:-1pt;margin-top:71.5089pt;mso-position-vertical-relative:text;mso-position-horizontal-relative:text;width:481.65pt;height:92.6pt;z-index:2516582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 w:right="20" w:firstLine="317"/>
                    <w:spacing w:before="18" w:line="223" w:lineRule="auto"/>
                    <w:rPr>
                      <w:rFonts w:ascii="SimSun" w:hAnsi="SimSun" w:eastAsia="SimSun" w:cs="SimSun"/>
                      <w:sz w:val="30"/>
                      <w:szCs w:val="30"/>
                    </w:rPr>
                  </w:pPr>
                  <w:r>
                    <w:rPr>
                      <w:rFonts w:ascii="SimSun" w:hAnsi="SimSun" w:eastAsia="SimSun" w:cs="SimSun"/>
                      <w:sz w:val="30"/>
                      <w:szCs w:val="30"/>
                    </w:rPr>
                    <w:t>（一）基本支出：2024年基本支出年初预</w:t>
                  </w:r>
                  <w:r>
                    <w:rPr>
                      <w:rFonts w:ascii="SimSun" w:hAnsi="SimSun" w:eastAsia="SimSun" w:cs="SimSun"/>
                      <w:sz w:val="30"/>
                      <w:szCs w:val="30"/>
                      <w:spacing w:val="-1"/>
                    </w:rPr>
                    <w:t>算数为2057.62万元（数据来</w:t>
                  </w:r>
                  <w:r>
                    <w:rPr>
                      <w:rFonts w:ascii="SimSun" w:hAnsi="SimSun" w:eastAsia="SimSun" w:cs="SimSun"/>
                      <w:sz w:val="30"/>
                      <w:szCs w:val="30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30"/>
                      <w:szCs w:val="30"/>
                      <w:spacing w:val="-1"/>
                    </w:rPr>
                    <w:t>源见表23</w:t>
                  </w:r>
                  <w:r>
                    <w:rPr>
                      <w:rFonts w:ascii="SimSun" w:hAnsi="SimSun" w:eastAsia="SimSun" w:cs="SimSun"/>
                      <w:sz w:val="30"/>
                      <w:szCs w:val="30"/>
                      <w:spacing w:val="11"/>
                    </w:rPr>
                    <w:t>），</w:t>
                  </w:r>
                  <w:r>
                    <w:rPr>
                      <w:rFonts w:ascii="SimSun" w:hAnsi="SimSun" w:eastAsia="SimSun" w:cs="SimSun"/>
                      <w:sz w:val="30"/>
                      <w:szCs w:val="30"/>
                      <w:spacing w:val="-1"/>
                    </w:rPr>
                    <w:t>是指为保障单位机构正常运转、完成日常工作任务而发生的</w:t>
                  </w:r>
                  <w:r>
                    <w:rPr>
                      <w:rFonts w:ascii="SimSun" w:hAnsi="SimSun" w:eastAsia="SimSun" w:cs="SimSun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30"/>
                      <w:szCs w:val="30"/>
                    </w:rPr>
                    <w:t>各项支出，包括用于基本工资、津贴补贴等人</w:t>
                  </w:r>
                  <w:r>
                    <w:rPr>
                      <w:rFonts w:ascii="SimSun" w:hAnsi="SimSun" w:eastAsia="SimSun" w:cs="SimSun"/>
                      <w:sz w:val="30"/>
                      <w:szCs w:val="30"/>
                      <w:spacing w:val="-1"/>
                    </w:rPr>
                    <w:t>员经费以及办公费、印刷费</w:t>
                  </w:r>
                  <w:r>
                    <w:rPr>
                      <w:rFonts w:ascii="SimSun" w:hAnsi="SimSun" w:eastAsia="SimSun" w:cs="SimSun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30"/>
                      <w:szCs w:val="30"/>
                      <w:spacing w:val="-1"/>
                    </w:rPr>
                    <w:t>、水电费、差旅费等日常公用经费。</w:t>
                  </w:r>
                </w:p>
                <w:p>
                  <w:pPr>
                    <w:ind w:left="337"/>
                    <w:spacing w:before="7" w:line="219" w:lineRule="auto"/>
                    <w:rPr>
                      <w:rFonts w:ascii="SimSun" w:hAnsi="SimSun" w:eastAsia="SimSun" w:cs="SimSun"/>
                      <w:sz w:val="30"/>
                      <w:szCs w:val="30"/>
                    </w:rPr>
                  </w:pPr>
                  <w:r>
                    <w:rPr>
                      <w:rFonts w:ascii="SimSun" w:hAnsi="SimSun" w:eastAsia="SimSun" w:cs="SimSun"/>
                      <w:sz w:val="30"/>
                      <w:szCs w:val="30"/>
                      <w:spacing w:val="-1"/>
                    </w:rPr>
                    <w:t>（二）项目支出：2024年项目支出年初预算数为0万元（数据来源见表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30"/>
          <w:szCs w:val="30"/>
        </w:rPr>
        <w:t>2024年一般公共预算拨款支出预算2057.62万元，其中，207文化</w:t>
      </w:r>
      <w:r>
        <w:rPr>
          <w:rFonts w:ascii="SimSun" w:hAnsi="SimSun" w:eastAsia="SimSun" w:cs="SimSun"/>
          <w:sz w:val="30"/>
          <w:szCs w:val="30"/>
          <w:spacing w:val="-1"/>
        </w:rPr>
        <w:t>旅游体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育与传媒支出1394.90万元，</w:t>
      </w:r>
      <w:r>
        <w:rPr>
          <w:rFonts w:ascii="SimSun" w:hAnsi="SimSun" w:eastAsia="SimSun" w:cs="SimSun"/>
          <w:sz w:val="30"/>
          <w:szCs w:val="30"/>
          <w:spacing w:val="-89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占67.79%；208社会保障</w:t>
      </w:r>
      <w:r>
        <w:rPr>
          <w:rFonts w:ascii="SimSun" w:hAnsi="SimSun" w:eastAsia="SimSun" w:cs="SimSun"/>
          <w:sz w:val="30"/>
          <w:szCs w:val="30"/>
          <w:spacing w:val="-2"/>
        </w:rPr>
        <w:t>和就业支出402.99万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3"/>
        </w:rPr>
        <w:t>元，</w:t>
      </w:r>
      <w:r>
        <w:rPr>
          <w:rFonts w:ascii="SimSun" w:hAnsi="SimSun" w:eastAsia="SimSun" w:cs="SimSun"/>
          <w:sz w:val="30"/>
          <w:szCs w:val="30"/>
          <w:spacing w:val="-75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3"/>
        </w:rPr>
        <w:t>占19.59%；210卫生健康支出128.15万元，</w:t>
      </w:r>
      <w:r>
        <w:rPr>
          <w:rFonts w:ascii="SimSun" w:hAnsi="SimSun" w:eastAsia="SimSun" w:cs="SimSun"/>
          <w:sz w:val="30"/>
          <w:szCs w:val="30"/>
          <w:spacing w:val="-89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3"/>
        </w:rPr>
        <w:t>占6.23%；221住房保障支</w:t>
      </w:r>
      <w:r>
        <w:rPr>
          <w:rFonts w:ascii="SimSun" w:hAnsi="SimSun" w:eastAsia="SimSun" w:cs="SimSun"/>
          <w:sz w:val="30"/>
          <w:szCs w:val="30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3"/>
        </w:rPr>
        <w:t>出131 58万元</w:t>
      </w:r>
      <w:r>
        <w:rPr>
          <w:rFonts w:ascii="SimSun" w:hAnsi="SimSun" w:eastAsia="SimSun" w:cs="SimSun"/>
          <w:sz w:val="30"/>
          <w:szCs w:val="30"/>
          <w:spacing w:val="35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3"/>
        </w:rPr>
        <w:t>占6 39%；具体安排情况如下：</w:t>
      </w:r>
    </w:p>
    <w:p>
      <w:pPr>
        <w:pStyle w:val="BodyText"/>
        <w:spacing w:line="267" w:lineRule="auto"/>
        <w:rPr/>
      </w:pPr>
      <w:r/>
    </w:p>
    <w:p>
      <w:pPr>
        <w:pStyle w:val="BodyText"/>
        <w:spacing w:line="267" w:lineRule="auto"/>
        <w:rPr/>
      </w:pPr>
      <w:r/>
    </w:p>
    <w:p>
      <w:pPr>
        <w:pStyle w:val="BodyText"/>
        <w:spacing w:line="267" w:lineRule="auto"/>
        <w:rPr/>
      </w:pPr>
      <w:r/>
    </w:p>
    <w:p>
      <w:pPr>
        <w:pStyle w:val="BodyText"/>
        <w:spacing w:line="267" w:lineRule="auto"/>
        <w:rPr/>
      </w:pPr>
      <w:r/>
    </w:p>
    <w:p>
      <w:pPr>
        <w:pStyle w:val="BodyText"/>
        <w:spacing w:line="267" w:lineRule="auto"/>
        <w:rPr/>
      </w:pPr>
      <w:r/>
    </w:p>
    <w:p>
      <w:pPr>
        <w:pStyle w:val="BodyText"/>
        <w:spacing w:line="268" w:lineRule="auto"/>
        <w:rPr/>
      </w:pPr>
      <w:r/>
    </w:p>
    <w:p>
      <w:pPr>
        <w:ind w:left="1" w:right="90" w:firstLine="3"/>
        <w:spacing w:before="98" w:line="191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3"/>
        </w:rPr>
        <w:t>20</w:t>
      </w:r>
      <w:r>
        <w:rPr>
          <w:rFonts w:ascii="SimSun" w:hAnsi="SimSun" w:eastAsia="SimSun" w:cs="SimSun"/>
          <w:sz w:val="30"/>
          <w:szCs w:val="30"/>
          <w:spacing w:val="9"/>
        </w:rPr>
        <w:t>），</w:t>
      </w:r>
      <w:r>
        <w:rPr>
          <w:rFonts w:ascii="SimSun" w:hAnsi="SimSun" w:eastAsia="SimSun" w:cs="SimSun"/>
          <w:sz w:val="30"/>
          <w:szCs w:val="30"/>
          <w:spacing w:val="-3"/>
        </w:rPr>
        <w:t>是指单位为完成特定行政工作任务或事业</w:t>
      </w:r>
      <w:r>
        <w:rPr>
          <w:rFonts w:ascii="SimSun" w:hAnsi="SimSun" w:eastAsia="SimSun" w:cs="SimSun"/>
          <w:sz w:val="30"/>
          <w:szCs w:val="30"/>
          <w:spacing w:val="-4"/>
        </w:rPr>
        <w:t>发展目标而发生的支出，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7"/>
        </w:rPr>
        <w:t>包括有关  务  作</w:t>
      </w:r>
      <w:r>
        <w:rPr>
          <w:rFonts w:ascii="SimSun" w:hAnsi="SimSun" w:eastAsia="SimSun" w:cs="SimSun"/>
          <w:sz w:val="30"/>
          <w:szCs w:val="30"/>
          <w:spacing w:val="17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7"/>
        </w:rPr>
        <w:t>费</w:t>
      </w:r>
      <w:r>
        <w:rPr>
          <w:rFonts w:ascii="SimSun" w:hAnsi="SimSun" w:eastAsia="SimSun" w:cs="SimSun"/>
          <w:sz w:val="30"/>
          <w:szCs w:val="30"/>
          <w:spacing w:val="3"/>
        </w:rPr>
        <w:t xml:space="preserve">      </w:t>
      </w:r>
      <w:r>
        <w:rPr>
          <w:rFonts w:ascii="SimSun" w:hAnsi="SimSun" w:eastAsia="SimSun" w:cs="SimSun"/>
          <w:sz w:val="30"/>
          <w:szCs w:val="30"/>
          <w:spacing w:val="-7"/>
        </w:rPr>
        <w:t>维护</w:t>
      </w:r>
      <w:r>
        <w:rPr>
          <w:rFonts w:ascii="SimSun" w:hAnsi="SimSun" w:eastAsia="SimSun" w:cs="SimSun"/>
          <w:sz w:val="30"/>
          <w:szCs w:val="30"/>
          <w:spacing w:val="14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7"/>
        </w:rPr>
        <w:t>费</w:t>
      </w:r>
      <w:r>
        <w:rPr>
          <w:rFonts w:ascii="SimSun" w:hAnsi="SimSun" w:eastAsia="SimSun" w:cs="SimSun"/>
          <w:sz w:val="30"/>
          <w:szCs w:val="30"/>
          <w:spacing w:val="6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7"/>
        </w:rPr>
        <w:t>其他事</w:t>
      </w:r>
      <w:r>
        <w:rPr>
          <w:rFonts w:ascii="SimSun" w:hAnsi="SimSun" w:eastAsia="SimSun" w:cs="SimSun"/>
          <w:sz w:val="30"/>
          <w:szCs w:val="30"/>
          <w:spacing w:val="8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7"/>
        </w:rPr>
        <w:t>发</w:t>
      </w:r>
      <w:r>
        <w:rPr>
          <w:rFonts w:ascii="SimSun" w:hAnsi="SimSun" w:eastAsia="SimSun" w:cs="SimSun"/>
          <w:sz w:val="30"/>
          <w:szCs w:val="30"/>
          <w:spacing w:val="13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7"/>
        </w:rPr>
        <w:t>资金等</w:t>
      </w:r>
    </w:p>
    <w:p>
      <w:pPr>
        <w:ind w:left="312"/>
        <w:spacing w:before="1" w:line="194" w:lineRule="auto"/>
        <w:outlineLvl w:val="3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spacing w:val="-1"/>
        </w:rPr>
        <w:t>五、政府性基金预算支出</w:t>
      </w:r>
    </w:p>
    <w:p>
      <w:pPr>
        <w:ind w:right="160" w:firstLine="307"/>
        <w:spacing w:before="149" w:line="225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2024年度本单位无政府性基金安排的支出，所以公开的</w:t>
      </w:r>
      <w:r>
        <w:rPr>
          <w:rFonts w:ascii="SimSun" w:hAnsi="SimSun" w:eastAsia="SimSun" w:cs="SimSun"/>
          <w:sz w:val="30"/>
          <w:szCs w:val="30"/>
          <w:spacing w:val="-1"/>
        </w:rPr>
        <w:t>附件15-17（政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2"/>
        </w:rPr>
        <w:t>府性基金预算）为空。</w:t>
      </w:r>
    </w:p>
    <w:p>
      <w:pPr>
        <w:ind w:left="313"/>
        <w:spacing w:before="70" w:line="221" w:lineRule="auto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</w:rPr>
        <w:t>六、其他重要事项的情况说明</w:t>
      </w:r>
    </w:p>
    <w:p>
      <w:pPr>
        <w:spacing w:line="221" w:lineRule="auto"/>
        <w:sectPr>
          <w:pgSz w:w="11905" w:h="16837"/>
          <w:pgMar w:top="377" w:right="1148" w:bottom="0" w:left="1145" w:header="0" w:footer="0" w:gutter="0"/>
        </w:sectPr>
        <w:rPr>
          <w:rFonts w:ascii="SimHei" w:hAnsi="SimHei" w:eastAsia="SimHei" w:cs="SimHei"/>
          <w:sz w:val="30"/>
          <w:szCs w:val="30"/>
        </w:rPr>
      </w:pPr>
    </w:p>
    <w:p>
      <w:pPr>
        <w:ind w:left="330"/>
        <w:spacing w:before="62" w:line="225" w:lineRule="auto"/>
        <w:rPr>
          <w:rFonts w:ascii="KaiTi" w:hAnsi="KaiTi" w:eastAsia="KaiTi" w:cs="KaiTi"/>
          <w:sz w:val="30"/>
          <w:szCs w:val="30"/>
        </w:rPr>
      </w:pPr>
      <w:r>
        <w:rPr>
          <w:rFonts w:ascii="KaiTi" w:hAnsi="KaiTi" w:eastAsia="KaiTi" w:cs="KaiTi"/>
          <w:sz w:val="30"/>
          <w:szCs w:val="30"/>
          <w:spacing w:val="-3"/>
        </w:rPr>
        <w:t>（一）机关运行经费</w:t>
      </w:r>
    </w:p>
    <w:p>
      <w:pPr>
        <w:ind w:left="1" w:right="5" w:firstLine="305"/>
        <w:spacing w:before="142" w:line="225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本单位2024年机关运行经费当年一般公共预算拨款178.57万</w:t>
      </w:r>
      <w:r>
        <w:rPr>
          <w:rFonts w:ascii="SimSun" w:hAnsi="SimSun" w:eastAsia="SimSun" w:cs="SimSun"/>
          <w:sz w:val="30"/>
          <w:szCs w:val="30"/>
          <w:spacing w:val="-1"/>
        </w:rPr>
        <w:t>元（数据来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源见表12</w:t>
      </w:r>
      <w:r>
        <w:rPr>
          <w:rFonts w:ascii="SimSun" w:hAnsi="SimSun" w:eastAsia="SimSun" w:cs="SimSun"/>
          <w:sz w:val="30"/>
          <w:szCs w:val="30"/>
          <w:spacing w:val="23"/>
        </w:rPr>
        <w:t>），</w:t>
      </w:r>
      <w:r>
        <w:rPr>
          <w:rFonts w:ascii="SimSun" w:hAnsi="SimSun" w:eastAsia="SimSun" w:cs="SimSun"/>
          <w:sz w:val="30"/>
          <w:szCs w:val="30"/>
          <w:spacing w:val="-1"/>
        </w:rPr>
        <w:t>比上一年增加2.11万元，增加1.1</w:t>
      </w:r>
      <w:r>
        <w:rPr>
          <w:rFonts w:ascii="SimSun" w:hAnsi="SimSun" w:eastAsia="SimSun" w:cs="SimSun"/>
          <w:sz w:val="30"/>
          <w:szCs w:val="30"/>
          <w:spacing w:val="-2"/>
        </w:rPr>
        <w:t>8%。主要原因是人员增加</w:t>
      </w:r>
    </w:p>
    <w:p>
      <w:pPr>
        <w:ind w:left="330"/>
        <w:spacing w:before="282" w:line="225" w:lineRule="auto"/>
        <w:rPr>
          <w:rFonts w:ascii="KaiTi" w:hAnsi="KaiTi" w:eastAsia="KaiTi" w:cs="KaiTi"/>
          <w:sz w:val="30"/>
          <w:szCs w:val="30"/>
        </w:rPr>
      </w:pPr>
      <w:r>
        <w:rPr>
          <w:rFonts w:ascii="KaiTi" w:hAnsi="KaiTi" w:eastAsia="KaiTi" w:cs="KaiTi"/>
          <w:sz w:val="30"/>
          <w:szCs w:val="30"/>
          <w:spacing w:val="-6"/>
        </w:rPr>
        <w:t>（二）“三公</w:t>
      </w:r>
      <w:r>
        <w:rPr>
          <w:rFonts w:ascii="KaiTi" w:hAnsi="KaiTi" w:eastAsia="KaiTi" w:cs="KaiTi"/>
          <w:sz w:val="30"/>
          <w:szCs w:val="30"/>
          <w:spacing w:val="-102"/>
        </w:rPr>
        <w:t xml:space="preserve"> </w:t>
      </w:r>
      <w:r>
        <w:rPr>
          <w:rFonts w:ascii="KaiTi" w:hAnsi="KaiTi" w:eastAsia="KaiTi" w:cs="KaiTi"/>
          <w:sz w:val="30"/>
          <w:szCs w:val="30"/>
          <w:spacing w:val="-6"/>
        </w:rPr>
        <w:t>”经费预算</w:t>
      </w:r>
    </w:p>
    <w:p>
      <w:pPr>
        <w:ind w:left="306"/>
        <w:spacing w:before="139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本单位2024年“三公</w:t>
      </w:r>
      <w:r>
        <w:rPr>
          <w:rFonts w:ascii="SimSun" w:hAnsi="SimSun" w:eastAsia="SimSun" w:cs="SimSun"/>
          <w:sz w:val="30"/>
          <w:szCs w:val="30"/>
          <w:spacing w:val="-111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”经费预算数0.3</w:t>
      </w:r>
      <w:r>
        <w:rPr>
          <w:rFonts w:ascii="SimSun" w:hAnsi="SimSun" w:eastAsia="SimSun" w:cs="SimSun"/>
          <w:sz w:val="30"/>
          <w:szCs w:val="30"/>
          <w:spacing w:val="-2"/>
        </w:rPr>
        <w:t>0万元（数据来源见表14</w:t>
      </w:r>
      <w:r>
        <w:rPr>
          <w:rFonts w:ascii="SimSun" w:hAnsi="SimSun" w:eastAsia="SimSun" w:cs="SimSun"/>
          <w:sz w:val="30"/>
          <w:szCs w:val="30"/>
          <w:spacing w:val="7"/>
        </w:rPr>
        <w:t>），</w:t>
      </w:r>
      <w:r>
        <w:rPr>
          <w:rFonts w:ascii="SimSun" w:hAnsi="SimSun" w:eastAsia="SimSun" w:cs="SimSun"/>
          <w:sz w:val="30"/>
          <w:szCs w:val="30"/>
          <w:spacing w:val="-2"/>
        </w:rPr>
        <w:t>其</w:t>
      </w:r>
    </w:p>
    <w:p>
      <w:pPr>
        <w:ind w:left="2" w:right="6" w:firstLine="28"/>
        <w:spacing w:before="12" w:line="224" w:lineRule="auto"/>
        <w:tabs>
          <w:tab w:val="left" w:pos="325"/>
        </w:tabs>
        <w:rPr>
          <w:rFonts w:ascii="KaiTi" w:hAnsi="KaiTi" w:eastAsia="KaiTi" w:cs="KaiTi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中，公务接待费0.30万元，因公出国（境）费0.00万元，公务用车购置及</w:t>
      </w:r>
      <w:r>
        <w:rPr>
          <w:rFonts w:ascii="SimSun" w:hAnsi="SimSun" w:eastAsia="SimSun" w:cs="SimSun"/>
          <w:sz w:val="30"/>
          <w:szCs w:val="30"/>
          <w:spacing w:val="2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运行费0.00万元（其中，公务用车购置费0.00万元，公务用车运行费0</w:t>
      </w:r>
      <w:r>
        <w:rPr>
          <w:rFonts w:ascii="SimSun" w:hAnsi="SimSun" w:eastAsia="SimSun" w:cs="SimSun"/>
          <w:sz w:val="30"/>
          <w:szCs w:val="30"/>
          <w:spacing w:val="-1"/>
        </w:rPr>
        <w:t>.00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万元）  2024年三公经费预算较上年增加/减少0万元  </w:t>
      </w:r>
      <w:r>
        <w:rPr>
          <w:rFonts w:ascii="SimSun" w:hAnsi="SimSun" w:eastAsia="SimSun" w:cs="SimSun"/>
          <w:sz w:val="30"/>
          <w:szCs w:val="30"/>
          <w:spacing w:val="-1"/>
        </w:rPr>
        <w:t>主要原因是未增加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KaiTi" w:hAnsi="KaiTi" w:eastAsia="KaiTi" w:cs="KaiTi"/>
          <w:sz w:val="30"/>
          <w:szCs w:val="30"/>
        </w:rPr>
        <w:tab/>
      </w:r>
      <w:r>
        <w:rPr>
          <w:rFonts w:ascii="KaiTi" w:hAnsi="KaiTi" w:eastAsia="KaiTi" w:cs="KaiTi"/>
          <w:sz w:val="30"/>
          <w:szCs w:val="30"/>
          <w:spacing w:val="-2"/>
        </w:rPr>
        <w:t>（三）一般性支出情况</w:t>
      </w:r>
    </w:p>
    <w:p>
      <w:pPr>
        <w:ind w:left="306"/>
        <w:spacing w:before="132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本单位2024年会议费预算0.00万元（数据来源见表13会</w:t>
      </w:r>
      <w:r>
        <w:rPr>
          <w:rFonts w:ascii="SimSun" w:hAnsi="SimSun" w:eastAsia="SimSun" w:cs="SimSun"/>
          <w:sz w:val="30"/>
          <w:szCs w:val="30"/>
          <w:spacing w:val="-1"/>
        </w:rPr>
        <w:t>议费、培训</w:t>
      </w:r>
    </w:p>
    <w:p>
      <w:pPr>
        <w:ind w:left="2" w:right="11" w:firstLine="16"/>
        <w:spacing w:before="6" w:line="225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费</w:t>
      </w:r>
      <w:r>
        <w:rPr>
          <w:rFonts w:ascii="SimSun" w:hAnsi="SimSun" w:eastAsia="SimSun" w:cs="SimSun"/>
          <w:sz w:val="30"/>
          <w:szCs w:val="30"/>
          <w:spacing w:val="5"/>
        </w:rPr>
        <w:t>），</w:t>
      </w:r>
      <w:r>
        <w:rPr>
          <w:rFonts w:ascii="SimSun" w:hAnsi="SimSun" w:eastAsia="SimSun" w:cs="SimSun"/>
          <w:sz w:val="30"/>
          <w:szCs w:val="30"/>
          <w:spacing w:val="-1"/>
        </w:rPr>
        <w:t>拟召开0次会议，人数0人，内容为无；培训费预算2.74万元</w:t>
      </w:r>
      <w:r>
        <w:rPr>
          <w:rFonts w:ascii="SimSun" w:hAnsi="SimSun" w:eastAsia="SimSun" w:cs="SimSun"/>
          <w:sz w:val="30"/>
          <w:szCs w:val="30"/>
          <w:spacing w:val="-2"/>
        </w:rPr>
        <w:t>，拟开</w:t>
      </w:r>
      <w:r>
        <w:rPr>
          <w:rFonts w:ascii="SimSun" w:hAnsi="SimSun" w:eastAsia="SimSun" w:cs="SimSun"/>
          <w:sz w:val="30"/>
          <w:szCs w:val="30"/>
          <w:spacing w:val="1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展1次培训，人数121人，内容为湖南省事业单位工作人</w:t>
      </w:r>
      <w:r>
        <w:rPr>
          <w:rFonts w:ascii="SimSun" w:hAnsi="SimSun" w:eastAsia="SimSun" w:cs="SimSun"/>
          <w:sz w:val="30"/>
          <w:szCs w:val="30"/>
          <w:spacing w:val="-1"/>
        </w:rPr>
        <w:t>员培训；计划举办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节庆、晚会、论坛、赛事活动0万元，内容为无。2024年</w:t>
      </w:r>
      <w:r>
        <w:rPr>
          <w:rFonts w:ascii="SimSun" w:hAnsi="SimSun" w:eastAsia="SimSun" w:cs="SimSun"/>
          <w:sz w:val="30"/>
          <w:szCs w:val="30"/>
          <w:spacing w:val="-1"/>
        </w:rPr>
        <w:t>度本单位未计划</w:t>
      </w:r>
      <w:r>
        <w:rPr>
          <w:rFonts w:ascii="SimSun" w:hAnsi="SimSun" w:eastAsia="SimSun" w:cs="SimSun"/>
          <w:sz w:val="30"/>
          <w:szCs w:val="30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1"/>
        </w:rPr>
        <w:t>安排会议、未计划举办节庆、晚会、论坛、赛事活动。</w:t>
      </w:r>
    </w:p>
    <w:p>
      <w:pPr>
        <w:ind w:left="330"/>
        <w:spacing w:before="72" w:line="227" w:lineRule="auto"/>
        <w:rPr>
          <w:rFonts w:ascii="KaiTi" w:hAnsi="KaiTi" w:eastAsia="KaiTi" w:cs="KaiTi"/>
          <w:sz w:val="30"/>
          <w:szCs w:val="30"/>
        </w:rPr>
      </w:pPr>
      <w:r>
        <w:rPr>
          <w:rFonts w:ascii="KaiTi" w:hAnsi="KaiTi" w:eastAsia="KaiTi" w:cs="KaiTi"/>
          <w:sz w:val="30"/>
          <w:szCs w:val="30"/>
          <w:spacing w:val="-3"/>
        </w:rPr>
        <w:t>（四）政府采购情况</w:t>
      </w:r>
    </w:p>
    <w:p>
      <w:pPr>
        <w:pStyle w:val="BodyText"/>
        <w:spacing w:line="331" w:lineRule="auto"/>
        <w:rPr/>
      </w:pPr>
      <w:r/>
    </w:p>
    <w:p>
      <w:pPr>
        <w:ind w:left="4" w:right="157" w:firstLine="301"/>
        <w:spacing w:before="98" w:line="225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本单位2024年政府采购预算总额0万元，其中工程类0</w:t>
      </w:r>
      <w:r>
        <w:rPr>
          <w:rFonts w:ascii="SimSun" w:hAnsi="SimSun" w:eastAsia="SimSun" w:cs="SimSun"/>
          <w:sz w:val="30"/>
          <w:szCs w:val="30"/>
          <w:spacing w:val="-1"/>
        </w:rPr>
        <w:t>万元，货物类0万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元，服务类0万元。2024年度本单位未安排政府采购预算。</w:t>
      </w:r>
    </w:p>
    <w:p>
      <w:pPr>
        <w:pStyle w:val="BodyText"/>
        <w:spacing w:line="330" w:lineRule="auto"/>
        <w:rPr/>
      </w:pPr>
      <w:r/>
    </w:p>
    <w:p>
      <w:pPr>
        <w:ind w:left="330"/>
        <w:spacing w:before="98" w:line="223" w:lineRule="auto"/>
        <w:rPr>
          <w:rFonts w:ascii="KaiTi" w:hAnsi="KaiTi" w:eastAsia="KaiTi" w:cs="KaiTi"/>
          <w:sz w:val="30"/>
          <w:szCs w:val="30"/>
        </w:rPr>
      </w:pPr>
      <w:r>
        <w:rPr>
          <w:rFonts w:ascii="KaiTi" w:hAnsi="KaiTi" w:eastAsia="KaiTi" w:cs="KaiTi"/>
          <w:sz w:val="30"/>
          <w:szCs w:val="30"/>
          <w:spacing w:val="-1"/>
        </w:rPr>
        <w:t>（五）国有资产占有使用及新增资产配置情况</w:t>
      </w:r>
    </w:p>
    <w:p>
      <w:pPr>
        <w:ind w:left="4" w:right="10" w:firstLine="299"/>
        <w:spacing w:before="147" w:line="224" w:lineRule="auto"/>
        <w:jc w:val="both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截至上年底，本单位共有车辆3辆，其中领导干部</w:t>
      </w:r>
      <w:r>
        <w:rPr>
          <w:rFonts w:ascii="SimSun" w:hAnsi="SimSun" w:eastAsia="SimSun" w:cs="SimSun"/>
          <w:sz w:val="30"/>
          <w:szCs w:val="30"/>
          <w:spacing w:val="-1"/>
        </w:rPr>
        <w:t>用车0辆，一般公务用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车0辆，其他用车3辆。单位价值50万元以上通用设备0台</w:t>
      </w:r>
      <w:r>
        <w:rPr>
          <w:rFonts w:ascii="SimSun" w:hAnsi="SimSun" w:eastAsia="SimSun" w:cs="SimSun"/>
          <w:sz w:val="30"/>
          <w:szCs w:val="30"/>
          <w:spacing w:val="-1"/>
        </w:rPr>
        <w:t>，单位价值100万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2"/>
        </w:rPr>
        <w:t>元以上专用设备0台。</w:t>
      </w:r>
    </w:p>
    <w:p>
      <w:pPr>
        <w:ind w:right="10" w:firstLine="309"/>
        <w:spacing w:before="7" w:line="223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2024年拟报废处置车辆0辆，其中：报废处</w:t>
      </w:r>
      <w:r>
        <w:rPr>
          <w:rFonts w:ascii="SimSun" w:hAnsi="SimSun" w:eastAsia="SimSun" w:cs="SimSun"/>
          <w:sz w:val="30"/>
          <w:szCs w:val="30"/>
          <w:spacing w:val="-1"/>
        </w:rPr>
        <w:t>置领导干部用车0辆，报废处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置一般公务用车0辆，报废处置其他用车0辆，报废处置单位价</w:t>
      </w:r>
      <w:r>
        <w:rPr>
          <w:rFonts w:ascii="SimSun" w:hAnsi="SimSun" w:eastAsia="SimSun" w:cs="SimSun"/>
          <w:sz w:val="30"/>
          <w:szCs w:val="30"/>
          <w:spacing w:val="-1"/>
        </w:rPr>
        <w:t>值50万元以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上通用设备0台，报废处置单位价值100万元以上通用设备0台</w:t>
      </w:r>
      <w:r>
        <w:rPr>
          <w:rFonts w:ascii="SimSun" w:hAnsi="SimSun" w:eastAsia="SimSun" w:cs="SimSun"/>
          <w:sz w:val="30"/>
          <w:szCs w:val="30"/>
          <w:spacing w:val="-1"/>
        </w:rPr>
        <w:t>。拟新增配</w:t>
      </w:r>
      <w:r>
        <w:rPr>
          <w:rFonts w:ascii="SimSun" w:hAnsi="SimSun" w:eastAsia="SimSun" w:cs="SimSun"/>
          <w:sz w:val="30"/>
          <w:szCs w:val="30"/>
        </w:rPr>
        <w:t xml:space="preserve">  </w:t>
      </w:r>
      <w:r>
        <w:rPr>
          <w:rFonts w:ascii="SimSun" w:hAnsi="SimSun" w:eastAsia="SimSun" w:cs="SimSun"/>
          <w:sz w:val="30"/>
          <w:szCs w:val="30"/>
        </w:rPr>
        <w:t>置车辆0辆，其中领导干部用车0辆，一般公务用车0辆，其他</w:t>
      </w:r>
      <w:r>
        <w:rPr>
          <w:rFonts w:ascii="SimSun" w:hAnsi="SimSun" w:eastAsia="SimSun" w:cs="SimSun"/>
          <w:sz w:val="30"/>
          <w:szCs w:val="30"/>
          <w:spacing w:val="-1"/>
        </w:rPr>
        <w:t>用车0辆，主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要用于无，资金来源为无。</w:t>
      </w:r>
    </w:p>
    <w:p>
      <w:pPr>
        <w:ind w:left="309"/>
        <w:spacing w:before="1" w:line="218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2024年拟新增配备领导干部用车0辆，</w:t>
      </w:r>
      <w:r>
        <w:rPr>
          <w:rFonts w:ascii="SimSun" w:hAnsi="SimSun" w:eastAsia="SimSun" w:cs="SimSun"/>
          <w:sz w:val="30"/>
          <w:szCs w:val="30"/>
          <w:spacing w:val="-1"/>
        </w:rPr>
        <w:t>一般公务用车0辆，其他用车</w:t>
      </w:r>
    </w:p>
    <w:p>
      <w:pPr>
        <w:ind w:left="3" w:right="160" w:firstLine="1"/>
        <w:spacing w:before="11" w:line="224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0辆，新增配备单位价值50万元以上通用设备0台，单</w:t>
      </w:r>
      <w:r>
        <w:rPr>
          <w:rFonts w:ascii="SimSun" w:hAnsi="SimSun" w:eastAsia="SimSun" w:cs="SimSun"/>
          <w:sz w:val="30"/>
          <w:szCs w:val="30"/>
          <w:spacing w:val="-1"/>
        </w:rPr>
        <w:t>位价值100万元以上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专用设备0台。2024年度本单位未计划处置或新</w:t>
      </w:r>
      <w:r>
        <w:rPr>
          <w:rFonts w:ascii="SimSun" w:hAnsi="SimSun" w:eastAsia="SimSun" w:cs="SimSun"/>
          <w:sz w:val="30"/>
          <w:szCs w:val="30"/>
          <w:spacing w:val="-1"/>
        </w:rPr>
        <w:t>增车辆、设备等。</w:t>
      </w:r>
    </w:p>
    <w:p>
      <w:pPr>
        <w:ind w:left="330"/>
        <w:spacing w:before="71" w:line="227" w:lineRule="auto"/>
        <w:rPr>
          <w:rFonts w:ascii="KaiTi" w:hAnsi="KaiTi" w:eastAsia="KaiTi" w:cs="KaiTi"/>
          <w:sz w:val="30"/>
          <w:szCs w:val="30"/>
        </w:rPr>
      </w:pPr>
      <w:r>
        <w:rPr>
          <w:rFonts w:ascii="KaiTi" w:hAnsi="KaiTi" w:eastAsia="KaiTi" w:cs="KaiTi"/>
          <w:sz w:val="30"/>
          <w:szCs w:val="30"/>
          <w:spacing w:val="-2"/>
        </w:rPr>
        <w:t>（六）预算绩效目标说明</w:t>
      </w:r>
    </w:p>
    <w:p>
      <w:pPr>
        <w:ind w:left="3" w:firstLine="604"/>
        <w:spacing w:before="142" w:line="209" w:lineRule="auto"/>
        <w:jc w:val="both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本单位所有支出实行绩效目标管理。纳入20</w:t>
      </w:r>
      <w:r>
        <w:rPr>
          <w:rFonts w:ascii="SimSun" w:hAnsi="SimSun" w:eastAsia="SimSun" w:cs="SimSun"/>
          <w:sz w:val="30"/>
          <w:szCs w:val="30"/>
          <w:spacing w:val="-1"/>
        </w:rPr>
        <w:t>24年单位整体支出绩效目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标的金额为2057.62万元，其中，基本支出2057.62万元，项目支出0.00万</w:t>
      </w:r>
      <w:r>
        <w:rPr>
          <w:rFonts w:ascii="SimSun" w:hAnsi="SimSun" w:eastAsia="SimSun" w:cs="SimSun"/>
          <w:sz w:val="30"/>
          <w:szCs w:val="30"/>
          <w:spacing w:val="3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元  详见文尾附表中单位预算公开表格的表21 22</w:t>
      </w:r>
    </w:p>
    <w:p>
      <w:pPr>
        <w:ind w:left="304"/>
        <w:spacing w:line="218" w:lineRule="auto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spacing w:val="-1"/>
        </w:rPr>
        <w:t>七、名词解释</w:t>
      </w:r>
    </w:p>
    <w:p>
      <w:pPr>
        <w:spacing w:line="218" w:lineRule="auto"/>
        <w:sectPr>
          <w:pgSz w:w="11905" w:h="16837"/>
          <w:pgMar w:top="520" w:right="1153" w:bottom="0" w:left="1144" w:header="0" w:footer="0" w:gutter="0"/>
        </w:sectPr>
        <w:rPr>
          <w:rFonts w:ascii="SimHei" w:hAnsi="SimHei" w:eastAsia="SimHei" w:cs="SimHei"/>
          <w:sz w:val="30"/>
          <w:szCs w:val="30"/>
        </w:rPr>
      </w:pPr>
    </w:p>
    <w:p>
      <w:pPr>
        <w:ind w:left="5" w:right="2" w:firstLine="320"/>
        <w:spacing w:before="61" w:line="225" w:lineRule="auto"/>
        <w:jc w:val="both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1、机关运行经费：是指各单位的公用经费，包括办公及印刷费</w:t>
      </w:r>
      <w:r>
        <w:rPr>
          <w:rFonts w:ascii="SimSun" w:hAnsi="SimSun" w:eastAsia="SimSun" w:cs="SimSun"/>
          <w:sz w:val="30"/>
          <w:szCs w:val="30"/>
          <w:spacing w:val="-2"/>
        </w:rPr>
        <w:t>、邮电</w:t>
      </w:r>
      <w:r>
        <w:rPr>
          <w:rFonts w:ascii="SimSun" w:hAnsi="SimSun" w:eastAsia="SimSun" w:cs="SimSun"/>
          <w:sz w:val="30"/>
          <w:szCs w:val="30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3"/>
        </w:rPr>
        <w:t>费、差旅费、会议费、福利费、</w:t>
      </w:r>
      <w:r>
        <w:rPr>
          <w:rFonts w:ascii="SimSun" w:hAnsi="SimSun" w:eastAsia="SimSun" w:cs="SimSun"/>
          <w:sz w:val="30"/>
          <w:szCs w:val="30"/>
          <w:spacing w:val="-72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3"/>
        </w:rPr>
        <w:t>日常维修费、专用资料及一般设备购置费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、办公用房水电费、办公用房取暖费、办公用房物业管理费、公务用车运</w:t>
      </w:r>
      <w:r>
        <w:rPr>
          <w:rFonts w:ascii="SimSun" w:hAnsi="SimSun" w:eastAsia="SimSun" w:cs="SimSun"/>
          <w:sz w:val="30"/>
          <w:szCs w:val="30"/>
          <w:spacing w:val="14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2"/>
        </w:rPr>
        <w:t>行维护费以及其他费用。</w:t>
      </w:r>
    </w:p>
    <w:p>
      <w:pPr>
        <w:ind w:right="149" w:firstLine="307"/>
        <w:spacing w:before="240" w:line="225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2"/>
        </w:rPr>
        <w:t>2、“三公</w:t>
      </w:r>
      <w:r>
        <w:rPr>
          <w:rFonts w:ascii="SimSun" w:hAnsi="SimSun" w:eastAsia="SimSun" w:cs="SimSun"/>
          <w:sz w:val="30"/>
          <w:szCs w:val="30"/>
          <w:spacing w:val="-104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2"/>
        </w:rPr>
        <w:t>”经费：纳入财政预算管理的“三公“经费，是指用一般公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共预算拨款安排的公务接待费、公务用车购</w:t>
      </w:r>
      <w:r>
        <w:rPr>
          <w:rFonts w:ascii="SimSun" w:hAnsi="SimSun" w:eastAsia="SimSun" w:cs="SimSun"/>
          <w:sz w:val="30"/>
          <w:szCs w:val="30"/>
          <w:spacing w:val="-1"/>
        </w:rPr>
        <w:t>置及运行维护费和因公出国</w:t>
      </w:r>
    </w:p>
    <w:p>
      <w:pPr>
        <w:ind w:left="10" w:right="78" w:firstLine="3"/>
        <w:spacing w:before="2" w:line="223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3"/>
        </w:rPr>
        <w:t>（境）费。其中，公务接待费反映单位按规定开支的各类公</w:t>
      </w:r>
      <w:r>
        <w:rPr>
          <w:rFonts w:ascii="SimSun" w:hAnsi="SimSun" w:eastAsia="SimSun" w:cs="SimSun"/>
          <w:sz w:val="30"/>
          <w:szCs w:val="30"/>
          <w:spacing w:val="-4"/>
        </w:rPr>
        <w:t>务接待支出；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公务用车购置及运行费反映单位公务用车车辆购置支出（含车辆购置</w:t>
      </w:r>
    </w:p>
    <w:p>
      <w:pPr>
        <w:ind w:left="10" w:right="2" w:hanging="10"/>
        <w:spacing w:before="2" w:line="226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2"/>
        </w:rPr>
        <w:t>税</w:t>
      </w:r>
      <w:r>
        <w:rPr>
          <w:rFonts w:ascii="SimSun" w:hAnsi="SimSun" w:eastAsia="SimSun" w:cs="SimSun"/>
          <w:sz w:val="30"/>
          <w:szCs w:val="30"/>
          <w:spacing w:val="24"/>
        </w:rPr>
        <w:t>），</w:t>
      </w:r>
      <w:r>
        <w:rPr>
          <w:rFonts w:ascii="SimSun" w:hAnsi="SimSun" w:eastAsia="SimSun" w:cs="SimSun"/>
          <w:sz w:val="30"/>
          <w:szCs w:val="30"/>
          <w:spacing w:val="-2"/>
        </w:rPr>
        <w:t>以及燃料费、维修费、保险费等支出；因公出国（境）费反映单位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公务出国（境）的国际旅费  国外城市间交通费  食宿费等支出</w:t>
      </w:r>
    </w:p>
    <w:p>
      <w:pPr>
        <w:pStyle w:val="BodyText"/>
        <w:spacing w:line="264" w:lineRule="auto"/>
        <w:rPr/>
      </w:pPr>
      <w:r/>
    </w:p>
    <w:p>
      <w:pPr>
        <w:pStyle w:val="BodyText"/>
        <w:spacing w:line="264" w:lineRule="auto"/>
        <w:rPr/>
      </w:pPr>
      <w:r/>
    </w:p>
    <w:p>
      <w:pPr>
        <w:pStyle w:val="BodyText"/>
        <w:spacing w:line="264" w:lineRule="auto"/>
        <w:rPr/>
      </w:pPr>
      <w:r/>
    </w:p>
    <w:p>
      <w:pPr>
        <w:ind w:left="2401"/>
        <w:spacing w:before="97" w:line="222" w:lineRule="auto"/>
        <w:outlineLvl w:val="2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spacing w:val="1"/>
        </w:rPr>
        <w:t>第二部分</w:t>
      </w:r>
      <w:r>
        <w:rPr>
          <w:rFonts w:ascii="SimHei" w:hAnsi="SimHei" w:eastAsia="SimHei" w:cs="SimHei"/>
          <w:sz w:val="30"/>
          <w:szCs w:val="30"/>
          <w:spacing w:val="1"/>
        </w:rPr>
        <w:t xml:space="preserve">  </w:t>
      </w:r>
      <w:r>
        <w:rPr>
          <w:rFonts w:ascii="SimHei" w:hAnsi="SimHei" w:eastAsia="SimHei" w:cs="SimHei"/>
          <w:sz w:val="30"/>
          <w:szCs w:val="30"/>
          <w:spacing w:val="1"/>
        </w:rPr>
        <w:t>2024年单位预算公开表格</w:t>
      </w:r>
    </w:p>
    <w:p>
      <w:pPr>
        <w:ind w:left="23"/>
        <w:spacing w:before="295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6"/>
        </w:rPr>
        <w:t>1、收支总表</w:t>
      </w:r>
    </w:p>
    <w:p>
      <w:pPr>
        <w:ind w:left="4"/>
        <w:spacing w:before="299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3"/>
        </w:rPr>
        <w:t>2、收入总表</w:t>
      </w:r>
    </w:p>
    <w:p>
      <w:pPr>
        <w:ind w:left="7"/>
        <w:spacing w:before="299" w:line="220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3"/>
        </w:rPr>
        <w:t>3、支出总表</w:t>
      </w:r>
    </w:p>
    <w:p>
      <w:pPr>
        <w:spacing w:before="298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4、支出预算分类汇总表（按政府预算经济分类）</w:t>
      </w:r>
    </w:p>
    <w:p>
      <w:pPr>
        <w:ind w:left="7"/>
        <w:spacing w:before="300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5、支出预算分类汇总表（按部门预算经济分类）</w:t>
      </w:r>
    </w:p>
    <w:p>
      <w:pPr>
        <w:ind w:left="3"/>
        <w:spacing w:before="299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2"/>
        </w:rPr>
        <w:t>6、财政拨款收支总表</w:t>
      </w:r>
    </w:p>
    <w:p>
      <w:pPr>
        <w:ind w:left="8"/>
        <w:spacing w:before="299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2"/>
        </w:rPr>
        <w:t>7、一般公共预算支出表</w:t>
      </w:r>
    </w:p>
    <w:p>
      <w:pPr>
        <w:ind w:left="2"/>
        <w:spacing w:before="152" w:line="203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1"/>
        </w:rPr>
        <w:t>8、一般公共预算基本支出表-人员经费（工资福利支出</w:t>
      </w:r>
      <w:r>
        <w:rPr>
          <w:rFonts w:ascii="SimSun" w:hAnsi="SimSun" w:eastAsia="SimSun" w:cs="SimSun"/>
          <w:sz w:val="30"/>
          <w:szCs w:val="30"/>
          <w:spacing w:val="-21"/>
        </w:rPr>
        <w:t>）（</w:t>
      </w:r>
      <w:r>
        <w:rPr>
          <w:rFonts w:ascii="SimSun" w:hAnsi="SimSun" w:eastAsia="SimSun" w:cs="SimSun"/>
          <w:sz w:val="30"/>
          <w:szCs w:val="30"/>
          <w:spacing w:val="1"/>
        </w:rPr>
        <w:t>按政府预算经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4"/>
        </w:rPr>
        <w:t>济分类）</w:t>
      </w:r>
    </w:p>
    <w:p>
      <w:pPr>
        <w:ind w:left="2"/>
        <w:spacing w:before="1" w:line="201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1"/>
        </w:rPr>
        <w:t>9、一般公共预算基本支出表-人员经费（工资福利支出</w:t>
      </w:r>
      <w:r>
        <w:rPr>
          <w:rFonts w:ascii="SimSun" w:hAnsi="SimSun" w:eastAsia="SimSun" w:cs="SimSun"/>
          <w:sz w:val="30"/>
          <w:szCs w:val="30"/>
          <w:spacing w:val="-21"/>
        </w:rPr>
        <w:t>）（</w:t>
      </w:r>
      <w:r>
        <w:rPr>
          <w:rFonts w:ascii="SimSun" w:hAnsi="SimSun" w:eastAsia="SimSun" w:cs="SimSun"/>
          <w:sz w:val="30"/>
          <w:szCs w:val="30"/>
          <w:spacing w:val="1"/>
        </w:rPr>
        <w:t>按部门预算经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4"/>
        </w:rPr>
        <w:t>济分类）</w:t>
      </w:r>
    </w:p>
    <w:p>
      <w:pPr>
        <w:ind w:right="149" w:firstLine="23"/>
        <w:spacing w:before="3" w:line="201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10、一般公共预算基本支出表-人员经费（对个人和家庭的补助</w:t>
      </w:r>
      <w:r>
        <w:rPr>
          <w:rFonts w:ascii="SimSun" w:hAnsi="SimSun" w:eastAsia="SimSun" w:cs="SimSun"/>
          <w:sz w:val="30"/>
          <w:szCs w:val="30"/>
          <w:spacing w:val="-16"/>
        </w:rPr>
        <w:t>）（</w:t>
      </w:r>
      <w:r>
        <w:rPr>
          <w:rFonts w:ascii="SimSun" w:hAnsi="SimSun" w:eastAsia="SimSun" w:cs="SimSun"/>
          <w:sz w:val="30"/>
          <w:szCs w:val="30"/>
        </w:rPr>
        <w:t>按政</w:t>
      </w:r>
      <w:r>
        <w:rPr>
          <w:rFonts w:ascii="SimSun" w:hAnsi="SimSun" w:eastAsia="SimSun" w:cs="SimSun"/>
          <w:sz w:val="30"/>
          <w:szCs w:val="30"/>
          <w:spacing w:val="1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2"/>
        </w:rPr>
        <w:t>府预算经济分类）</w:t>
      </w:r>
    </w:p>
    <w:p>
      <w:pPr>
        <w:ind w:left="34" w:right="149" w:hanging="11"/>
        <w:spacing w:before="2" w:line="201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11、一般公共预算基本支出表-人员经费（对个人和家庭的补助</w:t>
      </w:r>
      <w:r>
        <w:rPr>
          <w:rFonts w:ascii="SimSun" w:hAnsi="SimSun" w:eastAsia="SimSun" w:cs="SimSun"/>
          <w:sz w:val="30"/>
          <w:szCs w:val="30"/>
          <w:spacing w:val="-16"/>
        </w:rPr>
        <w:t>）（</w:t>
      </w:r>
      <w:r>
        <w:rPr>
          <w:rFonts w:ascii="SimSun" w:hAnsi="SimSun" w:eastAsia="SimSun" w:cs="SimSun"/>
          <w:sz w:val="30"/>
          <w:szCs w:val="30"/>
        </w:rPr>
        <w:t>按部</w:t>
      </w:r>
      <w:r>
        <w:rPr>
          <w:rFonts w:ascii="SimSun" w:hAnsi="SimSun" w:eastAsia="SimSun" w:cs="SimSun"/>
          <w:sz w:val="30"/>
          <w:szCs w:val="30"/>
          <w:spacing w:val="1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6"/>
        </w:rPr>
        <w:t>门预算经济分类）</w:t>
      </w:r>
    </w:p>
    <w:p>
      <w:pPr>
        <w:ind w:left="3" w:right="149" w:firstLine="19"/>
        <w:spacing w:before="2" w:line="201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12、一般公共预算基本支出表-公用经费（商品和服务支出</w:t>
      </w:r>
      <w:r>
        <w:rPr>
          <w:rFonts w:ascii="SimSun" w:hAnsi="SimSun" w:eastAsia="SimSun" w:cs="SimSun"/>
          <w:sz w:val="30"/>
          <w:szCs w:val="30"/>
          <w:spacing w:val="-16"/>
        </w:rPr>
        <w:t>）（</w:t>
      </w:r>
      <w:r>
        <w:rPr>
          <w:rFonts w:ascii="SimSun" w:hAnsi="SimSun" w:eastAsia="SimSun" w:cs="SimSun"/>
          <w:sz w:val="30"/>
          <w:szCs w:val="30"/>
        </w:rPr>
        <w:t>按政府预</w:t>
      </w:r>
      <w:r>
        <w:rPr>
          <w:rFonts w:ascii="SimSun" w:hAnsi="SimSun" w:eastAsia="SimSun" w:cs="SimSun"/>
          <w:sz w:val="30"/>
          <w:szCs w:val="30"/>
          <w:spacing w:val="1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3"/>
        </w:rPr>
        <w:t>算经济分类）</w:t>
      </w:r>
    </w:p>
    <w:p>
      <w:pPr>
        <w:ind w:left="3" w:right="149" w:firstLine="19"/>
        <w:spacing w:line="220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13、一般公共预算基本支出表-公用经费（商品和服务支出</w:t>
      </w:r>
      <w:r>
        <w:rPr>
          <w:rFonts w:ascii="SimSun" w:hAnsi="SimSun" w:eastAsia="SimSun" w:cs="SimSun"/>
          <w:sz w:val="30"/>
          <w:szCs w:val="30"/>
          <w:spacing w:val="-16"/>
        </w:rPr>
        <w:t>）（</w:t>
      </w:r>
      <w:r>
        <w:rPr>
          <w:rFonts w:ascii="SimSun" w:hAnsi="SimSun" w:eastAsia="SimSun" w:cs="SimSun"/>
          <w:sz w:val="30"/>
          <w:szCs w:val="30"/>
        </w:rPr>
        <w:t>按部门预</w:t>
      </w:r>
      <w:r>
        <w:rPr>
          <w:rFonts w:ascii="SimSun" w:hAnsi="SimSun" w:eastAsia="SimSun" w:cs="SimSun"/>
          <w:sz w:val="30"/>
          <w:szCs w:val="30"/>
          <w:spacing w:val="1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3"/>
        </w:rPr>
        <w:t>算经济分类）</w:t>
      </w:r>
    </w:p>
    <w:p>
      <w:pPr>
        <w:ind w:left="23"/>
        <w:spacing w:before="84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4"/>
        </w:rPr>
        <w:t>14、一般公共预算“三公</w:t>
      </w:r>
      <w:r>
        <w:rPr>
          <w:rFonts w:ascii="SimSun" w:hAnsi="SimSun" w:eastAsia="SimSun" w:cs="SimSun"/>
          <w:sz w:val="30"/>
          <w:szCs w:val="30"/>
          <w:spacing w:val="-11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4"/>
        </w:rPr>
        <w:t>”经费支出表</w:t>
      </w:r>
    </w:p>
    <w:p>
      <w:pPr>
        <w:ind w:left="23"/>
        <w:spacing w:before="298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3"/>
        </w:rPr>
        <w:t>15、政府性基金预算支出表</w:t>
      </w:r>
    </w:p>
    <w:p>
      <w:pPr>
        <w:ind w:left="23"/>
        <w:spacing w:before="299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16、政府性基金预算支出分类汇总表（按政府预算经</w:t>
      </w:r>
      <w:r>
        <w:rPr>
          <w:rFonts w:ascii="SimSun" w:hAnsi="SimSun" w:eastAsia="SimSun" w:cs="SimSun"/>
          <w:sz w:val="30"/>
          <w:szCs w:val="30"/>
          <w:spacing w:val="-2"/>
        </w:rPr>
        <w:t>济分类）</w:t>
      </w:r>
    </w:p>
    <w:p>
      <w:pPr>
        <w:spacing w:line="219" w:lineRule="auto"/>
        <w:sectPr>
          <w:pgSz w:w="11905" w:h="16837"/>
          <w:pgMar w:top="629" w:right="1167" w:bottom="0" w:left="1145" w:header="0" w:footer="0" w:gutter="0"/>
        </w:sectPr>
        <w:rPr>
          <w:rFonts w:ascii="SimSun" w:hAnsi="SimSun" w:eastAsia="SimSun" w:cs="SimSun"/>
          <w:sz w:val="30"/>
          <w:szCs w:val="30"/>
        </w:rPr>
      </w:pPr>
    </w:p>
    <w:p>
      <w:pPr>
        <w:ind w:left="22"/>
        <w:spacing w:before="59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17、政府性基金预算支出分类汇总表（按部门预算经</w:t>
      </w:r>
      <w:r>
        <w:rPr>
          <w:rFonts w:ascii="SimSun" w:hAnsi="SimSun" w:eastAsia="SimSun" w:cs="SimSun"/>
          <w:sz w:val="30"/>
          <w:szCs w:val="30"/>
          <w:spacing w:val="-2"/>
        </w:rPr>
        <w:t>济分类）</w:t>
      </w:r>
    </w:p>
    <w:p>
      <w:pPr>
        <w:ind w:left="22"/>
        <w:spacing w:before="299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3"/>
        </w:rPr>
        <w:t>18、国有资本经营预算支出表</w:t>
      </w:r>
    </w:p>
    <w:p>
      <w:pPr>
        <w:ind w:left="22"/>
        <w:spacing w:before="300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2"/>
        </w:rPr>
        <w:t>19、财政专户管理资金预算支出表</w:t>
      </w:r>
    </w:p>
    <w:p>
      <w:pPr>
        <w:ind w:left="3"/>
        <w:spacing w:before="300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2"/>
        </w:rPr>
        <w:t>20、专项资金预算汇总表</w:t>
      </w:r>
    </w:p>
    <w:p>
      <w:pPr>
        <w:ind w:left="3"/>
        <w:spacing w:before="298" w:line="220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2"/>
        </w:rPr>
        <w:t>21、项目支出绩效目标表</w:t>
      </w:r>
    </w:p>
    <w:p>
      <w:pPr>
        <w:ind w:left="3"/>
        <w:spacing w:before="297" w:line="220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22、单位整体支出绩效目标表</w:t>
      </w:r>
    </w:p>
    <w:p>
      <w:pPr>
        <w:ind w:left="3"/>
        <w:spacing w:before="296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23、一般公共预算基本支出表</w:t>
      </w:r>
    </w:p>
    <w:p>
      <w:pPr>
        <w:spacing w:before="299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b/>
          <w:bCs/>
          <w:color w:val="FF0000"/>
          <w:spacing w:val="-2"/>
        </w:rPr>
        <w:t>注：以上单位预算公开报表中，空表表示本单位无相关收支情况。</w:t>
      </w:r>
    </w:p>
    <w:sectPr>
      <w:pgSz w:w="11905" w:h="16837"/>
      <w:pgMar w:top="523" w:right="1785" w:bottom="0" w:left="1146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">
    <w:panose1 w:val="020B0703020204020201"/>
    <w:charset w:val="86"/>
    <w:family w:val="auto"/>
    <w:pitch w:val="variable"/>
    <w:sig w:usb0="80000287" w:usb1="2ACF3C50" w:usb2="00000016" w:usb3="00000000" w:csb0="0004001F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dcterms:created xsi:type="dcterms:W3CDTF">2025-08-08T10:52:50Z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2025-08-08T10:53:05</vt:filetime>
  </property>
</Properties>
</file>