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1000" w:lineRule="exact"/>
        <w:ind w:left="0" w:leftChars="0" w:right="0" w:rightChars="0" w:firstLine="883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2022年岳阳楼区政府债务情况说明</w:t>
      </w:r>
    </w:p>
    <w:p>
      <w:pPr>
        <w:numPr>
          <w:ilvl w:val="0"/>
          <w:numId w:val="0"/>
        </w:numPr>
        <w:tabs>
          <w:tab w:val="left" w:pos="718"/>
        </w:tabs>
        <w:ind w:firstLine="643" w:firstLineChars="200"/>
        <w:jc w:val="left"/>
        <w:rPr>
          <w:rFonts w:hint="eastAsia" w:ascii="楷体" w:hAnsi="楷体" w:eastAsia="楷体" w:cs="楷体"/>
          <w:b/>
          <w:bCs/>
          <w:color w:val="auto"/>
          <w:spacing w:val="0"/>
          <w:kern w:val="13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pacing w:val="0"/>
          <w:kern w:val="13"/>
          <w:sz w:val="32"/>
          <w:szCs w:val="32"/>
          <w:lang w:val="en-US" w:eastAsia="zh-CN"/>
        </w:rPr>
        <w:t>（一）政府债券资金额度</w:t>
      </w:r>
    </w:p>
    <w:p>
      <w:pPr>
        <w:numPr>
          <w:ilvl w:val="0"/>
          <w:numId w:val="0"/>
        </w:numPr>
        <w:tabs>
          <w:tab w:val="left" w:pos="718"/>
        </w:tabs>
        <w:ind w:firstLine="640"/>
        <w:jc w:val="left"/>
        <w:rPr>
          <w:rFonts w:hint="default" w:ascii="仿宋" w:hAnsi="仿宋" w:eastAsia="仿宋" w:cs="仿宋"/>
          <w:color w:val="auto"/>
          <w:spacing w:val="0"/>
          <w:kern w:val="1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kern w:val="13"/>
          <w:sz w:val="32"/>
          <w:szCs w:val="32"/>
          <w:lang w:val="en-US" w:eastAsia="zh-CN"/>
        </w:rPr>
        <w:t>2022年，经省政府批准，省财政厅下达我区地方政府新增债券资金39300万元，加上2021年度末下达的一般债券资金500万元（为2021年12月底下达，因已关账，未能在2021年度安排使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pacing w:val="0"/>
          <w:kern w:val="13"/>
          <w:sz w:val="32"/>
          <w:szCs w:val="32"/>
          <w:lang w:val="en-US" w:eastAsia="zh-CN"/>
        </w:rPr>
        <w:t>用），共计39800万元。其中：一般债券资金5700万元，专项债券资金34100万元。</w:t>
      </w:r>
    </w:p>
    <w:p>
      <w:pPr>
        <w:numPr>
          <w:ilvl w:val="0"/>
          <w:numId w:val="0"/>
        </w:numPr>
        <w:tabs>
          <w:tab w:val="left" w:pos="718"/>
        </w:tabs>
        <w:ind w:firstLine="643" w:firstLineChars="200"/>
        <w:jc w:val="left"/>
        <w:rPr>
          <w:rFonts w:hint="eastAsia" w:ascii="仿宋" w:hAnsi="仿宋" w:eastAsia="仿宋" w:cs="仿宋"/>
          <w:color w:val="auto"/>
          <w:spacing w:val="0"/>
          <w:kern w:val="13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pacing w:val="0"/>
          <w:kern w:val="13"/>
          <w:sz w:val="32"/>
          <w:szCs w:val="32"/>
          <w:lang w:val="en-US" w:eastAsia="zh-CN"/>
        </w:rPr>
        <w:t>（二）分配方案</w:t>
      </w:r>
      <w:r>
        <w:rPr>
          <w:rFonts w:hint="eastAsia" w:ascii="仿宋" w:hAnsi="仿宋" w:eastAsia="仿宋" w:cs="仿宋"/>
          <w:color w:val="auto"/>
          <w:spacing w:val="0"/>
          <w:kern w:val="13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tabs>
          <w:tab w:val="left" w:pos="718"/>
        </w:tabs>
        <w:ind w:firstLine="640" w:firstLineChars="200"/>
        <w:jc w:val="left"/>
        <w:rPr>
          <w:rFonts w:hint="eastAsia" w:ascii="仿宋" w:hAnsi="仿宋" w:eastAsia="仿宋" w:cs="仿宋"/>
          <w:color w:val="auto"/>
          <w:spacing w:val="0"/>
          <w:kern w:val="1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kern w:val="13"/>
          <w:sz w:val="32"/>
          <w:szCs w:val="32"/>
          <w:lang w:val="en-US" w:eastAsia="zh-CN"/>
        </w:rPr>
        <w:t>按照科学安排政府债券资金、精心筛选新增债券支持项目、合规使用债券资金的要求，结合区情实际，具体安排方案如下：</w:t>
      </w:r>
    </w:p>
    <w:p>
      <w:pPr>
        <w:numPr>
          <w:ilvl w:val="0"/>
          <w:numId w:val="0"/>
        </w:numPr>
        <w:tabs>
          <w:tab w:val="left" w:pos="718"/>
        </w:tabs>
        <w:ind w:firstLine="643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kern w:val="1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13"/>
          <w:sz w:val="32"/>
          <w:szCs w:val="32"/>
          <w:lang w:val="en-US" w:eastAsia="zh-CN"/>
        </w:rPr>
        <w:t>1、一般债券资金。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13"/>
          <w:sz w:val="32"/>
          <w:szCs w:val="32"/>
          <w:lang w:val="en-US" w:eastAsia="zh-CN"/>
        </w:rPr>
        <w:t>新增一般债券5700万元，其中：</w:t>
      </w:r>
    </w:p>
    <w:p>
      <w:pPr>
        <w:numPr>
          <w:ilvl w:val="0"/>
          <w:numId w:val="0"/>
        </w:numPr>
        <w:tabs>
          <w:tab w:val="left" w:pos="718"/>
        </w:tabs>
        <w:ind w:firstLine="640" w:firstLineChars="200"/>
        <w:jc w:val="left"/>
        <w:rPr>
          <w:rFonts w:hint="default" w:ascii="仿宋" w:hAnsi="仿宋" w:eastAsia="仿宋" w:cs="仿宋"/>
          <w:color w:val="auto"/>
          <w:spacing w:val="0"/>
          <w:kern w:val="1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kern w:val="13"/>
          <w:sz w:val="32"/>
          <w:szCs w:val="32"/>
          <w:lang w:val="en-US" w:eastAsia="zh-CN"/>
        </w:rPr>
        <w:t>区教育局3310万元。用于市十中新建1号、2号教学综合楼及运动场改造1700万元；南湖大道市委周边停车场建设（民院附小建设项目）1400万元；冷水铺小学学校提质改造210万元。</w:t>
      </w:r>
    </w:p>
    <w:p>
      <w:pPr>
        <w:numPr>
          <w:ilvl w:val="0"/>
          <w:numId w:val="0"/>
        </w:numPr>
        <w:tabs>
          <w:tab w:val="left" w:pos="718"/>
        </w:tabs>
        <w:ind w:firstLine="640"/>
        <w:jc w:val="left"/>
        <w:rPr>
          <w:rFonts w:hint="eastAsia" w:ascii="仿宋" w:hAnsi="仿宋" w:eastAsia="仿宋" w:cs="仿宋"/>
          <w:color w:val="auto"/>
          <w:spacing w:val="0"/>
          <w:kern w:val="1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kern w:val="13"/>
          <w:sz w:val="32"/>
          <w:szCs w:val="32"/>
          <w:lang w:val="en-US" w:eastAsia="zh-CN"/>
        </w:rPr>
        <w:t>区卫健局1200万元。用于岳阳楼区人民医院医疗服务能力提升项目。</w:t>
      </w:r>
    </w:p>
    <w:p>
      <w:pPr>
        <w:numPr>
          <w:ilvl w:val="0"/>
          <w:numId w:val="0"/>
        </w:numPr>
        <w:tabs>
          <w:tab w:val="left" w:pos="718"/>
        </w:tabs>
        <w:ind w:firstLine="640"/>
        <w:jc w:val="left"/>
        <w:rPr>
          <w:rFonts w:hint="eastAsia" w:ascii="仿宋" w:hAnsi="仿宋" w:eastAsia="仿宋" w:cs="仿宋"/>
          <w:color w:val="auto"/>
          <w:spacing w:val="0"/>
          <w:kern w:val="1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kern w:val="13"/>
          <w:sz w:val="32"/>
          <w:szCs w:val="32"/>
          <w:lang w:val="en-US" w:eastAsia="zh-CN"/>
        </w:rPr>
        <w:t>区水利局1190万元。用于白鹤垅水库除险加固工程67万元；公平水库除险加固工程67万元；黄洋水库除险加固工程572万元；建中水库除险加固工程244万元；芭蕉水库除险加固工程240万元。</w:t>
      </w:r>
    </w:p>
    <w:p>
      <w:pPr>
        <w:numPr>
          <w:ilvl w:val="0"/>
          <w:numId w:val="0"/>
        </w:numPr>
        <w:tabs>
          <w:tab w:val="left" w:pos="718"/>
        </w:tabs>
        <w:ind w:firstLine="640"/>
        <w:jc w:val="left"/>
        <w:rPr>
          <w:rFonts w:hint="default" w:ascii="仿宋" w:hAnsi="仿宋" w:eastAsia="仿宋" w:cs="仿宋"/>
          <w:b w:val="0"/>
          <w:bCs w:val="0"/>
          <w:color w:val="auto"/>
          <w:spacing w:val="0"/>
          <w:kern w:val="1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kern w:val="13"/>
          <w:sz w:val="32"/>
          <w:szCs w:val="32"/>
          <w:lang w:val="en-US" w:eastAsia="zh-CN"/>
        </w:rPr>
        <w:t>2、专项债券资金。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13"/>
          <w:sz w:val="32"/>
          <w:szCs w:val="32"/>
          <w:lang w:val="en-US" w:eastAsia="zh-CN"/>
        </w:rPr>
        <w:t>新增专项债券资金34100万元，全部用于老旧小区改造项目。其中：东茅岭片区及其配套设施建设项目18600万元；花板桥片区及其配套设施建设项目上15500万元。</w:t>
      </w:r>
    </w:p>
    <w:p>
      <w:pPr>
        <w:spacing w:line="220" w:lineRule="atLeast"/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wYjQ0ZTg1OGM4NTAyYjliY2YxYzc2YjJkOTc3NmMifQ=="/>
  </w:docVars>
  <w:rsids>
    <w:rsidRoot w:val="00D31D50"/>
    <w:rsid w:val="00323B43"/>
    <w:rsid w:val="003D2B1E"/>
    <w:rsid w:val="003D37D8"/>
    <w:rsid w:val="00426133"/>
    <w:rsid w:val="004358AB"/>
    <w:rsid w:val="00454197"/>
    <w:rsid w:val="008B7726"/>
    <w:rsid w:val="00D31D50"/>
    <w:rsid w:val="00EB3B36"/>
    <w:rsid w:val="147F1F76"/>
    <w:rsid w:val="175D1536"/>
    <w:rsid w:val="218D54E5"/>
    <w:rsid w:val="2477697F"/>
    <w:rsid w:val="280328B5"/>
    <w:rsid w:val="6260424C"/>
    <w:rsid w:val="680B3210"/>
    <w:rsid w:val="767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488</Words>
  <Characters>566</Characters>
  <Lines>7</Lines>
  <Paragraphs>2</Paragraphs>
  <TotalTime>2</TotalTime>
  <ScaleCrop>false</ScaleCrop>
  <LinksUpToDate>false</LinksUpToDate>
  <CharactersWithSpaces>568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2023-09-23T12:34:32Z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BDA46A64928A4915B70EF6D2905C5ACB_13</vt:lpwstr>
  </property>
</Properties>
</file>