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业务工作经费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248.9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98.77%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245.9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持续深化数字化转型和“放管服”改革，坚持以改革思维攻坚克难，铺陈营商底色、增强创新特色、彰显为民本色。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推进政务服务事项“四级四同”，梳理事项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1457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组织22家单位集中开展“政务公开月”活动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批次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数字政府智慧城市项目新增20个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夯实政务公开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组织政府网站新媒体评选活动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助推“五好”园区建设，赋予4个园区市级管理权限。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开展“走流程、解难题、优服务”专项行动，各级领导干部亲身体验办事服务和监管流程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1027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</w:rPr>
              <w:t>按季度通报政务公开情况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资金到位率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形成政企合作、政银合作力度等更多可运营的智慧城市合作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加大合作力度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加大合作力度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积极推动惠企政策“免申即享”解决企业群众痛点问题2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99.88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3D20B0-77E6-46A4-AAA0-C2C0858CE3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688C196-965A-42B2-8283-3F2F9F08DCE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D1CAA20-BF6E-43FD-A90E-85FEE69BE7D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4FC6540-45A9-4998-B0FE-90491C3540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04A66578"/>
    <w:rsid w:val="0E7C3944"/>
    <w:rsid w:val="19B25567"/>
    <w:rsid w:val="2A0454B1"/>
    <w:rsid w:val="34C5219B"/>
    <w:rsid w:val="40E8706F"/>
    <w:rsid w:val="70D90C34"/>
    <w:rsid w:val="71D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789</Characters>
  <Lines>0</Lines>
  <Paragraphs>0</Paragraphs>
  <TotalTime>0</TotalTime>
  <ScaleCrop>false</ScaleCrop>
  <LinksUpToDate>false</LinksUpToDate>
  <CharactersWithSpaces>957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2023-07-12T02:09:48Z</cp:lastPrinted>
  <dcterms:modified xsi:type="dcterms:W3CDTF">2023-07-12T02:13:46Z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711D1F5AC31340CBB4BDE2B691A57070_13</vt:lpwstr>
  </property>
</Properties>
</file>