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hint="default"/>
          <w:sz w:val="2"/>
        </w:rPr>
      </w:pPr>
      <w:bookmarkStart w:id="0" w:name="_GoBack"/>
      <w:bookmarkEnd w:id="0"/>
    </w:p>
    <w:tbl>
      <w:tblPr>
        <w:tblStyle w:val="6"/>
        <w:tblW w:w="1530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3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81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1125" w:lineRule="exact"/>
              <w:ind w:left="20"/>
              <w:jc w:val="center"/>
              <w:rPr>
                <w:rFonts w:hint="eastAsia" w:ascii="微软雅黑" w:hAnsi="微软雅黑" w:eastAsia="微软雅黑"/>
                <w:b/>
                <w:sz w:val="84"/>
              </w:rPr>
            </w:pPr>
            <w:r>
              <w:rPr>
                <w:rFonts w:hint="eastAsia" w:ascii="微软雅黑" w:hAnsi="微软雅黑" w:eastAsia="微软雅黑"/>
                <w:b/>
                <w:sz w:val="84"/>
              </w:rPr>
              <w:t>岳阳市妇女联合会2024年度</w:t>
            </w:r>
          </w:p>
          <w:p>
            <w:pPr>
              <w:spacing w:line="1125" w:lineRule="exact"/>
              <w:ind w:left="20"/>
              <w:jc w:val="center"/>
              <w:rPr>
                <w:rFonts w:hint="eastAsia" w:ascii="微软雅黑" w:hAnsi="微软雅黑" w:eastAsia="微软雅黑"/>
                <w:sz w:val="84"/>
              </w:rPr>
            </w:pPr>
            <w:r>
              <w:rPr>
                <w:rFonts w:hint="eastAsia" w:ascii="微软雅黑" w:hAnsi="微软雅黑" w:eastAsia="微软雅黑"/>
                <w:b/>
                <w:sz w:val="84"/>
              </w:rPr>
              <w:t>部门预算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525" w:lineRule="exact"/>
              <w:ind w:left="20"/>
              <w:jc w:val="center"/>
              <w:rPr>
                <w:rFonts w:hint="eastAsia" w:ascii="Dialog" w:hAnsi="Dialog"/>
                <w:sz w:val="44"/>
              </w:rPr>
            </w:pPr>
            <w:r>
              <w:rPr>
                <w:rFonts w:hint="eastAsia" w:ascii="Dialog" w:hAnsi="Dialog"/>
                <w:sz w:val="44"/>
              </w:rPr>
              <w:t>目录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1530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75" w:lineRule="exact"/>
              <w:ind w:left="20"/>
              <w:rPr>
                <w:rFonts w:hint="eastAsia" w:ascii="Dialog" w:hAnsi="Dialog"/>
                <w:sz w:val="32"/>
              </w:rPr>
            </w:pPr>
            <w:r>
              <w:rPr>
                <w:rFonts w:hint="eastAsia" w:ascii="Dialog" w:hAnsi="Dialog"/>
                <w:sz w:val="32"/>
              </w:rPr>
              <w:t>第一部分  2024年部门预算说明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75" w:lineRule="exact"/>
              <w:ind w:left="20"/>
              <w:rPr>
                <w:rFonts w:hint="eastAsia" w:ascii="Dialog" w:hAnsi="Dialog"/>
                <w:sz w:val="32"/>
              </w:rPr>
            </w:pPr>
            <w:r>
              <w:rPr>
                <w:rFonts w:hint="eastAsia" w:ascii="Dialog" w:hAnsi="Dialog"/>
                <w:sz w:val="32"/>
              </w:rPr>
              <w:t>第二部分  2024年部门预算公开表格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75" w:lineRule="exact"/>
              <w:ind w:left="20"/>
              <w:rPr>
                <w:rFonts w:hint="eastAsia" w:ascii="Dialog" w:hAnsi="Dialog"/>
                <w:sz w:val="32"/>
              </w:rPr>
            </w:pPr>
            <w:r>
              <w:rPr>
                <w:rFonts w:hint="eastAsia" w:ascii="Dialog" w:hAnsi="Dialog"/>
                <w:sz w:val="32"/>
              </w:rPr>
              <w:t>1、收支总表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75" w:lineRule="exact"/>
              <w:ind w:left="20"/>
              <w:rPr>
                <w:rFonts w:hint="eastAsia" w:ascii="Dialog" w:hAnsi="Dialog"/>
                <w:sz w:val="32"/>
              </w:rPr>
            </w:pPr>
            <w:r>
              <w:rPr>
                <w:rFonts w:hint="eastAsia" w:ascii="Dialog" w:hAnsi="Dialog"/>
                <w:sz w:val="32"/>
              </w:rPr>
              <w:t>2、收入总表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75" w:lineRule="exact"/>
              <w:ind w:left="20"/>
              <w:rPr>
                <w:rFonts w:hint="eastAsia" w:ascii="Dialog" w:hAnsi="Dialog"/>
                <w:sz w:val="32"/>
              </w:rPr>
            </w:pPr>
            <w:r>
              <w:rPr>
                <w:rFonts w:hint="eastAsia" w:ascii="Dialog" w:hAnsi="Dialog"/>
                <w:sz w:val="32"/>
              </w:rPr>
              <w:t>3、支出总表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75" w:lineRule="exact"/>
              <w:ind w:left="20"/>
              <w:rPr>
                <w:rFonts w:hint="eastAsia" w:ascii="Dialog" w:hAnsi="Dialog"/>
                <w:sz w:val="32"/>
              </w:rPr>
            </w:pPr>
            <w:r>
              <w:rPr>
                <w:rFonts w:hint="eastAsia" w:ascii="Dialog" w:hAnsi="Dialog"/>
                <w:sz w:val="32"/>
              </w:rPr>
              <w:t>4、支出预算分类汇总表（按政府预算经济分类）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75" w:lineRule="exact"/>
              <w:ind w:left="20"/>
              <w:rPr>
                <w:rFonts w:hint="eastAsia" w:ascii="Dialog" w:hAnsi="Dialog"/>
                <w:sz w:val="32"/>
              </w:rPr>
            </w:pPr>
            <w:r>
              <w:rPr>
                <w:rFonts w:hint="eastAsia" w:ascii="Dialog" w:hAnsi="Dialog"/>
                <w:sz w:val="32"/>
              </w:rPr>
              <w:t>5、支出预算分类汇总表（按部门预算经济分类）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75" w:lineRule="exact"/>
              <w:ind w:left="20"/>
              <w:rPr>
                <w:rFonts w:hint="eastAsia" w:ascii="Dialog" w:hAnsi="Dialog"/>
                <w:sz w:val="32"/>
              </w:rPr>
            </w:pPr>
            <w:r>
              <w:rPr>
                <w:rFonts w:hint="eastAsia" w:ascii="Dialog" w:hAnsi="Dialog"/>
                <w:sz w:val="32"/>
              </w:rPr>
              <w:t>6、财政拨款收支总表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75" w:lineRule="exact"/>
              <w:ind w:left="20"/>
              <w:rPr>
                <w:rFonts w:hint="eastAsia" w:ascii="Dialog" w:hAnsi="Dialog"/>
                <w:sz w:val="32"/>
              </w:rPr>
            </w:pPr>
            <w:r>
              <w:rPr>
                <w:rFonts w:hint="eastAsia" w:ascii="Dialog" w:hAnsi="Dialog"/>
                <w:sz w:val="32"/>
              </w:rPr>
              <w:t>7、一般公共预算支出表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75" w:lineRule="exact"/>
              <w:ind w:left="20"/>
              <w:rPr>
                <w:rFonts w:hint="eastAsia" w:ascii="Dialog" w:hAnsi="Dialog"/>
                <w:sz w:val="32"/>
              </w:rPr>
            </w:pPr>
            <w:r>
              <w:rPr>
                <w:rFonts w:hint="eastAsia" w:ascii="Dialog" w:hAnsi="Dialog"/>
                <w:sz w:val="32"/>
              </w:rPr>
              <w:t>8、一般公共预算基本支出表-人员经费（工资福利支出）（按政府预算经济分类）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75" w:lineRule="exact"/>
              <w:ind w:left="20"/>
              <w:rPr>
                <w:rFonts w:hint="eastAsia" w:ascii="Dialog" w:hAnsi="Dialog"/>
                <w:sz w:val="32"/>
              </w:rPr>
            </w:pPr>
            <w:r>
              <w:rPr>
                <w:rFonts w:hint="eastAsia" w:ascii="Dialog" w:hAnsi="Dialog"/>
                <w:sz w:val="32"/>
              </w:rPr>
              <w:t>9、一般公共预算基本支出表-人员经费（工资福利支出）（按部门预算经济分类）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75" w:lineRule="exact"/>
              <w:ind w:left="20"/>
              <w:rPr>
                <w:rFonts w:hint="eastAsia" w:ascii="Dialog" w:hAnsi="Dialog"/>
                <w:sz w:val="32"/>
              </w:rPr>
            </w:pPr>
            <w:r>
              <w:rPr>
                <w:rFonts w:hint="eastAsia" w:ascii="Dialog" w:hAnsi="Dialog"/>
                <w:sz w:val="32"/>
              </w:rPr>
              <w:t>10、一般公共预算基本支出表-人员经费（对个人和家庭的补助）（按政府预算经济分类）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75" w:lineRule="exact"/>
              <w:ind w:left="20"/>
              <w:rPr>
                <w:rFonts w:hint="eastAsia" w:ascii="Dialog" w:hAnsi="Dialog"/>
                <w:sz w:val="32"/>
              </w:rPr>
            </w:pPr>
            <w:r>
              <w:rPr>
                <w:rFonts w:hint="eastAsia" w:ascii="Dialog" w:hAnsi="Dialog"/>
                <w:sz w:val="32"/>
              </w:rPr>
              <w:t>11、一般公共预算基本支出表-人员经费（对个人和家庭的补助）（按部门预算经济分类）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75" w:lineRule="exact"/>
              <w:ind w:left="20"/>
              <w:rPr>
                <w:rFonts w:hint="eastAsia" w:ascii="Dialog" w:hAnsi="Dialog"/>
                <w:sz w:val="32"/>
              </w:rPr>
            </w:pPr>
            <w:r>
              <w:rPr>
                <w:rFonts w:hint="eastAsia" w:ascii="Dialog" w:hAnsi="Dialog"/>
                <w:sz w:val="32"/>
              </w:rPr>
              <w:t>12、一般公共预算基本支出表-公用经费（商品和服务支出）（按政府预算经济分类）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75" w:lineRule="exact"/>
              <w:ind w:left="20"/>
              <w:rPr>
                <w:rFonts w:hint="eastAsia" w:ascii="Dialog" w:hAnsi="Dialog"/>
                <w:sz w:val="32"/>
              </w:rPr>
            </w:pPr>
            <w:r>
              <w:rPr>
                <w:rFonts w:hint="eastAsia" w:ascii="Dialog" w:hAnsi="Dialog"/>
                <w:sz w:val="32"/>
              </w:rPr>
              <w:t>13、一般公共预算基本支出表-公用经费（商品和服务支出）（按部门预算经济分类）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75" w:lineRule="exact"/>
              <w:ind w:left="20"/>
              <w:rPr>
                <w:rFonts w:hint="eastAsia" w:ascii="Dialog" w:hAnsi="Dialog"/>
                <w:sz w:val="32"/>
              </w:rPr>
            </w:pPr>
            <w:r>
              <w:rPr>
                <w:rFonts w:hint="eastAsia" w:ascii="Dialog" w:hAnsi="Dialog"/>
                <w:sz w:val="32"/>
              </w:rPr>
              <w:t>14、一般公共预算“三公”经费支出表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75" w:lineRule="exact"/>
              <w:ind w:left="20"/>
              <w:rPr>
                <w:rFonts w:hint="eastAsia" w:ascii="Dialog" w:hAnsi="Dialog"/>
                <w:sz w:val="32"/>
              </w:rPr>
            </w:pPr>
            <w:r>
              <w:rPr>
                <w:rFonts w:hint="eastAsia" w:ascii="Dialog" w:hAnsi="Dialog"/>
                <w:sz w:val="32"/>
              </w:rPr>
              <w:t>15、政府性基金预算支出表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75" w:lineRule="exact"/>
              <w:ind w:left="20"/>
              <w:rPr>
                <w:rFonts w:hint="eastAsia" w:ascii="Dialog" w:hAnsi="Dialog"/>
                <w:sz w:val="32"/>
              </w:rPr>
            </w:pPr>
            <w:r>
              <w:rPr>
                <w:rFonts w:hint="eastAsia" w:ascii="Dialog" w:hAnsi="Dialog"/>
                <w:sz w:val="32"/>
              </w:rPr>
              <w:t>16、政府性基金预算支出分类汇总表（按政府预算经济分类）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75" w:lineRule="exact"/>
              <w:ind w:left="20"/>
              <w:rPr>
                <w:rFonts w:hint="eastAsia" w:ascii="Dialog" w:hAnsi="Dialog"/>
                <w:sz w:val="32"/>
              </w:rPr>
            </w:pPr>
            <w:r>
              <w:rPr>
                <w:rFonts w:hint="eastAsia" w:ascii="Dialog" w:hAnsi="Dialog"/>
                <w:sz w:val="32"/>
              </w:rPr>
              <w:t>17、政府性基金预算支出分类汇总表（按部门预算经济分类）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75" w:lineRule="exact"/>
              <w:ind w:left="20"/>
              <w:rPr>
                <w:rFonts w:hint="eastAsia" w:ascii="Dialog" w:hAnsi="Dialog"/>
                <w:sz w:val="32"/>
              </w:rPr>
            </w:pPr>
            <w:r>
              <w:rPr>
                <w:rFonts w:hint="eastAsia" w:ascii="Dialog" w:hAnsi="Dialog"/>
                <w:sz w:val="32"/>
              </w:rPr>
              <w:t>18、国有资本经营预算支出表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75" w:lineRule="exact"/>
              <w:ind w:left="20"/>
              <w:rPr>
                <w:rFonts w:hint="eastAsia" w:ascii="Dialog" w:hAnsi="Dialog"/>
                <w:sz w:val="32"/>
              </w:rPr>
            </w:pPr>
            <w:r>
              <w:rPr>
                <w:rFonts w:hint="eastAsia" w:ascii="Dialog" w:hAnsi="Dialog"/>
                <w:sz w:val="32"/>
              </w:rPr>
              <w:t>19、财政专户管理资金预算支出表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75" w:lineRule="exact"/>
              <w:ind w:left="20"/>
              <w:rPr>
                <w:rFonts w:hint="eastAsia" w:ascii="Dialog" w:hAnsi="Dialog"/>
                <w:sz w:val="32"/>
              </w:rPr>
            </w:pPr>
            <w:r>
              <w:rPr>
                <w:rFonts w:hint="eastAsia" w:ascii="Dialog" w:hAnsi="Dialog"/>
                <w:sz w:val="32"/>
              </w:rPr>
              <w:t>20、专项资金预算汇总表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75" w:lineRule="exact"/>
              <w:ind w:left="20"/>
              <w:rPr>
                <w:rFonts w:hint="eastAsia" w:ascii="Dialog" w:hAnsi="Dialog"/>
                <w:sz w:val="32"/>
              </w:rPr>
            </w:pPr>
            <w:r>
              <w:rPr>
                <w:rFonts w:hint="eastAsia" w:ascii="Dialog" w:hAnsi="Dialog"/>
                <w:sz w:val="32"/>
              </w:rPr>
              <w:t>21、项目支出绩效目标表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75" w:lineRule="exact"/>
              <w:ind w:left="20"/>
              <w:rPr>
                <w:rFonts w:hint="eastAsia" w:ascii="Dialog" w:hAnsi="Dialog"/>
                <w:sz w:val="32"/>
              </w:rPr>
            </w:pPr>
            <w:r>
              <w:rPr>
                <w:rFonts w:hint="eastAsia" w:ascii="Dialog" w:hAnsi="Dialog"/>
                <w:sz w:val="32"/>
              </w:rPr>
              <w:t>22、部门整体支出绩效目标表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75" w:lineRule="exact"/>
              <w:ind w:left="20"/>
              <w:rPr>
                <w:rFonts w:hint="eastAsia" w:ascii="Dialog" w:hAnsi="Dialog"/>
                <w:sz w:val="32"/>
              </w:rPr>
            </w:pPr>
            <w:r>
              <w:rPr>
                <w:rFonts w:hint="eastAsia" w:ascii="Dialog" w:hAnsi="Dialog"/>
                <w:sz w:val="32"/>
              </w:rPr>
              <w:t>23、一般公共预算基本支出表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75" w:lineRule="exact"/>
              <w:ind w:left="20"/>
              <w:rPr>
                <w:rFonts w:hint="eastAsia" w:ascii="Dialog" w:hAnsi="Dialog"/>
                <w:color w:val="FF0000"/>
                <w:sz w:val="32"/>
              </w:rPr>
            </w:pPr>
            <w:r>
              <w:rPr>
                <w:rFonts w:hint="eastAsia" w:ascii="Dialog" w:hAnsi="Dialog"/>
                <w:color w:val="FF0000"/>
                <w:sz w:val="32"/>
              </w:rPr>
              <w:t>注：以上部门预算公开报表中，空表表示本部门无相关收支情况。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1530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1530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75" w:lineRule="exact"/>
              <w:ind w:left="20"/>
              <w:jc w:val="center"/>
              <w:rPr>
                <w:rFonts w:hint="eastAsia" w:ascii="Dialog" w:hAnsi="Dialog"/>
                <w:sz w:val="32"/>
              </w:rPr>
            </w:pPr>
            <w:r>
              <w:rPr>
                <w:rFonts w:hint="eastAsia" w:ascii="Dialog" w:hAnsi="Dialog"/>
                <w:sz w:val="32"/>
              </w:rPr>
              <w:t>第一部分  2024年部门预算说明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1530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75" w:lineRule="exact"/>
              <w:ind w:left="20"/>
              <w:rPr>
                <w:rFonts w:hint="eastAsia" w:ascii="Dialog" w:hAnsi="Dialog"/>
                <w:sz w:val="32"/>
              </w:rPr>
            </w:pPr>
            <w:r>
              <w:rPr>
                <w:rFonts w:hint="eastAsia" w:ascii="Dialog" w:hAnsi="Dialog"/>
                <w:sz w:val="32"/>
              </w:rPr>
              <w:t xml:space="preserve">  一、部门基本概况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75" w:lineRule="exact"/>
              <w:ind w:left="20"/>
              <w:rPr>
                <w:rFonts w:hint="eastAsia" w:ascii="宋体" w:hAnsi="宋体"/>
                <w:sz w:val="32"/>
              </w:rPr>
            </w:pPr>
            <w:r>
              <w:rPr>
                <w:rFonts w:hint="eastAsia" w:ascii="宋体" w:hAnsi="宋体"/>
                <w:sz w:val="32"/>
              </w:rPr>
              <w:t xml:space="preserve">  （一）职能职责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75" w:lineRule="exact"/>
              <w:ind w:left="20"/>
              <w:rPr>
                <w:rFonts w:hint="eastAsia" w:ascii="宋体" w:hAnsi="宋体"/>
                <w:sz w:val="32"/>
              </w:rPr>
            </w:pPr>
            <w:r>
              <w:rPr>
                <w:rFonts w:hint="eastAsia" w:ascii="宋体" w:hAnsi="宋体"/>
                <w:sz w:val="32"/>
              </w:rPr>
              <w:t xml:space="preserve">  </w:t>
            </w:r>
            <w:r>
              <w:rPr>
                <w:rFonts w:hint="eastAsia" w:ascii="宋体" w:hAnsi="宋体"/>
                <w:sz w:val="32"/>
                <w:lang w:val="en-US" w:eastAsia="zh-CN"/>
              </w:rPr>
              <w:t xml:space="preserve">  1、</w:t>
            </w:r>
            <w:r>
              <w:rPr>
                <w:rFonts w:hint="eastAsia" w:ascii="宋体" w:hAnsi="宋体"/>
                <w:sz w:val="32"/>
              </w:rPr>
              <w:t>团结、教育全市各族各界妇女以及各类妇女组织同党中央在思想上、政治上、行动上保持高度一致，引领广大妇女听党话、跟党走。</w:t>
            </w:r>
          </w:p>
          <w:p>
            <w:pPr>
              <w:spacing w:line="375" w:lineRule="exact"/>
              <w:ind w:left="20" w:firstLine="640" w:firstLineChars="200"/>
              <w:rPr>
                <w:rFonts w:hint="eastAsia" w:ascii="宋体" w:hAnsi="宋体"/>
                <w:sz w:val="32"/>
              </w:rPr>
            </w:pPr>
            <w:r>
              <w:rPr>
                <w:rFonts w:hint="eastAsia" w:ascii="宋体" w:hAnsi="宋体"/>
                <w:sz w:val="32"/>
                <w:lang w:val="en-US" w:eastAsia="zh-CN"/>
              </w:rPr>
              <w:t>2、</w:t>
            </w:r>
            <w:r>
              <w:rPr>
                <w:rFonts w:hint="eastAsia" w:ascii="宋体" w:hAnsi="宋体"/>
                <w:sz w:val="32"/>
              </w:rPr>
              <w:t>紧密围绕市委、市政府的中心任务开展工作，团结、动员和组织全市妇女投身改革开放和社会主义经济建设、政治建设、文化建设、社会建设和生态文明建设，在新时代中国特色社会主义伟大实践中发挥积极作用。</w:t>
            </w:r>
          </w:p>
          <w:p>
            <w:pPr>
              <w:spacing w:line="375" w:lineRule="exact"/>
              <w:ind w:left="20" w:firstLine="640" w:firstLineChars="200"/>
              <w:rPr>
                <w:rFonts w:hint="eastAsia" w:ascii="宋体" w:hAnsi="宋体"/>
                <w:sz w:val="32"/>
              </w:rPr>
            </w:pPr>
            <w:r>
              <w:rPr>
                <w:rFonts w:hint="eastAsia" w:ascii="宋体" w:hAnsi="宋体"/>
                <w:sz w:val="32"/>
                <w:lang w:val="en-US" w:eastAsia="zh-CN"/>
              </w:rPr>
              <w:t>3、</w:t>
            </w:r>
            <w:r>
              <w:rPr>
                <w:rFonts w:hint="eastAsia" w:ascii="宋体" w:hAnsi="宋体"/>
                <w:sz w:val="32"/>
              </w:rPr>
              <w:t>代表妇女参与国家和社会事务的民主决策、民主管理、民主监督，关注并加强研究涉及妇女儿童切身利益的热点、难点问题，及时向市委反映社情民意，提出对策建议；参与有关妇女儿童政策的研究与拟订，从源头上强化维护妇女儿童合法权益工作。扩大社会联动维权工作格局，协助有关部门或单位查处侵害妇女儿童权益的行为，为受侵害的妇女儿童提供帮助。</w:t>
            </w:r>
          </w:p>
          <w:p>
            <w:pPr>
              <w:spacing w:line="375" w:lineRule="exact"/>
              <w:ind w:left="20" w:firstLine="640" w:firstLineChars="200"/>
              <w:rPr>
                <w:rFonts w:hint="eastAsia" w:ascii="宋体" w:hAnsi="宋体"/>
                <w:sz w:val="32"/>
              </w:rPr>
            </w:pPr>
            <w:r>
              <w:rPr>
                <w:rFonts w:hint="eastAsia" w:ascii="宋体" w:hAnsi="宋体"/>
                <w:sz w:val="32"/>
                <w:lang w:val="en-US" w:eastAsia="zh-CN"/>
              </w:rPr>
              <w:t>4、</w:t>
            </w:r>
            <w:r>
              <w:rPr>
                <w:rFonts w:hint="eastAsia" w:ascii="宋体" w:hAnsi="宋体"/>
                <w:sz w:val="32"/>
              </w:rPr>
              <w:t>推动落实男女平等基本国策落实，营造有利于妇女全面发展的社会环境。教育和引导妇女践行社会主义核心价值观，发扬自尊、自信、自立、自强的精神，提高综合素质，实现全面发展。</w:t>
            </w:r>
          </w:p>
          <w:p>
            <w:pPr>
              <w:spacing w:line="375" w:lineRule="exact"/>
              <w:ind w:left="20" w:firstLine="640" w:firstLineChars="200"/>
              <w:rPr>
                <w:rFonts w:hint="eastAsia" w:ascii="宋体" w:hAnsi="宋体"/>
                <w:sz w:val="32"/>
              </w:rPr>
            </w:pPr>
            <w:r>
              <w:rPr>
                <w:rFonts w:hint="eastAsia" w:ascii="宋体" w:hAnsi="宋体"/>
                <w:sz w:val="32"/>
                <w:lang w:val="en-US" w:eastAsia="zh-CN"/>
              </w:rPr>
              <w:t>5、</w:t>
            </w:r>
            <w:r>
              <w:rPr>
                <w:rFonts w:hint="eastAsia" w:ascii="宋体" w:hAnsi="宋体"/>
                <w:sz w:val="32"/>
              </w:rPr>
              <w:t>坚持联系和服务妇女群众的工作生命线。关心妇女工作生活，拓宽服务渠道，建设服务阵地，发展公益事业，壮大巾帼志愿者队伍，加强妇女儿童之家建设。加强与女性社会组织和社会各界的联系，推动全社会为妇女儿童和家庭服务。</w:t>
            </w:r>
          </w:p>
          <w:p>
            <w:pPr>
              <w:spacing w:line="375" w:lineRule="exact"/>
              <w:ind w:firstLine="640" w:firstLineChars="200"/>
              <w:rPr>
                <w:rFonts w:hint="eastAsia" w:ascii="宋体" w:hAnsi="宋体"/>
                <w:sz w:val="32"/>
              </w:rPr>
            </w:pPr>
            <w:r>
              <w:rPr>
                <w:rFonts w:hint="eastAsia" w:ascii="宋体" w:hAnsi="宋体"/>
                <w:sz w:val="32"/>
                <w:lang w:val="en-US" w:eastAsia="zh-CN"/>
              </w:rPr>
              <w:t>6、</w:t>
            </w:r>
            <w:r>
              <w:rPr>
                <w:rFonts w:hint="eastAsia" w:ascii="宋体" w:hAnsi="宋体"/>
                <w:sz w:val="32"/>
              </w:rPr>
              <w:t>指导我市各级妇联依据《中华全国妇女联合会章程》和妇女代表大会的任务开展妇女工作，联系团体会员并给予工作指导。</w:t>
            </w:r>
          </w:p>
          <w:p>
            <w:pPr>
              <w:spacing w:line="375" w:lineRule="exact"/>
              <w:ind w:left="20" w:firstLine="640" w:firstLineChars="200"/>
              <w:rPr>
                <w:rFonts w:hint="eastAsia" w:ascii="宋体" w:hAnsi="宋体"/>
                <w:sz w:val="32"/>
              </w:rPr>
            </w:pPr>
            <w:r>
              <w:rPr>
                <w:rFonts w:hint="eastAsia" w:ascii="宋体" w:hAnsi="宋体"/>
                <w:sz w:val="32"/>
                <w:lang w:val="en-US" w:eastAsia="zh-CN"/>
              </w:rPr>
              <w:t>7、</w:t>
            </w:r>
            <w:r>
              <w:rPr>
                <w:rFonts w:hint="eastAsia" w:ascii="宋体" w:hAnsi="宋体"/>
                <w:sz w:val="32"/>
              </w:rPr>
              <w:t>创新家庭文明建设工作，弘扬家庭美德，培养良好家风，促进家庭和谐。</w:t>
            </w:r>
          </w:p>
          <w:p>
            <w:pPr>
              <w:spacing w:line="375" w:lineRule="exact"/>
              <w:ind w:left="20" w:firstLine="640" w:firstLineChars="200"/>
              <w:rPr>
                <w:rFonts w:hint="eastAsia" w:ascii="宋体" w:hAnsi="宋体"/>
                <w:sz w:val="32"/>
              </w:rPr>
            </w:pPr>
            <w:r>
              <w:rPr>
                <w:rFonts w:hint="eastAsia" w:ascii="宋体" w:hAnsi="宋体"/>
                <w:sz w:val="32"/>
                <w:lang w:val="en-US" w:eastAsia="zh-CN"/>
              </w:rPr>
              <w:t>8、</w:t>
            </w:r>
            <w:r>
              <w:rPr>
                <w:rFonts w:hint="eastAsia" w:ascii="宋体" w:hAnsi="宋体"/>
                <w:sz w:val="32"/>
              </w:rPr>
              <w:t>承担市妇女儿童工作委员会办公室的工作，推动落实妇女儿童发展规划各项目标任务。</w:t>
            </w:r>
          </w:p>
          <w:p>
            <w:pPr>
              <w:spacing w:line="375" w:lineRule="exact"/>
              <w:ind w:firstLine="640" w:firstLineChars="200"/>
              <w:rPr>
                <w:rFonts w:hint="eastAsia" w:ascii="宋体" w:hAnsi="宋体"/>
                <w:sz w:val="32"/>
                <w:lang w:eastAsia="zh-CN"/>
              </w:rPr>
            </w:pPr>
            <w:r>
              <w:rPr>
                <w:rFonts w:hint="eastAsia" w:ascii="宋体" w:hAnsi="宋体"/>
                <w:sz w:val="32"/>
                <w:lang w:val="en-US" w:eastAsia="zh-CN"/>
              </w:rPr>
              <w:t>9、</w:t>
            </w:r>
            <w:r>
              <w:rPr>
                <w:rFonts w:hint="eastAsia" w:ascii="宋体" w:hAnsi="宋体"/>
                <w:sz w:val="32"/>
              </w:rPr>
              <w:t>完成市委、市政府交办的其他事项。</w:t>
            </w:r>
          </w:p>
          <w:p>
            <w:pPr>
              <w:spacing w:line="375" w:lineRule="exact"/>
              <w:ind w:left="20"/>
              <w:rPr>
                <w:rFonts w:hint="eastAsia" w:ascii="宋体" w:hAnsi="宋体"/>
                <w:sz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75" w:lineRule="exact"/>
              <w:ind w:left="20"/>
              <w:rPr>
                <w:rFonts w:hint="eastAsia" w:ascii="宋体" w:hAnsi="宋体"/>
                <w:sz w:val="32"/>
              </w:rPr>
            </w:pPr>
            <w:r>
              <w:rPr>
                <w:rFonts w:hint="eastAsia" w:ascii="宋体" w:hAnsi="宋体"/>
                <w:sz w:val="32"/>
              </w:rPr>
              <w:t xml:space="preserve">  （二）机构设置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75" w:lineRule="exact"/>
              <w:ind w:left="20"/>
              <w:rPr>
                <w:rFonts w:hint="eastAsia" w:ascii="宋体" w:hAnsi="宋体"/>
                <w:sz w:val="32"/>
              </w:rPr>
            </w:pPr>
            <w:r>
              <w:rPr>
                <w:rFonts w:hint="eastAsia" w:ascii="宋体" w:hAnsi="宋体"/>
                <w:sz w:val="32"/>
              </w:rPr>
              <w:t xml:space="preserve">  </w:t>
            </w:r>
            <w:r>
              <w:rPr>
                <w:rFonts w:hint="eastAsia" w:ascii="宋体" w:hAnsi="宋体"/>
                <w:sz w:val="32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32"/>
              </w:rPr>
              <w:t>内设</w:t>
            </w:r>
            <w:r>
              <w:rPr>
                <w:rFonts w:hint="eastAsia" w:ascii="宋体" w:hAnsi="宋体"/>
                <w:sz w:val="32"/>
                <w:lang w:eastAsia="zh-CN"/>
              </w:rPr>
              <w:t>部</w:t>
            </w:r>
            <w:r>
              <w:rPr>
                <w:rFonts w:hint="eastAsia" w:ascii="宋体" w:hAnsi="宋体"/>
                <w:sz w:val="32"/>
              </w:rPr>
              <w:t>室（</w:t>
            </w:r>
            <w:r>
              <w:rPr>
                <w:rFonts w:hint="eastAsia" w:ascii="宋体" w:hAnsi="宋体"/>
                <w:sz w:val="32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32"/>
              </w:rPr>
              <w:t>个）：办公室、组织联络部</w:t>
            </w:r>
            <w:r>
              <w:rPr>
                <w:rFonts w:hint="eastAsia" w:ascii="宋体" w:hAnsi="宋体"/>
                <w:sz w:val="32"/>
                <w:lang w:val="en-US" w:eastAsia="zh-CN"/>
              </w:rPr>
              <w:t>(</w:t>
            </w:r>
            <w:r>
              <w:rPr>
                <w:rFonts w:hint="eastAsia" w:ascii="宋体" w:hAnsi="宋体"/>
                <w:sz w:val="32"/>
              </w:rPr>
              <w:t>宣传部</w:t>
            </w:r>
            <w:r>
              <w:rPr>
                <w:rFonts w:hint="eastAsia" w:ascii="宋体" w:hAnsi="宋体"/>
                <w:sz w:val="32"/>
                <w:lang w:val="en-US" w:eastAsia="zh-CN"/>
              </w:rPr>
              <w:t>)</w:t>
            </w:r>
            <w:r>
              <w:rPr>
                <w:rFonts w:hint="eastAsia" w:ascii="宋体" w:hAnsi="宋体"/>
                <w:sz w:val="32"/>
              </w:rPr>
              <w:t>、家庭和儿童工作部、权益部、妇女发展部，市政府妇女儿童工作委员会办公室设在妇联。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75" w:lineRule="exact"/>
              <w:ind w:left="20"/>
              <w:rPr>
                <w:rFonts w:hint="eastAsia" w:ascii="Dialog" w:hAnsi="Dialog"/>
                <w:sz w:val="32"/>
              </w:rPr>
            </w:pPr>
            <w:r>
              <w:rPr>
                <w:rFonts w:hint="eastAsia" w:ascii="Dialog" w:hAnsi="Dialog"/>
                <w:sz w:val="32"/>
              </w:rPr>
              <w:t xml:space="preserve">  二、部门预算构成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75" w:lineRule="exact"/>
              <w:ind w:left="20"/>
              <w:rPr>
                <w:rFonts w:hint="eastAsia" w:ascii="宋体" w:hAnsi="宋体"/>
                <w:sz w:val="32"/>
              </w:rPr>
            </w:pPr>
            <w:r>
              <w:rPr>
                <w:rFonts w:hint="eastAsia" w:ascii="宋体" w:hAnsi="宋体"/>
                <w:sz w:val="32"/>
              </w:rPr>
              <w:t xml:space="preserve">  本部门预算为汇总预算，纳入编制范围的预算单位包括：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75" w:lineRule="exact"/>
              <w:ind w:left="20"/>
              <w:rPr>
                <w:rFonts w:hint="eastAsia" w:ascii="宋体" w:hAnsi="宋体"/>
                <w:sz w:val="32"/>
              </w:rPr>
            </w:pPr>
            <w:r>
              <w:rPr>
                <w:rFonts w:hint="eastAsia" w:ascii="宋体" w:hAnsi="宋体"/>
                <w:sz w:val="32"/>
              </w:rPr>
              <w:t xml:space="preserve">    1、</w:t>
            </w:r>
            <w:r>
              <w:rPr>
                <w:rFonts w:hint="eastAsia" w:ascii="宋体" w:hAnsi="宋体"/>
                <w:sz w:val="32"/>
                <w:lang w:eastAsia="zh-CN"/>
              </w:rPr>
              <w:t>市妇联</w:t>
            </w:r>
            <w:r>
              <w:rPr>
                <w:rFonts w:hint="eastAsia" w:ascii="宋体" w:hAnsi="宋体"/>
                <w:sz w:val="32"/>
              </w:rPr>
              <w:t>本级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75" w:lineRule="exact"/>
              <w:rPr>
                <w:rFonts w:hint="eastAsia" w:ascii="宋体" w:hAnsi="宋体"/>
                <w:sz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75" w:lineRule="exact"/>
              <w:rPr>
                <w:rFonts w:hint="eastAsia" w:ascii="Dialog" w:hAnsi="Dialog"/>
                <w:sz w:val="32"/>
              </w:rPr>
            </w:pPr>
            <w:r>
              <w:rPr>
                <w:rFonts w:hint="eastAsia" w:ascii="Dialog" w:hAnsi="Dialog"/>
                <w:sz w:val="32"/>
                <w:lang w:val="en-US" w:eastAsia="zh-CN"/>
              </w:rPr>
              <w:t xml:space="preserve">  </w:t>
            </w:r>
            <w:r>
              <w:rPr>
                <w:rFonts w:hint="eastAsia" w:ascii="Dialog" w:hAnsi="Dialog"/>
                <w:sz w:val="32"/>
              </w:rPr>
              <w:t>三、部门收支总体情况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75" w:lineRule="exact"/>
              <w:ind w:left="20"/>
              <w:rPr>
                <w:rFonts w:hint="eastAsia" w:ascii="宋体" w:hAnsi="宋体"/>
                <w:sz w:val="32"/>
              </w:rPr>
            </w:pPr>
            <w:r>
              <w:rPr>
                <w:rFonts w:hint="eastAsia" w:ascii="宋体" w:hAnsi="宋体"/>
                <w:sz w:val="32"/>
              </w:rPr>
              <w:t xml:space="preserve">  本部门2024年没有政府性基金预算拨款、国有资本经营预算收入和纳入专户管理的非税收入拨款收入，也没有使用政府性基金预算拨款、国有资本经营预算收入和纳入专户管理的非税收入拨款安排的支出，所以公开的附件15、16、17、18、19表均为空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75" w:lineRule="exact"/>
              <w:ind w:left="20"/>
              <w:rPr>
                <w:rFonts w:hint="eastAsia" w:ascii="Dialog" w:hAnsi="Dialog"/>
                <w:sz w:val="32"/>
              </w:rPr>
            </w:pPr>
            <w:r>
              <w:rPr>
                <w:rFonts w:hint="eastAsia" w:ascii="Dialog" w:hAnsi="Dialog"/>
                <w:sz w:val="32"/>
              </w:rPr>
              <w:t xml:space="preserve">  （一）收入预算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9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75" w:lineRule="exact"/>
              <w:ind w:left="20"/>
              <w:rPr>
                <w:rFonts w:hint="eastAsia" w:ascii="宋体" w:hAnsi="宋体"/>
                <w:sz w:val="32"/>
              </w:rPr>
            </w:pPr>
            <w:r>
              <w:rPr>
                <w:rFonts w:hint="eastAsia" w:ascii="宋体" w:hAnsi="宋体"/>
                <w:sz w:val="32"/>
              </w:rPr>
              <w:t xml:space="preserve">  包括一般公共预算、政府性基金、国有资本经营预算等财政拨款收入，以及经营收入、事业收入等单位资金。2024年度本部门收入预算254.57万元，其中，一般公共预算拨款254.57万元，政府性基金预算资金0.00万元(所以公开的附件17为空)，国有资本经营预算资金0.00万元(所以公开的附件18为空)，财政专户管理资金0.00万元(所以公开的附件19为空)，上级补助收入资金0.00万元，事业单位经营收入资金0.00万元，上年结转结余0.00万元。(数据来源见表2)本部门2024年收入较去年减少</w:t>
            </w:r>
            <w:r>
              <w:rPr>
                <w:rFonts w:hint="eastAsia" w:ascii="宋体" w:hAnsi="宋体"/>
                <w:sz w:val="32"/>
                <w:lang w:val="en-US" w:eastAsia="zh-CN"/>
              </w:rPr>
              <w:t>19.13</w:t>
            </w:r>
            <w:r>
              <w:rPr>
                <w:rFonts w:hint="eastAsia" w:ascii="宋体" w:hAnsi="宋体"/>
                <w:sz w:val="32"/>
              </w:rPr>
              <w:t>万元，主要是因为</w:t>
            </w:r>
            <w:r>
              <w:rPr>
                <w:rFonts w:hint="eastAsia" w:ascii="宋体" w:hAnsi="宋体"/>
                <w:sz w:val="32"/>
                <w:lang w:eastAsia="zh-CN"/>
              </w:rPr>
              <w:t>人员类项目支出有所减少。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75" w:lineRule="exact"/>
              <w:ind w:left="20"/>
              <w:rPr>
                <w:rFonts w:hint="eastAsia" w:ascii="Dialog" w:hAnsi="Dialog"/>
                <w:sz w:val="32"/>
              </w:rPr>
            </w:pPr>
            <w:r>
              <w:rPr>
                <w:rFonts w:hint="eastAsia" w:ascii="Dialog" w:hAnsi="Dialog"/>
                <w:sz w:val="32"/>
              </w:rPr>
              <w:t xml:space="preserve">  （二）支出预算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75" w:lineRule="exact"/>
              <w:ind w:left="20"/>
              <w:rPr>
                <w:rFonts w:hint="eastAsia" w:ascii="宋体" w:hAnsi="宋体"/>
                <w:sz w:val="32"/>
              </w:rPr>
            </w:pPr>
            <w:r>
              <w:rPr>
                <w:rFonts w:hint="eastAsia" w:ascii="宋体" w:hAnsi="宋体"/>
                <w:sz w:val="32"/>
              </w:rPr>
              <w:t xml:space="preserve">  2024年本部门支出预算254.57万元，其中，201一般公共服务支出186.13万元，208社会保障和就业支出51.04万元，210卫生健康支出3.63万元，221住房保障支出13.79万元，支出较去年减少</w:t>
            </w:r>
            <w:r>
              <w:rPr>
                <w:rFonts w:hint="eastAsia" w:ascii="宋体" w:hAnsi="宋体"/>
                <w:sz w:val="32"/>
                <w:lang w:val="en-US" w:eastAsia="zh-CN"/>
              </w:rPr>
              <w:t>19.13</w:t>
            </w:r>
            <w:r>
              <w:rPr>
                <w:rFonts w:hint="eastAsia" w:ascii="宋体" w:hAnsi="宋体"/>
                <w:sz w:val="32"/>
              </w:rPr>
              <w:t>万元，主要是因为</w:t>
            </w:r>
            <w:r>
              <w:rPr>
                <w:rFonts w:hint="eastAsia" w:ascii="宋体" w:hAnsi="宋体"/>
                <w:sz w:val="32"/>
                <w:lang w:eastAsia="zh-CN"/>
              </w:rPr>
              <w:t>人员类项目支出有所减少。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75" w:lineRule="exact"/>
              <w:ind w:left="20"/>
              <w:rPr>
                <w:rFonts w:hint="eastAsia" w:ascii="Dialog" w:hAnsi="Dialog"/>
                <w:sz w:val="32"/>
              </w:rPr>
            </w:pPr>
            <w:r>
              <w:rPr>
                <w:rFonts w:hint="eastAsia" w:ascii="Dialog" w:hAnsi="Dialog"/>
                <w:sz w:val="32"/>
              </w:rPr>
              <w:t xml:space="preserve">  四、一般公共预算拨款支出预算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75" w:lineRule="exact"/>
              <w:ind w:left="20"/>
              <w:rPr>
                <w:rFonts w:hint="eastAsia" w:ascii="宋体" w:hAnsi="宋体"/>
                <w:sz w:val="32"/>
              </w:rPr>
            </w:pPr>
            <w:r>
              <w:rPr>
                <w:rFonts w:hint="eastAsia" w:ascii="宋体" w:hAnsi="宋体"/>
                <w:sz w:val="32"/>
              </w:rPr>
              <w:t xml:space="preserve">  2024年一般公共预算拨款支出预算254.57万元，其中，201一般公共服务支出186.13万元，占73.11%；208社会保障和就业支出51.04万元，占20.05%；210卫生健康支出3.63万元，占1.42%；221住房保障支出13.79万元，占5.42%；具体安排情况如下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75" w:lineRule="exact"/>
              <w:ind w:left="20"/>
              <w:rPr>
                <w:rFonts w:hint="eastAsia" w:ascii="宋体" w:hAnsi="宋体"/>
                <w:sz w:val="32"/>
              </w:rPr>
            </w:pPr>
            <w:r>
              <w:rPr>
                <w:rFonts w:hint="eastAsia" w:ascii="宋体" w:hAnsi="宋体"/>
                <w:sz w:val="32"/>
              </w:rPr>
              <w:t xml:space="preserve">  （一）基本支出：2024年基本支出年初预算数为244.57万元（数据来源见表23），是指为保障单位机构正常运转、完成日常工作任务而发生的各项支出，包括用于基本工资、津贴补贴等人员经费以及办公费、印刷费、水电费、差旅费等日常公用经费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75" w:lineRule="exact"/>
              <w:ind w:left="20"/>
              <w:rPr>
                <w:rFonts w:hint="eastAsia" w:ascii="宋体" w:hAnsi="宋体"/>
                <w:sz w:val="32"/>
              </w:rPr>
            </w:pPr>
            <w:r>
              <w:rPr>
                <w:rFonts w:hint="eastAsia" w:ascii="宋体" w:hAnsi="宋体"/>
                <w:sz w:val="32"/>
              </w:rPr>
              <w:t xml:space="preserve">  （二）项目支出：2024年项目支出年初预算数为10.00万元（数据来源见表20），是指部门为完成特定行政工作任务或事业发展目标而发生的支出，包括有关业务工作经费、运行维护经费、其他事业发展资金等。其中：妇儿工委专项工作经费专项支出5.00万元，主要用于</w:t>
            </w:r>
            <w:r>
              <w:rPr>
                <w:rFonts w:hint="eastAsia" w:ascii="宋体" w:hAnsi="宋体"/>
                <w:sz w:val="32"/>
                <w:lang w:val="en-US" w:eastAsia="zh-CN"/>
              </w:rPr>
              <w:t>妇女儿童发展纲要规划的落实及普及、相关会议的召开、保障妇女儿童发展等工作等</w:t>
            </w:r>
            <w:r>
              <w:rPr>
                <w:rFonts w:hint="eastAsia" w:ascii="宋体" w:hAnsi="宋体"/>
                <w:sz w:val="32"/>
              </w:rPr>
              <w:t>方面,信访维权专项工作经费专项支出5.00万元，主要用于</w:t>
            </w:r>
            <w:r>
              <w:rPr>
                <w:rFonts w:hint="eastAsia" w:ascii="宋体" w:hAnsi="宋体"/>
                <w:sz w:val="32"/>
                <w:lang w:val="en-US" w:eastAsia="zh-CN"/>
              </w:rPr>
              <w:t>妇女儿童维权、婚姻调解、反家暴、普法宣传、律师咨询等</w:t>
            </w:r>
            <w:r>
              <w:rPr>
                <w:rFonts w:hint="eastAsia" w:ascii="宋体" w:hAnsi="宋体"/>
                <w:sz w:val="32"/>
              </w:rPr>
              <w:t>方面。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75" w:lineRule="exact"/>
              <w:ind w:left="20"/>
              <w:rPr>
                <w:rFonts w:hint="eastAsia" w:ascii="Dialog" w:hAnsi="Dialog"/>
                <w:sz w:val="32"/>
              </w:rPr>
            </w:pPr>
            <w:r>
              <w:rPr>
                <w:rFonts w:hint="eastAsia" w:ascii="Dialog" w:hAnsi="Dialog"/>
                <w:sz w:val="32"/>
              </w:rPr>
              <w:t xml:space="preserve">  五、政府性基金预算支出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75" w:lineRule="exact"/>
              <w:ind w:left="20"/>
              <w:rPr>
                <w:rFonts w:hint="eastAsia" w:ascii="宋体" w:hAnsi="宋体"/>
                <w:sz w:val="32"/>
              </w:rPr>
            </w:pPr>
            <w:r>
              <w:rPr>
                <w:rFonts w:hint="eastAsia" w:ascii="宋体" w:hAnsi="宋体"/>
                <w:sz w:val="32"/>
              </w:rPr>
              <w:t xml:space="preserve">  2024年度本部门无政府性基金安排的支出，所以公开的附件15-17（政府性基金预算）为空。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75" w:lineRule="exact"/>
              <w:ind w:left="20"/>
              <w:rPr>
                <w:rFonts w:hint="eastAsia" w:ascii="Dialog" w:hAnsi="Dialog"/>
                <w:sz w:val="32"/>
              </w:rPr>
            </w:pPr>
            <w:r>
              <w:rPr>
                <w:rFonts w:hint="eastAsia" w:ascii="Dialog" w:hAnsi="Dialog"/>
                <w:sz w:val="32"/>
              </w:rPr>
              <w:t xml:space="preserve">  六、其他重要事项的情况说明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75" w:lineRule="exact"/>
              <w:ind w:left="20"/>
              <w:rPr>
                <w:rFonts w:hint="eastAsia" w:ascii="Dialog" w:hAnsi="Dialog"/>
                <w:sz w:val="32"/>
              </w:rPr>
            </w:pPr>
            <w:r>
              <w:rPr>
                <w:rFonts w:hint="eastAsia" w:ascii="Dialog" w:hAnsi="Dialog"/>
                <w:sz w:val="32"/>
              </w:rPr>
              <w:t xml:space="preserve">  （一）机关运行经费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75" w:lineRule="exact"/>
              <w:ind w:left="20"/>
              <w:rPr>
                <w:rFonts w:hint="eastAsia" w:ascii="宋体" w:hAnsi="宋体"/>
                <w:sz w:val="32"/>
              </w:rPr>
            </w:pPr>
            <w:r>
              <w:rPr>
                <w:rFonts w:hint="eastAsia" w:ascii="宋体" w:hAnsi="宋体"/>
                <w:sz w:val="32"/>
              </w:rPr>
              <w:t xml:space="preserve">  本部门2024年机关运行经费当年一般公共预算拨款38.17万元（数据来源见表12），比上一年减少</w:t>
            </w:r>
            <w:r>
              <w:rPr>
                <w:rFonts w:hint="eastAsia" w:ascii="宋体" w:hAnsi="宋体"/>
                <w:sz w:val="32"/>
                <w:lang w:val="en-US" w:eastAsia="zh-CN"/>
              </w:rPr>
              <w:t>4.08</w:t>
            </w:r>
            <w:r>
              <w:rPr>
                <w:rFonts w:hint="eastAsia" w:ascii="宋体" w:hAnsi="宋体"/>
                <w:sz w:val="32"/>
              </w:rPr>
              <w:t>万元，降低</w:t>
            </w:r>
            <w:r>
              <w:rPr>
                <w:rFonts w:hint="eastAsia" w:ascii="宋体" w:hAnsi="宋体"/>
                <w:sz w:val="32"/>
                <w:lang w:val="en-US" w:eastAsia="zh-CN"/>
              </w:rPr>
              <w:t>9.66</w:t>
            </w:r>
            <w:r>
              <w:rPr>
                <w:rFonts w:hint="eastAsia" w:ascii="宋体" w:hAnsi="宋体"/>
                <w:sz w:val="32"/>
              </w:rPr>
              <w:t>%。主要原因是</w:t>
            </w:r>
            <w:r>
              <w:rPr>
                <w:rFonts w:hint="eastAsia" w:ascii="宋体" w:hAnsi="宋体"/>
                <w:sz w:val="32"/>
                <w:lang w:eastAsia="zh-CN"/>
              </w:rPr>
              <w:t>人员减少公用经费。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75" w:lineRule="exact"/>
              <w:ind w:left="20"/>
              <w:rPr>
                <w:rFonts w:hint="eastAsia" w:ascii="Dialog" w:hAnsi="Dialog"/>
                <w:sz w:val="32"/>
              </w:rPr>
            </w:pPr>
            <w:r>
              <w:rPr>
                <w:rFonts w:hint="eastAsia" w:ascii="Dialog" w:hAnsi="Dialog"/>
                <w:sz w:val="32"/>
              </w:rPr>
              <w:t xml:space="preserve">  （二）“三公”经费预算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75" w:lineRule="exact"/>
              <w:ind w:left="20"/>
              <w:rPr>
                <w:rFonts w:hint="eastAsia" w:ascii="宋体" w:hAnsi="宋体"/>
                <w:sz w:val="32"/>
              </w:rPr>
            </w:pPr>
            <w:r>
              <w:rPr>
                <w:rFonts w:hint="eastAsia" w:ascii="宋体" w:hAnsi="宋体"/>
                <w:sz w:val="32"/>
              </w:rPr>
              <w:t xml:space="preserve">  本部门2024年“三公”经费预算数3.50万元（数据来源见表14），其中，公务接待费0.50万元，因公出国（境）费0.00万元，公务用车购置及运行费3.00万元（其中，公务用车购置费0.00万元，公务用车运行费3.00万元）。2024年三公经费预算较上年增加</w:t>
            </w:r>
            <w:r>
              <w:rPr>
                <w:rFonts w:hint="eastAsia" w:ascii="宋体" w:hAnsi="宋体"/>
                <w:sz w:val="32"/>
                <w:lang w:val="en-US" w:eastAsia="zh-CN"/>
              </w:rPr>
              <w:t>0.2</w:t>
            </w:r>
            <w:r>
              <w:rPr>
                <w:rFonts w:hint="eastAsia" w:ascii="宋体" w:hAnsi="宋体"/>
                <w:sz w:val="32"/>
              </w:rPr>
              <w:t>万元，主要原因是</w:t>
            </w:r>
            <w:r>
              <w:rPr>
                <w:rFonts w:hint="eastAsia" w:ascii="宋体" w:hAnsi="宋体"/>
                <w:sz w:val="32"/>
                <w:lang w:eastAsia="zh-CN"/>
              </w:rPr>
              <w:t>为完成上级检查调研及开展相关活动，增加了公务接待费预算。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75" w:lineRule="exact"/>
              <w:ind w:left="20"/>
              <w:rPr>
                <w:rFonts w:hint="eastAsia" w:ascii="Dialog" w:hAnsi="Dialog"/>
                <w:sz w:val="32"/>
              </w:rPr>
            </w:pPr>
            <w:r>
              <w:rPr>
                <w:rFonts w:hint="eastAsia" w:ascii="Dialog" w:hAnsi="Dialog"/>
                <w:sz w:val="32"/>
              </w:rPr>
              <w:t xml:space="preserve">  （三）一般性支出情况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75" w:lineRule="exact"/>
              <w:ind w:left="20"/>
              <w:rPr>
                <w:rFonts w:hint="eastAsia" w:ascii="宋体" w:hAnsi="宋体"/>
                <w:sz w:val="32"/>
              </w:rPr>
            </w:pPr>
            <w:r>
              <w:rPr>
                <w:rFonts w:hint="eastAsia" w:ascii="宋体" w:hAnsi="宋体"/>
                <w:sz w:val="32"/>
              </w:rPr>
              <w:t xml:space="preserve">  本部门2024年会议费预算1.00万元（数据来源见表13会议费、培训费），拟召开</w:t>
            </w:r>
            <w:r>
              <w:rPr>
                <w:rFonts w:hint="eastAsia" w:ascii="宋体" w:hAnsi="宋体"/>
                <w:sz w:val="32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32"/>
              </w:rPr>
              <w:t>次会议，人数</w:t>
            </w:r>
            <w:r>
              <w:rPr>
                <w:rFonts w:hint="eastAsia" w:ascii="宋体" w:hAnsi="宋体"/>
                <w:sz w:val="32"/>
                <w:lang w:val="en-US" w:eastAsia="zh-CN"/>
              </w:rPr>
              <w:t>70</w:t>
            </w:r>
            <w:r>
              <w:rPr>
                <w:rFonts w:hint="eastAsia" w:ascii="宋体" w:hAnsi="宋体"/>
                <w:sz w:val="32"/>
              </w:rPr>
              <w:t>人，内容为</w:t>
            </w:r>
            <w:r>
              <w:rPr>
                <w:rFonts w:hint="eastAsia" w:ascii="宋体" w:hAnsi="宋体"/>
                <w:sz w:val="32"/>
                <w:lang w:eastAsia="zh-CN"/>
              </w:rPr>
              <w:t>妇女儿童相关工作</w:t>
            </w:r>
            <w:r>
              <w:rPr>
                <w:rFonts w:hint="eastAsia" w:ascii="宋体" w:hAnsi="宋体"/>
                <w:sz w:val="32"/>
              </w:rPr>
              <w:t>；培训费预算0.50万元，拟开展</w:t>
            </w:r>
            <w:r>
              <w:rPr>
                <w:rFonts w:hint="eastAsia" w:ascii="宋体" w:hAnsi="宋体"/>
                <w:sz w:val="32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32"/>
              </w:rPr>
              <w:t>次培训，人数</w:t>
            </w:r>
            <w:r>
              <w:rPr>
                <w:rFonts w:hint="eastAsia" w:ascii="宋体" w:hAnsi="宋体"/>
                <w:sz w:val="32"/>
                <w:lang w:val="en-US" w:eastAsia="zh-CN"/>
              </w:rPr>
              <w:t>50</w:t>
            </w:r>
            <w:r>
              <w:rPr>
                <w:rFonts w:hint="eastAsia" w:ascii="宋体" w:hAnsi="宋体"/>
                <w:sz w:val="32"/>
              </w:rPr>
              <w:t>人，内容为</w:t>
            </w:r>
            <w:r>
              <w:rPr>
                <w:rFonts w:hint="eastAsia" w:ascii="宋体" w:hAnsi="宋体"/>
                <w:sz w:val="32"/>
                <w:lang w:eastAsia="zh-CN"/>
              </w:rPr>
              <w:t>基层妇联干部业务培训</w:t>
            </w:r>
            <w:r>
              <w:rPr>
                <w:rFonts w:hint="eastAsia" w:ascii="宋体" w:hAnsi="宋体"/>
                <w:sz w:val="32"/>
              </w:rPr>
              <w:t>；2024年度本部门未计划举办节庆、晚会、论坛、赛事活动。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75" w:lineRule="exact"/>
              <w:ind w:left="20"/>
              <w:rPr>
                <w:rFonts w:hint="eastAsia" w:ascii="Dialog" w:hAnsi="Dialog"/>
                <w:sz w:val="32"/>
              </w:rPr>
            </w:pPr>
            <w:r>
              <w:rPr>
                <w:rFonts w:hint="eastAsia" w:ascii="Dialog" w:hAnsi="Dialog"/>
                <w:sz w:val="32"/>
              </w:rPr>
              <w:t xml:space="preserve">  （四）政府采购情况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75" w:lineRule="exact"/>
              <w:ind w:left="20"/>
              <w:rPr>
                <w:rFonts w:hint="eastAsia" w:ascii="宋体" w:hAnsi="宋体"/>
                <w:sz w:val="32"/>
              </w:rPr>
            </w:pPr>
            <w:r>
              <w:rPr>
                <w:rFonts w:hint="eastAsia" w:ascii="宋体" w:hAnsi="宋体"/>
                <w:sz w:val="32"/>
              </w:rPr>
              <w:t xml:space="preserve">  本部门2024年政府采购预算总额</w:t>
            </w:r>
            <w:r>
              <w:rPr>
                <w:rFonts w:hint="eastAsia" w:ascii="宋体" w:hAnsi="宋体"/>
                <w:sz w:val="32"/>
                <w:lang w:val="en-US" w:eastAsia="zh-CN"/>
              </w:rPr>
              <w:t>840.48</w:t>
            </w:r>
            <w:r>
              <w:rPr>
                <w:rFonts w:hint="eastAsia" w:ascii="宋体" w:hAnsi="宋体"/>
                <w:sz w:val="32"/>
              </w:rPr>
              <w:t>万元，其中工程类</w:t>
            </w:r>
            <w:r>
              <w:rPr>
                <w:rFonts w:hint="eastAsia" w:ascii="宋体" w:hAnsi="宋体"/>
                <w:sz w:val="32"/>
                <w:lang w:val="en-US" w:eastAsia="zh-CN"/>
              </w:rPr>
              <w:t>680</w:t>
            </w:r>
            <w:r>
              <w:rPr>
                <w:rFonts w:hint="eastAsia" w:ascii="宋体" w:hAnsi="宋体"/>
                <w:sz w:val="32"/>
              </w:rPr>
              <w:t>万元，货物类</w:t>
            </w:r>
            <w:r>
              <w:rPr>
                <w:rFonts w:hint="eastAsia" w:ascii="宋体" w:hAnsi="宋体"/>
                <w:sz w:val="32"/>
                <w:lang w:val="en-US" w:eastAsia="zh-CN"/>
              </w:rPr>
              <w:t>30</w:t>
            </w:r>
            <w:r>
              <w:rPr>
                <w:rFonts w:hint="eastAsia" w:ascii="宋体" w:hAnsi="宋体"/>
                <w:sz w:val="32"/>
              </w:rPr>
              <w:t>万元，服务</w:t>
            </w:r>
            <w:r>
              <w:rPr>
                <w:rFonts w:hint="eastAsia" w:ascii="宋体" w:hAnsi="宋体"/>
                <w:sz w:val="32"/>
                <w:lang w:val="en-US" w:eastAsia="zh-CN"/>
              </w:rPr>
              <w:t>130.48</w:t>
            </w:r>
            <w:r>
              <w:rPr>
                <w:rFonts w:hint="eastAsia" w:ascii="宋体" w:hAnsi="宋体"/>
                <w:sz w:val="32"/>
              </w:rPr>
              <w:t>万元。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75" w:lineRule="exact"/>
              <w:ind w:left="20"/>
              <w:rPr>
                <w:rFonts w:hint="eastAsia" w:ascii="Dialog" w:hAnsi="Dialog"/>
                <w:sz w:val="32"/>
              </w:rPr>
            </w:pPr>
            <w:r>
              <w:rPr>
                <w:rFonts w:hint="eastAsia" w:ascii="Dialog" w:hAnsi="Dialog"/>
                <w:sz w:val="32"/>
              </w:rPr>
              <w:t xml:space="preserve">  （五）国有资产占有使用及新增资产配置情况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75" w:lineRule="exact"/>
              <w:ind w:left="20"/>
              <w:rPr>
                <w:rFonts w:hint="eastAsia" w:ascii="宋体" w:hAnsi="宋体"/>
                <w:sz w:val="32"/>
              </w:rPr>
            </w:pPr>
            <w:r>
              <w:rPr>
                <w:rFonts w:hint="eastAsia" w:ascii="宋体" w:hAnsi="宋体"/>
                <w:sz w:val="32"/>
              </w:rPr>
              <w:t xml:space="preserve"> 截至上年底，本部门共有车辆</w:t>
            </w:r>
            <w:r>
              <w:rPr>
                <w:rFonts w:hint="eastAsia" w:ascii="宋体" w:hAnsi="宋体"/>
                <w:sz w:val="32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32"/>
              </w:rPr>
              <w:t>辆，其中领导干部用车</w:t>
            </w:r>
            <w:r>
              <w:rPr>
                <w:rFonts w:hint="eastAsia" w:ascii="宋体" w:hAnsi="宋体"/>
                <w:sz w:val="32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32"/>
              </w:rPr>
              <w:t>辆，一般公务用车</w:t>
            </w:r>
            <w:r>
              <w:rPr>
                <w:rFonts w:hint="eastAsia" w:ascii="宋体" w:hAnsi="宋体"/>
                <w:sz w:val="32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32"/>
              </w:rPr>
              <w:t>辆，其他用车</w:t>
            </w:r>
            <w:r>
              <w:rPr>
                <w:rFonts w:hint="eastAsia" w:ascii="宋体" w:hAnsi="宋体"/>
                <w:sz w:val="32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32"/>
              </w:rPr>
              <w:t>辆。单位价值50万元以上通用设备</w:t>
            </w:r>
            <w:r>
              <w:rPr>
                <w:rFonts w:hint="eastAsia" w:ascii="宋体" w:hAnsi="宋体"/>
                <w:sz w:val="32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32"/>
              </w:rPr>
              <w:t>台，单位价值100万元以上专用设备</w:t>
            </w:r>
            <w:r>
              <w:rPr>
                <w:rFonts w:hint="eastAsia" w:ascii="宋体" w:hAnsi="宋体"/>
                <w:sz w:val="32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32"/>
              </w:rPr>
              <w:t xml:space="preserve">台。 </w:t>
            </w:r>
          </w:p>
          <w:p>
            <w:pPr>
              <w:spacing w:line="375" w:lineRule="exact"/>
              <w:ind w:left="20"/>
              <w:rPr>
                <w:rFonts w:hint="eastAsia" w:ascii="宋体" w:hAnsi="宋体"/>
                <w:sz w:val="32"/>
              </w:rPr>
            </w:pPr>
            <w:r>
              <w:rPr>
                <w:rFonts w:hint="eastAsia" w:ascii="宋体" w:hAnsi="宋体"/>
                <w:sz w:val="32"/>
              </w:rPr>
              <w:t xml:space="preserve">  202</w:t>
            </w:r>
            <w:r>
              <w:rPr>
                <w:rFonts w:hint="eastAsia" w:ascii="宋体" w:hAnsi="宋体"/>
                <w:sz w:val="32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32"/>
              </w:rPr>
              <w:t>年拟报废处置车辆</w:t>
            </w:r>
            <w:r>
              <w:rPr>
                <w:rFonts w:hint="eastAsia" w:ascii="宋体" w:hAnsi="宋体"/>
                <w:sz w:val="32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32"/>
              </w:rPr>
              <w:t>辆，其中：报废处置领导干部用车</w:t>
            </w:r>
            <w:r>
              <w:rPr>
                <w:rFonts w:hint="eastAsia" w:ascii="宋体" w:hAnsi="宋体"/>
                <w:sz w:val="32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32"/>
              </w:rPr>
              <w:t>辆，报废处置一般公务用车</w:t>
            </w:r>
            <w:r>
              <w:rPr>
                <w:rFonts w:hint="eastAsia" w:ascii="宋体" w:hAnsi="宋体"/>
                <w:sz w:val="32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32"/>
              </w:rPr>
              <w:t>辆，报废处置其他用车</w:t>
            </w:r>
            <w:r>
              <w:rPr>
                <w:rFonts w:hint="eastAsia" w:ascii="宋体" w:hAnsi="宋体"/>
                <w:sz w:val="32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32"/>
              </w:rPr>
              <w:t>辆，报废处置单位价值50万元以上通用设备</w:t>
            </w:r>
            <w:r>
              <w:rPr>
                <w:rFonts w:hint="eastAsia" w:ascii="宋体" w:hAnsi="宋体"/>
                <w:sz w:val="32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32"/>
              </w:rPr>
              <w:t>台，报废处置单位价值100万元以上通用设备</w:t>
            </w:r>
            <w:r>
              <w:rPr>
                <w:rFonts w:hint="eastAsia" w:ascii="宋体" w:hAnsi="宋体"/>
                <w:sz w:val="32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32"/>
              </w:rPr>
              <w:t>台。拟新增配置车辆</w:t>
            </w:r>
            <w:r>
              <w:rPr>
                <w:rFonts w:hint="eastAsia" w:ascii="宋体" w:hAnsi="宋体"/>
                <w:sz w:val="32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32"/>
              </w:rPr>
              <w:t>辆，其中领导干部用车</w:t>
            </w:r>
            <w:r>
              <w:rPr>
                <w:rFonts w:hint="eastAsia" w:ascii="宋体" w:hAnsi="宋体"/>
                <w:sz w:val="32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32"/>
              </w:rPr>
              <w:t>辆，一般公务用车</w:t>
            </w:r>
            <w:r>
              <w:rPr>
                <w:rFonts w:hint="eastAsia" w:ascii="宋体" w:hAnsi="宋体"/>
                <w:sz w:val="32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32"/>
              </w:rPr>
              <w:t>辆，其他用车</w:t>
            </w:r>
            <w:r>
              <w:rPr>
                <w:rFonts w:hint="eastAsia" w:ascii="宋体" w:hAnsi="宋体"/>
                <w:sz w:val="32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32"/>
              </w:rPr>
              <w:t>辆，主要用于</w:t>
            </w:r>
            <w:r>
              <w:rPr>
                <w:rFonts w:hint="eastAsia" w:ascii="宋体" w:hAnsi="宋体"/>
                <w:sz w:val="32"/>
                <w:lang w:eastAsia="zh-CN"/>
              </w:rPr>
              <w:t>保障日常公务活动</w:t>
            </w:r>
            <w:r>
              <w:rPr>
                <w:rFonts w:hint="eastAsia" w:ascii="宋体" w:hAnsi="宋体"/>
                <w:sz w:val="32"/>
              </w:rPr>
              <w:t>，资金来源为</w:t>
            </w:r>
            <w:r>
              <w:rPr>
                <w:rFonts w:hint="eastAsia" w:ascii="宋体" w:hAnsi="宋体"/>
                <w:sz w:val="32"/>
                <w:lang w:eastAsia="zh-CN"/>
              </w:rPr>
              <w:t>单位自筹</w:t>
            </w:r>
            <w:r>
              <w:rPr>
                <w:rFonts w:hint="eastAsia" w:ascii="宋体" w:hAnsi="宋体"/>
                <w:sz w:val="32"/>
              </w:rPr>
              <w:t>。</w:t>
            </w:r>
          </w:p>
          <w:p>
            <w:pPr>
              <w:spacing w:line="375" w:lineRule="exact"/>
              <w:ind w:left="20"/>
              <w:rPr>
                <w:rFonts w:hint="eastAsia" w:ascii="宋体" w:hAnsi="宋体"/>
                <w:sz w:val="32"/>
              </w:rPr>
            </w:pPr>
            <w:r>
              <w:rPr>
                <w:rFonts w:hint="eastAsia" w:ascii="宋体" w:hAnsi="宋体"/>
                <w:sz w:val="32"/>
              </w:rPr>
              <w:t xml:space="preserve">  202</w:t>
            </w:r>
            <w:r>
              <w:rPr>
                <w:rFonts w:hint="eastAsia" w:ascii="宋体" w:hAnsi="宋体"/>
                <w:sz w:val="32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32"/>
              </w:rPr>
              <w:t>年拟新增配备领导干部用车</w:t>
            </w:r>
            <w:r>
              <w:rPr>
                <w:rFonts w:hint="eastAsia" w:ascii="宋体" w:hAnsi="宋体"/>
                <w:sz w:val="32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32"/>
              </w:rPr>
              <w:t>辆，一般公务用车</w:t>
            </w:r>
            <w:r>
              <w:rPr>
                <w:rFonts w:hint="eastAsia" w:ascii="宋体" w:hAnsi="宋体"/>
                <w:sz w:val="32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32"/>
              </w:rPr>
              <w:t>辆，其他用车</w:t>
            </w:r>
            <w:r>
              <w:rPr>
                <w:rFonts w:hint="eastAsia" w:ascii="宋体" w:hAnsi="宋体"/>
                <w:sz w:val="32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32"/>
              </w:rPr>
              <w:t>辆，新增配备单位价值50万元以上通用设备</w:t>
            </w:r>
            <w:r>
              <w:rPr>
                <w:rFonts w:hint="eastAsia" w:ascii="宋体" w:hAnsi="宋体"/>
                <w:sz w:val="32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32"/>
              </w:rPr>
              <w:t>台，单位价值100万元以上专用设备</w:t>
            </w:r>
            <w:r>
              <w:rPr>
                <w:rFonts w:hint="eastAsia" w:ascii="宋体" w:hAnsi="宋体"/>
                <w:sz w:val="32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32"/>
              </w:rPr>
              <w:t>台。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75" w:lineRule="exact"/>
              <w:ind w:left="20"/>
              <w:rPr>
                <w:rFonts w:hint="eastAsia" w:ascii="Dialog" w:hAnsi="Dialog"/>
                <w:sz w:val="32"/>
              </w:rPr>
            </w:pPr>
            <w:r>
              <w:rPr>
                <w:rFonts w:hint="eastAsia" w:ascii="Dialog" w:hAnsi="Dialog"/>
                <w:sz w:val="32"/>
              </w:rPr>
              <w:t xml:space="preserve">  （六）预算绩效目标说明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75" w:lineRule="exact"/>
              <w:ind w:left="20"/>
              <w:rPr>
                <w:rFonts w:hint="eastAsia" w:ascii="宋体" w:hAnsi="宋体"/>
                <w:sz w:val="32"/>
              </w:rPr>
            </w:pPr>
            <w:r>
              <w:rPr>
                <w:rFonts w:hint="eastAsia" w:ascii="宋体" w:hAnsi="宋体"/>
                <w:sz w:val="32"/>
              </w:rPr>
              <w:t xml:space="preserve">    本部门所有支出实行绩效目标管理。纳入2024年部门整体支出绩效目标的金额为254.57万元，其中，基本支出244.57万元，项目支出10.00万元，详见文尾附表中部门预算公开表格的表21-22。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75" w:lineRule="exact"/>
              <w:ind w:left="20"/>
              <w:rPr>
                <w:rFonts w:hint="eastAsia" w:ascii="Dialog" w:hAnsi="Dialog"/>
                <w:sz w:val="32"/>
              </w:rPr>
            </w:pPr>
            <w:r>
              <w:rPr>
                <w:rFonts w:hint="eastAsia" w:ascii="Dialog" w:hAnsi="Dialog"/>
                <w:sz w:val="32"/>
              </w:rPr>
              <w:t xml:space="preserve">  七、名词解释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5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75" w:lineRule="exact"/>
              <w:ind w:left="20"/>
              <w:rPr>
                <w:rFonts w:hint="eastAsia" w:ascii="宋体" w:hAnsi="宋体"/>
                <w:sz w:val="32"/>
              </w:rPr>
            </w:pPr>
            <w:r>
              <w:rPr>
                <w:rFonts w:hint="eastAsia" w:ascii="宋体" w:hAnsi="宋体"/>
                <w:sz w:val="32"/>
              </w:rPr>
              <w:t xml:space="preserve">  1、机关运行经费：是指各部门的公用经费，包括办公及印刷费、邮电费、差旅费、会议费、福利费、日常维修费、专用资料及一般设备购置费、办公用房水电费、办公用房取暖费、办公用房物业管理费、公务用车运行维护费以及其他费用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5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75" w:lineRule="exact"/>
              <w:ind w:left="20"/>
              <w:rPr>
                <w:rFonts w:hint="eastAsia" w:ascii="宋体" w:hAnsi="宋体"/>
                <w:sz w:val="32"/>
              </w:rPr>
            </w:pPr>
            <w:r>
              <w:rPr>
                <w:rFonts w:hint="eastAsia" w:ascii="宋体" w:hAnsi="宋体"/>
                <w:sz w:val="32"/>
              </w:rPr>
              <w:t xml:space="preserve">  2、“三公”经费：纳入财政预算管理的“三公“经费，是指用一般公共预算拨款安排的公务接待费、公务用车购置及运行维护费和因公出国（境）费。其中，公务接待费反映部门按规定开支的各类公务接待支出；公务用车购置及运行费反映部门公务用车车辆购置支出（含车辆购置税），以及燃料费、维修费、保险费等支出；因公出国（境）费反映部门公务出国（境）的国际旅费、国外城市间交通费、食宿费等支出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1530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1530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1530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75" w:lineRule="exact"/>
              <w:ind w:left="20"/>
              <w:jc w:val="center"/>
              <w:rPr>
                <w:rFonts w:hint="eastAsia" w:ascii="Dialog" w:hAnsi="Dialog"/>
                <w:sz w:val="32"/>
              </w:rPr>
            </w:pPr>
            <w:r>
              <w:rPr>
                <w:rFonts w:hint="eastAsia" w:ascii="Dialog" w:hAnsi="Dialog"/>
                <w:sz w:val="32"/>
              </w:rPr>
              <w:t>第二部分  2024年部门预算公开表格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75" w:lineRule="exact"/>
              <w:ind w:left="20"/>
              <w:rPr>
                <w:rFonts w:hint="eastAsia" w:ascii="宋体" w:hAnsi="宋体"/>
                <w:sz w:val="32"/>
              </w:rPr>
            </w:pPr>
            <w:r>
              <w:rPr>
                <w:rFonts w:hint="eastAsia" w:ascii="宋体" w:hAnsi="宋体"/>
                <w:sz w:val="32"/>
              </w:rPr>
              <w:t>1、收支总表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75" w:lineRule="exact"/>
              <w:ind w:left="20"/>
              <w:rPr>
                <w:rFonts w:hint="eastAsia" w:ascii="宋体" w:hAnsi="宋体"/>
                <w:sz w:val="32"/>
              </w:rPr>
            </w:pPr>
            <w:r>
              <w:rPr>
                <w:rFonts w:hint="eastAsia" w:ascii="宋体" w:hAnsi="宋体"/>
                <w:sz w:val="32"/>
              </w:rPr>
              <w:t>2、收入总表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75" w:lineRule="exact"/>
              <w:ind w:left="20"/>
              <w:rPr>
                <w:rFonts w:hint="eastAsia" w:ascii="宋体" w:hAnsi="宋体"/>
                <w:sz w:val="32"/>
              </w:rPr>
            </w:pPr>
            <w:r>
              <w:rPr>
                <w:rFonts w:hint="eastAsia" w:ascii="宋体" w:hAnsi="宋体"/>
                <w:sz w:val="32"/>
              </w:rPr>
              <w:t>3、支出总表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75" w:lineRule="exact"/>
              <w:ind w:left="20"/>
              <w:rPr>
                <w:rFonts w:hint="eastAsia" w:ascii="宋体" w:hAnsi="宋体"/>
                <w:sz w:val="32"/>
              </w:rPr>
            </w:pPr>
            <w:r>
              <w:rPr>
                <w:rFonts w:hint="eastAsia" w:ascii="宋体" w:hAnsi="宋体"/>
                <w:sz w:val="32"/>
              </w:rPr>
              <w:t>4、支出预算分类汇总表（按政府预算经济分类）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75" w:lineRule="exact"/>
              <w:ind w:left="20"/>
              <w:rPr>
                <w:rFonts w:hint="eastAsia" w:ascii="宋体" w:hAnsi="宋体"/>
                <w:sz w:val="32"/>
              </w:rPr>
            </w:pPr>
            <w:r>
              <w:rPr>
                <w:rFonts w:hint="eastAsia" w:ascii="宋体" w:hAnsi="宋体"/>
                <w:sz w:val="32"/>
              </w:rPr>
              <w:t>5、支出预算分类汇总表（按部门预算经济分类）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75" w:lineRule="exact"/>
              <w:ind w:left="20"/>
              <w:rPr>
                <w:rFonts w:hint="eastAsia" w:ascii="宋体" w:hAnsi="宋体"/>
                <w:sz w:val="32"/>
              </w:rPr>
            </w:pPr>
            <w:r>
              <w:rPr>
                <w:rFonts w:hint="eastAsia" w:ascii="宋体" w:hAnsi="宋体"/>
                <w:sz w:val="32"/>
              </w:rPr>
              <w:t>6、财政拨款收支总表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75" w:lineRule="exact"/>
              <w:ind w:left="20"/>
              <w:rPr>
                <w:rFonts w:hint="eastAsia" w:ascii="宋体" w:hAnsi="宋体"/>
                <w:sz w:val="32"/>
              </w:rPr>
            </w:pPr>
            <w:r>
              <w:rPr>
                <w:rFonts w:hint="eastAsia" w:ascii="宋体" w:hAnsi="宋体"/>
                <w:sz w:val="32"/>
              </w:rPr>
              <w:t>7、一般公共预算支出表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75" w:lineRule="exact"/>
              <w:ind w:left="20"/>
              <w:rPr>
                <w:rFonts w:hint="eastAsia" w:ascii="宋体" w:hAnsi="宋体"/>
                <w:sz w:val="32"/>
              </w:rPr>
            </w:pPr>
            <w:r>
              <w:rPr>
                <w:rFonts w:hint="eastAsia" w:ascii="宋体" w:hAnsi="宋体"/>
                <w:sz w:val="32"/>
              </w:rPr>
              <w:t>8、一般公共预算基本支出表-人员经费（工资福利支出）（按政府预算经济分类）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75" w:lineRule="exact"/>
              <w:ind w:left="20"/>
              <w:rPr>
                <w:rFonts w:hint="eastAsia" w:ascii="宋体" w:hAnsi="宋体"/>
                <w:sz w:val="32"/>
              </w:rPr>
            </w:pPr>
            <w:r>
              <w:rPr>
                <w:rFonts w:hint="eastAsia" w:ascii="宋体" w:hAnsi="宋体"/>
                <w:sz w:val="32"/>
              </w:rPr>
              <w:t>9、一般公共预算基本支出表-人员经费（工资福利支出）（按部门预算经济分类）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75" w:lineRule="exact"/>
              <w:ind w:left="20"/>
              <w:rPr>
                <w:rFonts w:hint="eastAsia" w:ascii="宋体" w:hAnsi="宋体"/>
                <w:sz w:val="32"/>
              </w:rPr>
            </w:pPr>
            <w:r>
              <w:rPr>
                <w:rFonts w:hint="eastAsia" w:ascii="宋体" w:hAnsi="宋体"/>
                <w:sz w:val="32"/>
              </w:rPr>
              <w:t>10、一般公共预算基本支出表-人员经费（对个人和家庭的补助）（按政府预算经济分类）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75" w:lineRule="exact"/>
              <w:ind w:left="20"/>
              <w:rPr>
                <w:rFonts w:hint="eastAsia" w:ascii="宋体" w:hAnsi="宋体"/>
                <w:sz w:val="32"/>
              </w:rPr>
            </w:pPr>
            <w:r>
              <w:rPr>
                <w:rFonts w:hint="eastAsia" w:ascii="宋体" w:hAnsi="宋体"/>
                <w:sz w:val="32"/>
              </w:rPr>
              <w:t>11、一般公共预算基本支出表-人员经费（对个人和家庭的补助）（按部门预算经济分类）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75" w:lineRule="exact"/>
              <w:ind w:left="20"/>
              <w:rPr>
                <w:rFonts w:hint="eastAsia" w:ascii="宋体" w:hAnsi="宋体"/>
                <w:sz w:val="32"/>
              </w:rPr>
            </w:pPr>
            <w:r>
              <w:rPr>
                <w:rFonts w:hint="eastAsia" w:ascii="宋体" w:hAnsi="宋体"/>
                <w:sz w:val="32"/>
              </w:rPr>
              <w:t>12、一般公共预算基本支出表-公用经费（商品和服务支出）（按政府预算经济分类）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75" w:lineRule="exact"/>
              <w:ind w:left="20"/>
              <w:rPr>
                <w:rFonts w:hint="eastAsia" w:ascii="宋体" w:hAnsi="宋体"/>
                <w:sz w:val="32"/>
              </w:rPr>
            </w:pPr>
            <w:r>
              <w:rPr>
                <w:rFonts w:hint="eastAsia" w:ascii="宋体" w:hAnsi="宋体"/>
                <w:sz w:val="32"/>
              </w:rPr>
              <w:t>13、一般公共预算基本支出表-公用经费（商品和服务支出）（按部门预算经济分类）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75" w:lineRule="exact"/>
              <w:ind w:left="20"/>
              <w:rPr>
                <w:rFonts w:hint="eastAsia" w:ascii="宋体" w:hAnsi="宋体"/>
                <w:sz w:val="32"/>
              </w:rPr>
            </w:pPr>
            <w:r>
              <w:rPr>
                <w:rFonts w:hint="eastAsia" w:ascii="宋体" w:hAnsi="宋体"/>
                <w:sz w:val="32"/>
              </w:rPr>
              <w:t>14、一般公共预算“三公”经费支出表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75" w:lineRule="exact"/>
              <w:ind w:left="20"/>
              <w:rPr>
                <w:rFonts w:hint="eastAsia" w:ascii="宋体" w:hAnsi="宋体"/>
                <w:sz w:val="32"/>
              </w:rPr>
            </w:pPr>
            <w:r>
              <w:rPr>
                <w:rFonts w:hint="eastAsia" w:ascii="宋体" w:hAnsi="宋体"/>
                <w:sz w:val="32"/>
              </w:rPr>
              <w:t>15、政府性基金预算支出表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75" w:lineRule="exact"/>
              <w:ind w:left="20"/>
              <w:rPr>
                <w:rFonts w:hint="eastAsia" w:ascii="宋体" w:hAnsi="宋体"/>
                <w:sz w:val="32"/>
              </w:rPr>
            </w:pPr>
            <w:r>
              <w:rPr>
                <w:rFonts w:hint="eastAsia" w:ascii="宋体" w:hAnsi="宋体"/>
                <w:sz w:val="32"/>
              </w:rPr>
              <w:t>16、政府性基金预算支出分类汇总表（按政府预算经济分类）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75" w:lineRule="exact"/>
              <w:ind w:left="20"/>
              <w:rPr>
                <w:rFonts w:hint="eastAsia" w:ascii="宋体" w:hAnsi="宋体"/>
                <w:sz w:val="32"/>
              </w:rPr>
            </w:pPr>
            <w:r>
              <w:rPr>
                <w:rFonts w:hint="eastAsia" w:ascii="宋体" w:hAnsi="宋体"/>
                <w:sz w:val="32"/>
              </w:rPr>
              <w:t>17、政府性基金预算支出分类汇总表（按部门预算经济分类）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75" w:lineRule="exact"/>
              <w:ind w:left="20"/>
              <w:rPr>
                <w:rFonts w:hint="eastAsia" w:ascii="宋体" w:hAnsi="宋体"/>
                <w:sz w:val="32"/>
              </w:rPr>
            </w:pPr>
            <w:r>
              <w:rPr>
                <w:rFonts w:hint="eastAsia" w:ascii="宋体" w:hAnsi="宋体"/>
                <w:sz w:val="32"/>
              </w:rPr>
              <w:t>18、国有资本经营预算支出表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75" w:lineRule="exact"/>
              <w:ind w:left="20"/>
              <w:rPr>
                <w:rFonts w:hint="eastAsia" w:ascii="宋体" w:hAnsi="宋体"/>
                <w:sz w:val="32"/>
              </w:rPr>
            </w:pPr>
            <w:r>
              <w:rPr>
                <w:rFonts w:hint="eastAsia" w:ascii="宋体" w:hAnsi="宋体"/>
                <w:sz w:val="32"/>
              </w:rPr>
              <w:t>19、财政专户管理资金预算支出表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75" w:lineRule="exact"/>
              <w:ind w:left="20"/>
              <w:rPr>
                <w:rFonts w:hint="eastAsia" w:ascii="宋体" w:hAnsi="宋体"/>
                <w:sz w:val="32"/>
              </w:rPr>
            </w:pPr>
            <w:r>
              <w:rPr>
                <w:rFonts w:hint="eastAsia" w:ascii="宋体" w:hAnsi="宋体"/>
                <w:sz w:val="32"/>
              </w:rPr>
              <w:t>20、专项资金预算汇总表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75" w:lineRule="exact"/>
              <w:ind w:left="20"/>
              <w:rPr>
                <w:rFonts w:hint="eastAsia" w:ascii="宋体" w:hAnsi="宋体"/>
                <w:sz w:val="32"/>
              </w:rPr>
            </w:pPr>
            <w:r>
              <w:rPr>
                <w:rFonts w:hint="eastAsia" w:ascii="宋体" w:hAnsi="宋体"/>
                <w:sz w:val="32"/>
              </w:rPr>
              <w:t>21、项目支出绩效目标表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75" w:lineRule="exact"/>
              <w:ind w:left="20"/>
              <w:rPr>
                <w:rFonts w:hint="eastAsia" w:ascii="宋体" w:hAnsi="宋体"/>
                <w:sz w:val="32"/>
              </w:rPr>
            </w:pPr>
            <w:r>
              <w:rPr>
                <w:rFonts w:hint="eastAsia" w:ascii="宋体" w:hAnsi="宋体"/>
                <w:sz w:val="32"/>
              </w:rPr>
              <w:t>22、部门整体支出绩效目标表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75" w:lineRule="exact"/>
              <w:ind w:left="20"/>
              <w:rPr>
                <w:rFonts w:hint="eastAsia" w:ascii="宋体" w:hAnsi="宋体"/>
                <w:sz w:val="32"/>
              </w:rPr>
            </w:pPr>
            <w:r>
              <w:rPr>
                <w:rFonts w:hint="eastAsia" w:ascii="宋体" w:hAnsi="宋体"/>
                <w:sz w:val="32"/>
              </w:rPr>
              <w:t>23、一般公共预算基本支出表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75" w:lineRule="exact"/>
              <w:ind w:left="20"/>
              <w:rPr>
                <w:rFonts w:hint="eastAsia" w:ascii="宋体" w:hAnsi="宋体"/>
                <w:color w:val="FF0000"/>
                <w:sz w:val="32"/>
              </w:rPr>
            </w:pPr>
            <w:r>
              <w:rPr>
                <w:rFonts w:hint="eastAsia" w:ascii="宋体" w:hAnsi="宋体"/>
                <w:b/>
                <w:color w:val="FF0000"/>
                <w:sz w:val="32"/>
              </w:rPr>
              <w:t>注：以上部门预算公开报表中，空表表示本部门无相关收支情况。</w:t>
            </w:r>
          </w:p>
        </w:tc>
      </w:tr>
    </w:tbl>
    <w:p>
      <w:pPr>
        <w:rPr>
          <w:rFonts w:hint="default"/>
          <w:sz w:val="24"/>
        </w:rPr>
      </w:pPr>
    </w:p>
    <w:sectPr>
      <w:pgSz w:w="18708" w:h="15840"/>
      <w:pgMar w:top="388" w:right="1080" w:bottom="388" w:left="1080" w:header="720" w:footer="720" w:gutter="0"/>
      <w:lnNumType w:countBy="0" w:distance="36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roman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roman"/>
    <w:pitch w:val="default"/>
    <w:sig w:usb0="80000287" w:usb1="2ACF3C50" w:usb2="00000016" w:usb3="00000000" w:csb0="0004001F" w:csb1="00000000"/>
  </w:font>
  <w:font w:name="Dialog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HorizontalSpacing w:val="120"/>
  <w:drawingGridVerticalSpacing w:val="120"/>
  <w:displayHorizontalDrawingGridEvery w:val="3"/>
  <w:displayVerticalDrawingGridEvery w:val="3"/>
  <w:doNotUseMarginsForDrawingGridOrigin w:val="1"/>
  <w:drawingGridHorizontalOrigin w:val="1701"/>
  <w:drawingGridVerticalOrigin w:val="1984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59E8307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iPriority="99" w:semiHidden="0" w:name="Normal"/>
    <w:lsdException w:uiPriority="99" w:semiHidden="0" w:name="heading 1"/>
    <w:lsdException w:uiPriority="99" w:semiHidden="0" w:name="heading 2"/>
    <w:lsdException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nhideWhenUsed="0" w:uiPriority="99" w:semiHidden="0" w:name="heading 6"/>
    <w:lsdException w:qFormat="1" w:unhideWhenUsed="0" w:uiPriority="99" w:semiHidden="0" w:name="heading 7"/>
    <w:lsdException w:qFormat="1" w:unhideWhenUsed="0" w:uiPriority="99" w:semiHidden="0" w:name="heading 8"/>
    <w:lsdException w:qFormat="1" w:unhideWhenUsed="0" w:uiPriority="99" w:semiHidden="0" w:name="heading 9"/>
    <w:lsdException w:qFormat="1" w:unhideWhenUsed="0" w:uiPriority="99" w:semiHidden="0" w:name="index 1"/>
    <w:lsdException w:qFormat="1" w:unhideWhenUsed="0" w:uiPriority="99" w:semiHidden="0" w:name="index 2"/>
    <w:lsdException w:qFormat="1" w:unhideWhenUsed="0" w:uiPriority="99" w:semiHidden="0" w:name="index 3"/>
    <w:lsdException w:qFormat="1" w:unhideWhenUsed="0" w:uiPriority="99" w:semiHidden="0" w:name="index 4"/>
    <w:lsdException w:qFormat="1" w:unhideWhenUsed="0" w:uiPriority="99" w:semiHidden="0" w:name="index 5"/>
    <w:lsdException w:qFormat="1" w:unhideWhenUsed="0" w:uiPriority="99" w:semiHidden="0" w:name="index 6"/>
    <w:lsdException w:qFormat="1" w:unhideWhenUsed="0" w:uiPriority="99" w:semiHidden="0" w:name="index 7"/>
    <w:lsdException w:qFormat="1" w:unhideWhenUsed="0" w:uiPriority="99" w:semiHidden="0" w:name="index 8"/>
    <w:lsdException w:qFormat="1" w:unhideWhenUsed="0" w:uiPriority="99" w:semiHidden="0" w:name="index 9"/>
    <w:lsdException w:qFormat="1" w:unhideWhenUsed="0" w:uiPriority="99" w:semiHidden="0" w:name="toc 1"/>
    <w:lsdException w:qFormat="1" w:unhideWhenUsed="0" w:uiPriority="99" w:semiHidden="0" w:name="toc 2"/>
    <w:lsdException w:qFormat="1" w:unhideWhenUsed="0" w:uiPriority="99" w:semiHidden="0" w:name="toc 3"/>
    <w:lsdException w:qFormat="1" w:unhideWhenUsed="0" w:uiPriority="99" w:semiHidden="0" w:name="toc 4"/>
    <w:lsdException w:qFormat="1" w:unhideWhenUsed="0" w:uiPriority="99" w:semiHidden="0" w:name="toc 5"/>
    <w:lsdException w:qFormat="1" w:unhideWhenUsed="0" w:uiPriority="99" w:semiHidden="0" w:name="toc 6"/>
    <w:lsdException w:qFormat="1" w:unhideWhenUsed="0" w:uiPriority="99" w:semiHidden="0" w:name="toc 7"/>
    <w:lsdException w:qFormat="1" w:unhideWhenUsed="0" w:uiPriority="99" w:semiHidden="0" w:name="toc 8"/>
    <w:lsdException w:qFormat="1" w:unhideWhenUsed="0" w:uiPriority="99" w:semiHidden="0" w:name="toc 9"/>
    <w:lsdException w:qFormat="1" w:unhideWhenUsed="0" w:uiPriority="99" w:semiHidden="0" w:name="Normal Indent"/>
    <w:lsdException w:qFormat="1" w:unhideWhenUsed="0" w:uiPriority="99" w:semiHidden="0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qFormat="1" w:unhideWhenUsed="0" w:uiPriority="99" w:semiHidden="0" w:name="index heading"/>
    <w:lsdException w:qFormat="1" w:unhideWhenUsed="0" w:uiPriority="99" w:semiHidden="0" w:name="caption"/>
    <w:lsdException w:qFormat="1" w:unhideWhenUsed="0" w:uiPriority="99" w:semiHidden="0" w:name="table of figures"/>
    <w:lsdException w:qFormat="1" w:unhideWhenUsed="0" w:uiPriority="99" w:semiHidden="0" w:name="envelope address"/>
    <w:lsdException w:qFormat="1" w:unhideWhenUsed="0" w:uiPriority="99" w:semiHidden="0" w:name="envelope return"/>
    <w:lsdException w:qFormat="1" w:unhideWhenUsed="0" w:uiPriority="99" w:semiHidden="0" w:name="footnote reference"/>
    <w:lsdException w:qFormat="1" w:unhideWhenUsed="0" w:uiPriority="99" w:semiHidden="0" w:name="annotation reference"/>
    <w:lsdException w:qFormat="1" w:unhideWhenUsed="0" w:uiPriority="99" w:semiHidden="0" w:name="line number"/>
    <w:lsdException w:qFormat="1" w:unhideWhenUsed="0" w:uiPriority="99" w:semiHidden="0" w:name="page number"/>
    <w:lsdException w:qFormat="1" w:unhideWhenUsed="0" w:uiPriority="99" w:semiHidden="0" w:name="endnote reference"/>
    <w:lsdException w:qFormat="1" w:unhideWhenUsed="0" w:uiPriority="99" w:semiHidden="0" w:name="endnote text"/>
    <w:lsdException w:qFormat="1" w:unhideWhenUsed="0" w:uiPriority="99" w:semiHidden="0" w:name="table of authorities"/>
    <w:lsdException w:qFormat="1" w:unhideWhenUsed="0" w:uiPriority="99" w:semiHidden="0" w:name="macro"/>
    <w:lsdException w:qFormat="1" w:uiPriority="99" w:semiHidden="0" w:name="toa heading"/>
    <w:lsdException w:qFormat="1" w:unhideWhenUsed="0" w:uiPriority="99" w:semiHidden="0" w:name="List"/>
    <w:lsdException w:qFormat="1" w:unhideWhenUsed="0" w:uiPriority="99" w:semiHidden="0" w:name="List Bullet"/>
    <w:lsdException w:qFormat="1" w:unhideWhenUsed="0" w:uiPriority="99" w:semiHidden="0" w:name="List Number"/>
    <w:lsdException w:qFormat="1" w:unhideWhenUsed="0" w:uiPriority="99" w:semiHidden="0" w:name="List 2"/>
    <w:lsdException w:qFormat="1" w:unhideWhenUsed="0" w:uiPriority="99" w:semiHidden="0" w:name="List 3"/>
    <w:lsdException w:qFormat="1" w:unhideWhenUsed="0" w:uiPriority="99" w:semiHidden="0" w:name="List 4"/>
    <w:lsdException w:qFormat="1" w:unhideWhenUsed="0" w:uiPriority="99" w:semiHidden="0" w:name="List 5"/>
    <w:lsdException w:qFormat="1" w:unhideWhenUsed="0" w:uiPriority="99" w:semiHidden="0" w:name="List Bullet 2"/>
    <w:lsdException w:qFormat="1" w:unhideWhenUsed="0" w:uiPriority="99" w:semiHidden="0" w:name="List Bullet 3"/>
    <w:lsdException w:qFormat="1" w:unhideWhenUsed="0" w:uiPriority="99" w:semiHidden="0" w:name="List Bullet 4"/>
    <w:lsdException w:qFormat="1" w:unhideWhenUsed="0" w:uiPriority="99" w:semiHidden="0" w:name="List Bullet 5"/>
    <w:lsdException w:qFormat="1" w:unhideWhenUsed="0" w:uiPriority="99" w:semiHidden="0" w:name="List Number 2"/>
    <w:lsdException w:qFormat="1" w:unhideWhenUsed="0" w:uiPriority="99" w:semiHidden="0" w:name="List Number 3"/>
    <w:lsdException w:qFormat="1" w:unhideWhenUsed="0" w:uiPriority="99" w:semiHidden="0" w:name="List Number 4"/>
    <w:lsdException w:qFormat="1" w:unhideWhenUsed="0" w:uiPriority="99" w:semiHidden="0" w:name="List Number 5"/>
    <w:lsdException w:qFormat="1" w:unhideWhenUsed="0" w:uiPriority="99" w:semiHidden="0" w:name="Title"/>
    <w:lsdException w:qFormat="1" w:unhideWhenUsed="0" w:uiPriority="99" w:semiHidden="0" w:name="Closing"/>
    <w:lsdException w:qFormat="1" w:unhideWhenUsed="0" w:uiPriority="99" w:semiHidden="0" w:name="Signature"/>
    <w:lsdException w:uiPriority="99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qFormat="1" w:unhideWhenUsed="0" w:uiPriority="99" w:semiHidden="0" w:name="List Continue"/>
    <w:lsdException w:qFormat="1" w:unhideWhenUsed="0" w:uiPriority="99" w:semiHidden="0" w:name="List Continue 2"/>
    <w:lsdException w:qFormat="1" w:unhideWhenUsed="0" w:uiPriority="99" w:semiHidden="0" w:name="List Continue 3"/>
    <w:lsdException w:qFormat="1" w:unhideWhenUsed="0" w:uiPriority="99" w:semiHidden="0" w:name="List Continue 4"/>
    <w:lsdException w:qFormat="1" w:unhideWhenUsed="0" w:uiPriority="99" w:semiHidden="0" w:name="List Continue 5"/>
    <w:lsdException w:qFormat="1" w:unhideWhenUsed="0" w:uiPriority="99" w:semiHidden="0" w:name="Message Header"/>
    <w:lsdException w:qFormat="1" w:unhideWhenUsed="0" w:uiPriority="99" w:semiHidden="0" w:name="Subtitle"/>
    <w:lsdException w:qFormat="1" w:unhideWhenUsed="0" w:uiPriority="99" w:semiHidden="0" w:name="Salutation"/>
    <w:lsdException w:qFormat="1" w:unhideWhenUsed="0" w:uiPriority="99" w:semiHidden="0" w:name="Date"/>
    <w:lsdException w:qFormat="1" w:unhideWhenUsed="0" w:uiPriority="99" w:semiHidden="0" w:name="Body Text First Indent"/>
    <w:lsdException w:qFormat="1" w:unhideWhenUsed="0" w:uiPriority="99" w:semiHidden="0" w:name="Body Text First Indent 2"/>
    <w:lsdException w:qFormat="1" w:unhideWhenUsed="0" w:uiPriority="99" w:semiHidden="0" w:name="Note Heading"/>
    <w:lsdException w:qFormat="1" w:unhideWhenUsed="0" w:uiPriority="99" w:semiHidden="0" w:name="Body Text 2"/>
    <w:lsdException w:qFormat="1" w:unhideWhenUsed="0" w:uiPriority="99" w:semiHidden="0" w:name="Body Text 3"/>
    <w:lsdException w:qFormat="1" w:unhideWhenUsed="0" w:uiPriority="99" w:semiHidden="0" w:name="Body Text Indent 2"/>
    <w:lsdException w:qFormat="1" w:unhideWhenUsed="0" w:uiPriority="99" w:semiHidden="0" w:name="Body Text Indent 3"/>
    <w:lsdException w:qFormat="1" w:unhideWhenUsed="0" w:uiPriority="99" w:semiHidden="0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99" w:semiHidden="0" w:name="Emphasis"/>
    <w:lsdException w:qFormat="1" w:unhideWhenUsed="0" w:uiPriority="99" w:semiHidden="0" w:name="Document Map"/>
    <w:lsdException w:qFormat="1" w:unhideWhenUsed="0" w:uiPriority="99" w:semiHidden="0" w:name="Plain Text"/>
    <w:lsdException w:qFormat="1" w:unhideWhenUsed="0" w:uiPriority="99" w:semiHidden="0" w:name="E-mail Signature"/>
    <w:lsdException w:qFormat="1" w:unhideWhenUsed="0" w:uiPriority="99" w:semiHidden="0" w:name="Normal (Web)"/>
    <w:lsdException w:qFormat="1" w:unhideWhenUsed="0" w:uiPriority="99" w:semiHidden="0" w:name="HTML Acronym"/>
    <w:lsdException w:qFormat="1" w:unhideWhenUsed="0" w:uiPriority="99" w:semiHidden="0" w:name="HTML Address"/>
    <w:lsdException w:qFormat="1" w:unhideWhenUsed="0" w:uiPriority="99" w:semiHidden="0" w:name="HTML Cite"/>
    <w:lsdException w:qFormat="1" w:unhideWhenUsed="0" w:uiPriority="99" w:semiHidden="0" w:name="HTML Code"/>
    <w:lsdException w:qFormat="1" w:unhideWhenUsed="0" w:uiPriority="99" w:semiHidden="0" w:name="HTML Definition"/>
    <w:lsdException w:qFormat="1" w:unhideWhenUsed="0" w:uiPriority="99" w:semiHidden="0" w:name="HTML Keyboard"/>
    <w:lsdException w:qFormat="1" w:unhideWhenUsed="0" w:uiPriority="99" w:semiHidden="0" w:name="HTML Preformatted"/>
    <w:lsdException w:qFormat="1" w:unhideWhenUsed="0" w:uiPriority="99" w:semiHidden="0" w:name="HTML Sample"/>
    <w:lsdException w:qFormat="1" w:unhideWhenUsed="0" w:uiPriority="99" w:semiHidden="0" w:name="HTML Typewriter"/>
    <w:lsdException w:qFormat="1" w:unhideWhenUsed="0" w:uiPriority="99" w:semiHidden="0" w:name="HTML Variable"/>
    <w:lsdException w:qFormat="1" w:unhideWhenUsed="0" w:uiPriority="99" w:semiHidden="0" w:name="Normal Table"/>
    <w:lsdException w:qFormat="1" w:unhideWhenUsed="0" w:uiPriority="99" w:semiHidden="0" w:name="annotation subject"/>
    <w:lsdException w:qFormat="1" w:unhideWhenUsed="0" w:uiPriority="99" w:semiHidden="0" w:name="Table Simple 1"/>
    <w:lsdException w:qFormat="1" w:unhideWhenUsed="0" w:uiPriority="99" w:semiHidden="0" w:name="Table Simple 2"/>
    <w:lsdException w:qFormat="1" w:unhideWhenUsed="0" w:uiPriority="99" w:semiHidden="0" w:name="Table Simple 3"/>
    <w:lsdException w:qFormat="1" w:unhideWhenUsed="0" w:uiPriority="99" w:semiHidden="0" w:name="Table Classic 1"/>
    <w:lsdException w:qFormat="1" w:unhideWhenUsed="0" w:uiPriority="99" w:semiHidden="0" w:name="Table Classic 2"/>
    <w:lsdException w:qFormat="1" w:unhideWhenUsed="0" w:uiPriority="99" w:semiHidden="0" w:name="Table Classic 3"/>
    <w:lsdException w:qFormat="1" w:unhideWhenUsed="0" w:uiPriority="99" w:semiHidden="0" w:name="Table Classic 4"/>
    <w:lsdException w:qFormat="1" w:unhideWhenUsed="0" w:uiPriority="99" w:semiHidden="0" w:name="Table Colorful 1"/>
    <w:lsdException w:qFormat="1" w:unhideWhenUsed="0" w:uiPriority="99" w:semiHidden="0" w:name="Table Colorful 2"/>
    <w:lsdException w:qFormat="1" w:unhideWhenUsed="0" w:uiPriority="99" w:semiHidden="0" w:name="Table Colorful 3"/>
    <w:lsdException w:qFormat="1" w:unhideWhenUsed="0" w:uiPriority="99" w:semiHidden="0" w:name="Table Columns 1"/>
    <w:lsdException w:qFormat="1" w:unhideWhenUsed="0" w:uiPriority="99" w:semiHidden="0" w:name="Table Columns 2"/>
    <w:lsdException w:qFormat="1" w:unhideWhenUsed="0" w:uiPriority="99" w:semiHidden="0" w:name="Table Columns 3"/>
    <w:lsdException w:qFormat="1" w:unhideWhenUsed="0" w:uiPriority="99" w:semiHidden="0" w:name="Table Columns 4"/>
    <w:lsdException w:qFormat="1" w:unhideWhenUsed="0" w:uiPriority="99" w:semiHidden="0" w:name="Table Columns 5"/>
    <w:lsdException w:qFormat="1" w:unhideWhenUsed="0" w:uiPriority="99" w:semiHidden="0" w:name="Table Grid 1"/>
    <w:lsdException w:qFormat="1" w:unhideWhenUsed="0" w:uiPriority="99" w:semiHidden="0" w:name="Table Grid 2"/>
    <w:lsdException w:qFormat="1" w:unhideWhenUsed="0" w:uiPriority="99" w:semiHidden="0" w:name="Table Grid 3"/>
    <w:lsdException w:qFormat="1" w:unhideWhenUsed="0" w:uiPriority="99" w:semiHidden="0" w:name="Table Grid 4"/>
    <w:lsdException w:qFormat="1" w:unhideWhenUsed="0" w:uiPriority="99" w:semiHidden="0" w:name="Table Grid 5"/>
    <w:lsdException w:qFormat="1" w:unhideWhenUsed="0" w:uiPriority="99" w:semiHidden="0" w:name="Table Grid 6"/>
    <w:lsdException w:qFormat="1" w:unhideWhenUsed="0" w:uiPriority="99" w:semiHidden="0" w:name="Table Grid 7"/>
    <w:lsdException w:qFormat="1" w:unhideWhenUsed="0" w:uiPriority="99" w:semiHidden="0" w:name="Table Grid 8"/>
    <w:lsdException w:qFormat="1" w:unhideWhenUsed="0" w:uiPriority="99" w:semiHidden="0" w:name="Table List 1"/>
    <w:lsdException w:qFormat="1" w:unhideWhenUsed="0" w:uiPriority="99" w:semiHidden="0" w:name="Table List 2"/>
    <w:lsdException w:qFormat="1" w:unhideWhenUsed="0" w:uiPriority="99" w:semiHidden="0" w:name="Table List 3"/>
    <w:lsdException w:qFormat="1" w:unhideWhenUsed="0" w:uiPriority="99" w:semiHidden="0" w:name="Table List 4"/>
    <w:lsdException w:qFormat="1" w:unhideWhenUsed="0" w:uiPriority="99" w:semiHidden="0" w:name="Table List 5"/>
    <w:lsdException w:qFormat="1" w:unhideWhenUsed="0" w:uiPriority="99" w:semiHidden="0" w:name="Table List 6"/>
    <w:lsdException w:qFormat="1" w:unhideWhenUsed="0" w:uiPriority="99" w:semiHidden="0" w:name="Table List 7"/>
    <w:lsdException w:qFormat="1" w:unhideWhenUsed="0" w:uiPriority="99" w:semiHidden="0" w:name="Table List 8"/>
    <w:lsdException w:qFormat="1" w:unhideWhenUsed="0" w:uiPriority="99" w:semiHidden="0" w:name="Table 3D effects 1"/>
    <w:lsdException w:qFormat="1" w:unhideWhenUsed="0" w:uiPriority="99" w:semiHidden="0" w:name="Table 3D effects 2"/>
    <w:lsdException w:qFormat="1" w:unhideWhenUsed="0" w:uiPriority="99" w:semiHidden="0" w:name="Table 3D effects 3"/>
    <w:lsdException w:qFormat="1" w:unhideWhenUsed="0" w:uiPriority="99" w:semiHidden="0" w:name="Table Contemporary"/>
    <w:lsdException w:qFormat="1" w:unhideWhenUsed="0" w:uiPriority="99" w:semiHidden="0" w:name="Table Elegant"/>
    <w:lsdException w:qFormat="1" w:unhideWhenUsed="0" w:uiPriority="99" w:semiHidden="0" w:name="Table Professional"/>
    <w:lsdException w:qFormat="1" w:unhideWhenUsed="0" w:uiPriority="99" w:semiHidden="0" w:name="Table Subtle 1"/>
    <w:lsdException w:qFormat="1" w:unhideWhenUsed="0" w:uiPriority="99" w:semiHidden="0" w:name="Table Subtle 2"/>
    <w:lsdException w:qFormat="1" w:unhideWhenUsed="0" w:uiPriority="99" w:semiHidden="0" w:name="Table Web 1"/>
    <w:lsdException w:qFormat="1" w:unhideWhenUsed="0" w:uiPriority="99" w:semiHidden="0" w:name="Table Web 2"/>
    <w:lsdException w:qFormat="1" w:unhideWhenUsed="0" w:uiPriority="99" w:semiHidden="0" w:name="Table Web 3"/>
    <w:lsdException w:qFormat="1" w:unhideWhenUsed="0" w:uiPriority="99" w:semiHidden="0" w:name="Balloon Text"/>
    <w:lsdException w:qFormat="1" w:unhideWhenUsed="0" w:uiPriority="99" w:semiHidden="0" w:name="Table Grid"/>
    <w:lsdException w:qFormat="1" w:unhideWhenUsed="0" w:uiPriority="99" w:semiHidden="0" w:name="Table Theme"/>
    <w:lsdException w:qFormat="1" w:unhideWhenUsed="0" w:uiPriority="99" w:semiHidden="0" w:name="Light Shading"/>
    <w:lsdException w:qFormat="1" w:unhideWhenUsed="0" w:uiPriority="99" w:semiHidden="0" w:name="Light List"/>
    <w:lsdException w:qFormat="1" w:unhideWhenUsed="0" w:uiPriority="99" w:semiHidden="0" w:name="Light Grid"/>
    <w:lsdException w:qFormat="1" w:unhideWhenUsed="0" w:uiPriority="99" w:semiHidden="0" w:name="Medium Shading 1"/>
    <w:lsdException w:qFormat="1" w:unhideWhenUsed="0" w:uiPriority="99" w:semiHidden="0" w:name="Medium Shading 2"/>
    <w:lsdException w:qFormat="1" w:unhideWhenUsed="0" w:uiPriority="99" w:semiHidden="0" w:name="Medium List 1"/>
    <w:lsdException w:qFormat="1" w:unhideWhenUsed="0" w:uiPriority="99" w:semiHidden="0" w:name="Medium List 2"/>
    <w:lsdException w:qFormat="1" w:unhideWhenUsed="0" w:uiPriority="99" w:semiHidden="0" w:name="Medium Grid 1"/>
    <w:lsdException w:qFormat="1" w:unhideWhenUsed="0" w:uiPriority="99" w:semiHidden="0" w:name="Medium Grid 2"/>
    <w:lsdException w:qFormat="1" w:unhideWhenUsed="0" w:uiPriority="99" w:semiHidden="0" w:name="Medium Grid 3"/>
    <w:lsdException w:qFormat="1" w:unhideWhenUsed="0" w:uiPriority="99" w:semiHidden="0" w:name="Dark List"/>
    <w:lsdException w:qFormat="1" w:unhideWhenUsed="0" w:uiPriority="99" w:semiHidden="0" w:name="Colorful Shading"/>
    <w:lsdException w:qFormat="1" w:unhideWhenUsed="0" w:uiPriority="99" w:semiHidden="0" w:name="Colorful List"/>
    <w:lsdException w:qFormat="1" w:unhideWhenUsed="0" w:uiPriority="99" w:semiHidden="0" w:name="Colorful Grid"/>
    <w:lsdException w:qFormat="1" w:unhideWhenUsed="0" w:uiPriority="99" w:semiHidden="0" w:name="Light Shading Accent 1"/>
    <w:lsdException w:qFormat="1" w:unhideWhenUsed="0" w:uiPriority="99" w:semiHidden="0" w:name="Light List Accent 1"/>
    <w:lsdException w:qFormat="1" w:unhideWhenUsed="0" w:uiPriority="99" w:semiHidden="0" w:name="Light Grid Accent 1"/>
    <w:lsdException w:qFormat="1" w:unhideWhenUsed="0" w:uiPriority="99" w:semiHidden="0" w:name="Medium Shading 1 Accent 1"/>
    <w:lsdException w:qFormat="1" w:unhideWhenUsed="0" w:uiPriority="99" w:semiHidden="0" w:name="Medium Shading 2 Accent 1"/>
    <w:lsdException w:qFormat="1" w:unhideWhenUsed="0" w:uiPriority="99" w:semiHidden="0" w:name="Medium List 1 Accent 1"/>
    <w:lsdException w:qFormat="1" w:unhideWhenUsed="0" w:uiPriority="99" w:semiHidden="0" w:name="Medium List 2 Accent 1"/>
    <w:lsdException w:qFormat="1" w:unhideWhenUsed="0" w:uiPriority="99" w:semiHidden="0" w:name="Medium Grid 1 Accent 1"/>
    <w:lsdException w:qFormat="1" w:unhideWhenUsed="0" w:uiPriority="99" w:semiHidden="0" w:name="Medium Grid 2 Accent 1"/>
    <w:lsdException w:qFormat="1" w:unhideWhenUsed="0" w:uiPriority="99" w:semiHidden="0" w:name="Medium Grid 3 Accent 1"/>
    <w:lsdException w:qFormat="1" w:unhideWhenUsed="0" w:uiPriority="99" w:semiHidden="0" w:name="Dark List Accent 1"/>
    <w:lsdException w:qFormat="1" w:unhideWhenUsed="0" w:uiPriority="99" w:semiHidden="0" w:name="Colorful Shading Accent 1"/>
    <w:lsdException w:qFormat="1" w:unhideWhenUsed="0" w:uiPriority="99" w:semiHidden="0" w:name="Colorful List Accent 1"/>
    <w:lsdException w:qFormat="1" w:unhideWhenUsed="0" w:uiPriority="99" w:semiHidden="0" w:name="Colorful Grid Accent 1"/>
    <w:lsdException w:qFormat="1" w:unhideWhenUsed="0" w:uiPriority="99" w:semiHidden="0" w:name="Light Shading Accent 2"/>
    <w:lsdException w:qFormat="1" w:unhideWhenUsed="0" w:uiPriority="99" w:semiHidden="0" w:name="Light List Accent 2"/>
    <w:lsdException w:qFormat="1" w:unhideWhenUsed="0" w:uiPriority="99" w:semiHidden="0" w:name="Light Grid Accent 2"/>
    <w:lsdException w:qFormat="1" w:unhideWhenUsed="0" w:uiPriority="99" w:semiHidden="0" w:name="Medium Shading 1 Accent 2"/>
    <w:lsdException w:qFormat="1" w:unhideWhenUsed="0" w:uiPriority="99" w:semiHidden="0" w:name="Medium Shading 2 Accent 2"/>
    <w:lsdException w:qFormat="1" w:unhideWhenUsed="0" w:uiPriority="99" w:semiHidden="0" w:name="Medium List 1 Accent 2"/>
    <w:lsdException w:qFormat="1" w:unhideWhenUsed="0" w:uiPriority="99" w:semiHidden="0" w:name="Medium List 2 Accent 2"/>
    <w:lsdException w:qFormat="1" w:unhideWhenUsed="0" w:uiPriority="99" w:semiHidden="0" w:name="Medium Grid 1 Accent 2"/>
    <w:lsdException w:qFormat="1" w:unhideWhenUsed="0" w:uiPriority="99" w:semiHidden="0" w:name="Medium Grid 2 Accent 2"/>
    <w:lsdException w:qFormat="1" w:unhideWhenUsed="0" w:uiPriority="99" w:semiHidden="0" w:name="Medium Grid 3 Accent 2"/>
    <w:lsdException w:qFormat="1" w:unhideWhenUsed="0" w:uiPriority="99" w:semiHidden="0" w:name="Dark List Accent 2"/>
    <w:lsdException w:qFormat="1" w:unhideWhenUsed="0" w:uiPriority="99" w:semiHidden="0" w:name="Colorful Shading Accent 2"/>
    <w:lsdException w:qFormat="1" w:unhideWhenUsed="0" w:uiPriority="99" w:semiHidden="0" w:name="Colorful List Accent 2"/>
    <w:lsdException w:qFormat="1" w:unhideWhenUsed="0" w:uiPriority="99" w:semiHidden="0" w:name="Colorful Grid Accent 2"/>
    <w:lsdException w:qFormat="1" w:unhideWhenUsed="0" w:uiPriority="99" w:semiHidden="0" w:name="Light Shading Accent 3"/>
    <w:lsdException w:qFormat="1" w:unhideWhenUsed="0" w:uiPriority="99" w:semiHidden="0" w:name="Light List Accent 3"/>
    <w:lsdException w:qFormat="1" w:unhideWhenUsed="0" w:uiPriority="99" w:semiHidden="0" w:name="Light Grid Accent 3"/>
    <w:lsdException w:qFormat="1" w:unhideWhenUsed="0" w:uiPriority="99" w:semiHidden="0" w:name="Medium Shading 1 Accent 3"/>
    <w:lsdException w:qFormat="1" w:unhideWhenUsed="0" w:uiPriority="99" w:semiHidden="0" w:name="Medium Shading 2 Accent 3"/>
    <w:lsdException w:qFormat="1" w:unhideWhenUsed="0" w:uiPriority="99" w:semiHidden="0" w:name="Medium List 1 Accent 3"/>
    <w:lsdException w:qFormat="1" w:unhideWhenUsed="0" w:uiPriority="99" w:semiHidden="0" w:name="Medium List 2 Accent 3"/>
    <w:lsdException w:qFormat="1" w:unhideWhenUsed="0" w:uiPriority="99" w:semiHidden="0" w:name="Medium Grid 1 Accent 3"/>
    <w:lsdException w:qFormat="1" w:unhideWhenUsed="0" w:uiPriority="99" w:semiHidden="0" w:name="Medium Grid 2 Accent 3"/>
    <w:lsdException w:qFormat="1" w:unhideWhenUsed="0" w:uiPriority="99" w:semiHidden="0" w:name="Medium Grid 3 Accent 3"/>
    <w:lsdException w:qFormat="1" w:unhideWhenUsed="0" w:uiPriority="99" w:semiHidden="0" w:name="Dark List Accent 3"/>
    <w:lsdException w:qFormat="1" w:unhideWhenUsed="0" w:uiPriority="99" w:semiHidden="0" w:name="Colorful Shading Accent 3"/>
    <w:lsdException w:qFormat="1" w:unhideWhenUsed="0" w:uiPriority="99" w:semiHidden="0" w:name="Colorful List Accent 3"/>
    <w:lsdException w:qFormat="1" w:unhideWhenUsed="0" w:uiPriority="99" w:semiHidden="0" w:name="Colorful Grid Accent 3"/>
    <w:lsdException w:qFormat="1" w:unhideWhenUsed="0" w:uiPriority="99" w:semiHidden="0" w:name="Light Shading Accent 4"/>
    <w:lsdException w:qFormat="1" w:unhideWhenUsed="0" w:uiPriority="99" w:semiHidden="0" w:name="Light List Accent 4"/>
    <w:lsdException w:qFormat="1" w:unhideWhenUsed="0" w:uiPriority="99" w:semiHidden="0" w:name="Light Grid Accent 4"/>
    <w:lsdException w:qFormat="1" w:unhideWhenUsed="0" w:uiPriority="99" w:semiHidden="0" w:name="Medium Shading 1 Accent 4"/>
    <w:lsdException w:qFormat="1" w:unhideWhenUsed="0" w:uiPriority="99" w:semiHidden="0" w:name="Medium Shading 2 Accent 4"/>
    <w:lsdException w:qFormat="1" w:unhideWhenUsed="0" w:uiPriority="99" w:semiHidden="0" w:name="Medium List 1 Accent 4"/>
    <w:lsdException w:qFormat="1" w:unhideWhenUsed="0" w:uiPriority="99" w:semiHidden="0" w:name="Medium List 2 Accent 4"/>
    <w:lsdException w:qFormat="1" w:unhideWhenUsed="0" w:uiPriority="99" w:semiHidden="0" w:name="Medium Grid 1 Accent 4"/>
    <w:lsdException w:qFormat="1" w:unhideWhenUsed="0" w:uiPriority="99" w:semiHidden="0" w:name="Medium Grid 2 Accent 4"/>
    <w:lsdException w:qFormat="1" w:unhideWhenUsed="0" w:uiPriority="99" w:semiHidden="0" w:name="Medium Grid 3 Accent 4"/>
    <w:lsdException w:qFormat="1" w:unhideWhenUsed="0" w:uiPriority="99" w:semiHidden="0" w:name="Dark List Accent 4"/>
    <w:lsdException w:qFormat="1" w:unhideWhenUsed="0" w:uiPriority="99" w:semiHidden="0" w:name="Colorful Shading Accent 4"/>
    <w:lsdException w:qFormat="1" w:unhideWhenUsed="0" w:uiPriority="99" w:semiHidden="0" w:name="Colorful List Accent 4"/>
    <w:lsdException w:qFormat="1" w:unhideWhenUsed="0" w:uiPriority="99" w:semiHidden="0" w:name="Colorful Grid Accent 4"/>
    <w:lsdException w:qFormat="1" w:unhideWhenUsed="0" w:uiPriority="99" w:semiHidden="0" w:name="Light Shading Accent 5"/>
    <w:lsdException w:qFormat="1" w:unhideWhenUsed="0" w:uiPriority="99" w:semiHidden="0" w:name="Light List Accent 5"/>
    <w:lsdException w:qFormat="1" w:unhideWhenUsed="0" w:uiPriority="99" w:semiHidden="0" w:name="Light Grid Accent 5"/>
    <w:lsdException w:qFormat="1" w:unhideWhenUsed="0" w:uiPriority="99" w:semiHidden="0" w:name="Medium Shading 1 Accent 5"/>
    <w:lsdException w:qFormat="1" w:unhideWhenUsed="0" w:uiPriority="99" w:semiHidden="0" w:name="Medium Shading 2 Accent 5"/>
    <w:lsdException w:qFormat="1" w:unhideWhenUsed="0" w:uiPriority="99" w:semiHidden="0" w:name="Medium List 1 Accent 5"/>
    <w:lsdException w:qFormat="1" w:unhideWhenUsed="0" w:uiPriority="99" w:semiHidden="0" w:name="Medium List 2 Accent 5"/>
    <w:lsdException w:qFormat="1" w:unhideWhenUsed="0" w:uiPriority="99" w:semiHidden="0" w:name="Medium Grid 1 Accent 5"/>
    <w:lsdException w:qFormat="1" w:unhideWhenUsed="0" w:uiPriority="99" w:semiHidden="0" w:name="Medium Grid 2 Accent 5"/>
    <w:lsdException w:qFormat="1" w:unhideWhenUsed="0" w:uiPriority="99" w:semiHidden="0" w:name="Medium Grid 3 Accent 5"/>
    <w:lsdException w:qFormat="1" w:unhideWhenUsed="0" w:uiPriority="99" w:semiHidden="0" w:name="Dark List Accent 5"/>
    <w:lsdException w:qFormat="1" w:unhideWhenUsed="0" w:uiPriority="99" w:semiHidden="0" w:name="Colorful Shading Accent 5"/>
    <w:lsdException w:qFormat="1" w:unhideWhenUsed="0" w:uiPriority="99" w:semiHidden="0" w:name="Colorful List Accent 5"/>
    <w:lsdException w:qFormat="1" w:unhideWhenUsed="0" w:uiPriority="99" w:semiHidden="0" w:name="Colorful Grid Accent 5"/>
    <w:lsdException w:qFormat="1" w:unhideWhenUsed="0" w:uiPriority="99" w:semiHidden="0" w:name="Light Shading Accent 6"/>
    <w:lsdException w:qFormat="1" w:unhideWhenUsed="0" w:uiPriority="99" w:semiHidden="0" w:name="Light List Accent 6"/>
    <w:lsdException w:qFormat="1" w:unhideWhenUsed="0" w:uiPriority="99" w:semiHidden="0" w:name="Light Grid Accent 6"/>
    <w:lsdException w:qFormat="1" w:unhideWhenUsed="0" w:uiPriority="99" w:semiHidden="0" w:name="Medium Shading 1 Accent 6"/>
    <w:lsdException w:qFormat="1" w:unhideWhenUsed="0" w:uiPriority="99" w:semiHidden="0" w:name="Medium Shading 2 Accent 6"/>
    <w:lsdException w:qFormat="1" w:unhideWhenUsed="0" w:uiPriority="99" w:semiHidden="0" w:name="Medium List 1 Accent 6"/>
    <w:lsdException w:qFormat="1" w:unhideWhenUsed="0" w:uiPriority="99" w:semiHidden="0" w:name="Medium List 2 Accent 6"/>
    <w:lsdException w:qFormat="1" w:unhideWhenUsed="0" w:uiPriority="99" w:semiHidden="0" w:name="Medium Grid 1 Accent 6"/>
    <w:lsdException w:qFormat="1" w:unhideWhenUsed="0" w:uiPriority="99" w:semiHidden="0" w:name="Medium Grid 2 Accent 6"/>
    <w:lsdException w:qFormat="1" w:unhideWhenUsed="0" w:uiPriority="99" w:semiHidden="0" w:name="Medium Grid 3 Accent 6"/>
    <w:lsdException w:qFormat="1" w:unhideWhenUsed="0" w:uiPriority="99" w:semiHidden="0" w:name="Dark List Accent 6"/>
    <w:lsdException w:qFormat="1" w:unhideWhenUsed="0" w:uiPriority="99" w:semiHidden="0" w:name="Colorful Shading Accent 6"/>
    <w:lsdException w:qFormat="1" w:unhideWhenUsed="0" w:uiPriority="99" w:semiHidden="0" w:name="Colorful List Accent 6"/>
    <w:lsdException w:qFormat="1" w:unhideWhenUsed="0" w:uiPriority="99" w:semiHidden="0" w:name="Colorful Grid Accent 6"/>
  </w:latentStyles>
  <w:style w:type="paragraph" w:default="1" w:styleId="1">
    <w:name w:val="Normal"/>
    <w:next w:val="2"/>
    <w:unhideWhenUsed/>
    <w:uiPriority w:val="99"/>
    <w:pPr>
      <w:widowControl w:val="0"/>
      <w:autoSpaceDE w:val="0"/>
      <w:autoSpaceDN w:val="0"/>
      <w:adjustRightInd w:val="0"/>
    </w:pPr>
    <w:rPr>
      <w:rFonts w:hint="default" w:ascii="Arial" w:hAnsi="Arial" w:eastAsia="宋体"/>
      <w:color w:val="000000"/>
      <w:sz w:val="24"/>
    </w:rPr>
  </w:style>
  <w:style w:type="paragraph" w:styleId="3">
    <w:name w:val="heading 1"/>
    <w:unhideWhenUsed/>
    <w:uiPriority w:val="99"/>
    <w:pPr>
      <w:widowControl w:val="0"/>
      <w:autoSpaceDE w:val="0"/>
      <w:autoSpaceDN w:val="0"/>
      <w:adjustRightInd w:val="0"/>
    </w:pPr>
    <w:rPr>
      <w:rFonts w:hint="default" w:ascii="Arial" w:hAnsi="Arial" w:eastAsia="宋体"/>
      <w:b/>
      <w:color w:val="000000"/>
      <w:sz w:val="32"/>
    </w:rPr>
  </w:style>
  <w:style w:type="paragraph" w:styleId="4">
    <w:name w:val="heading 2"/>
    <w:unhideWhenUsed/>
    <w:uiPriority w:val="99"/>
    <w:pPr>
      <w:widowControl w:val="0"/>
      <w:autoSpaceDE w:val="0"/>
      <w:autoSpaceDN w:val="0"/>
      <w:adjustRightInd w:val="0"/>
    </w:pPr>
    <w:rPr>
      <w:rFonts w:hint="default" w:ascii="Arial" w:hAnsi="Arial" w:eastAsia="宋体"/>
      <w:b/>
      <w:i/>
      <w:color w:val="000000"/>
      <w:sz w:val="28"/>
    </w:rPr>
  </w:style>
  <w:style w:type="paragraph" w:styleId="5">
    <w:name w:val="heading 3"/>
    <w:unhideWhenUsed/>
    <w:uiPriority w:val="99"/>
    <w:pPr>
      <w:widowControl w:val="0"/>
      <w:autoSpaceDE w:val="0"/>
      <w:autoSpaceDN w:val="0"/>
      <w:adjustRightInd w:val="0"/>
    </w:pPr>
    <w:rPr>
      <w:rFonts w:hint="default" w:ascii="Arial" w:hAnsi="Arial" w:eastAsia="宋体"/>
      <w:b/>
      <w:color w:val="000000"/>
      <w:sz w:val="26"/>
    </w:rPr>
  </w:style>
  <w:style w:type="character" w:default="1" w:styleId="7">
    <w:name w:val="Default Paragraph Font"/>
    <w:unhideWhenUsed/>
    <w:uiPriority w:val="99"/>
    <w:rPr>
      <w:rFonts w:hint="default"/>
      <w:sz w:val="24"/>
    </w:rPr>
  </w:style>
  <w:style w:type="table" w:default="1" w:styleId="6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unhideWhenUsed/>
    <w:qFormat/>
    <w:uiPriority w:val="99"/>
    <w:pPr>
      <w:spacing w:before="120" w:after="200" w:line="276" w:lineRule="auto"/>
    </w:pPr>
    <w:rPr>
      <w:rFonts w:hint="default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Office_11.8.2.8411_F1E327BC-269C-435d-A152-05C5408002CA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2025-04-14T06:20:42Z</dcterms:created>
  <dc:creator>Administrator</dc:creator>
  <cp:lastModifiedBy>Administrator</cp:lastModifiedBy>
  <dcterms:modified xsi:type="dcterms:W3CDTF">2025-04-14T06:21:17Z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