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2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2</w:t>
      </w:r>
    </w:p>
    <w:p>
      <w:pPr>
        <w:spacing w:before="111" w:line="219" w:lineRule="auto"/>
        <w:rPr>
          <w:rFonts w:ascii="宋体" w:hAnsi="宋体" w:eastAsia="宋体" w:cs="宋体"/>
          <w:b/>
          <w:bCs/>
          <w:spacing w:val="13"/>
          <w:sz w:val="34"/>
          <w:szCs w:val="34"/>
        </w:rPr>
      </w:pPr>
    </w:p>
    <w:p>
      <w:pPr>
        <w:spacing w:before="111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44"/>
          <w:szCs w:val="44"/>
        </w:rPr>
        <w:t>2023年度部门整体支出绩效自评表</w:t>
      </w:r>
    </w:p>
    <w:p/>
    <w:tbl>
      <w:tblPr>
        <w:tblStyle w:val="8"/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696"/>
        <w:gridCol w:w="1015"/>
        <w:gridCol w:w="1187"/>
        <w:gridCol w:w="3113"/>
        <w:gridCol w:w="412"/>
        <w:gridCol w:w="603"/>
        <w:gridCol w:w="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74" w:type="dxa"/>
            <w:vAlign w:val="center"/>
          </w:tcPr>
          <w:p>
            <w:pPr>
              <w:spacing w:before="32" w:line="204" w:lineRule="auto"/>
              <w:ind w:left="125"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市级预算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8916" w:type="dxa"/>
            <w:gridSpan w:val="8"/>
            <w:vAlign w:val="center"/>
          </w:tcPr>
          <w:p>
            <w:pPr>
              <w:tabs>
                <w:tab w:val="left" w:pos="940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岳阳市总工会整体支出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461" w:lineRule="auto"/>
            </w:pPr>
          </w:p>
          <w:p>
            <w:pPr>
              <w:spacing w:before="65" w:line="218" w:lineRule="auto"/>
              <w:ind w:left="225" w:right="1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</w:t>
            </w:r>
          </w:p>
          <w:p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1187" w:type="dxa"/>
            <w:vAlign w:val="center"/>
          </w:tcPr>
          <w:p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3113" w:type="dxa"/>
            <w:vAlign w:val="center"/>
          </w:tcPr>
          <w:p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412" w:type="dxa"/>
            <w:vAlign w:val="center"/>
          </w:tcPr>
          <w:p>
            <w:pPr>
              <w:spacing w:before="18" w:line="195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>
            <w:pPr>
              <w:spacing w:before="18" w:line="195" w:lineRule="auto"/>
              <w:ind w:left="13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831" w:type="dxa"/>
            <w:vAlign w:val="center"/>
          </w:tcPr>
          <w:p>
            <w:pPr>
              <w:spacing w:before="18" w:line="19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before="18" w:line="186" w:lineRule="auto"/>
              <w:ind w:left="4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7382200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12" w:type="dxa"/>
            <w:vAlign w:val="center"/>
          </w:tcPr>
          <w:p>
            <w:pPr>
              <w:spacing w:before="70" w:line="15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10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100%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18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spacing w:before="18" w:line="18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2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其中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: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一般公共预算：</w:t>
            </w:r>
            <w:r>
              <w:rPr>
                <w:rFonts w:hint="eastAsia" w:eastAsia="宋体"/>
                <w:sz w:val="19"/>
                <w:lang w:val="en-US" w:eastAsia="zh-CN"/>
              </w:rPr>
              <w:t>17823459.88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spacing w:before="19" w:line="194" w:lineRule="auto"/>
              <w:ind w:left="12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11444250.88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29" w:line="19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tabs>
                <w:tab w:val="center" w:pos="2130"/>
              </w:tabs>
              <w:spacing w:before="30" w:line="19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6379209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1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20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before="40" w:line="207" w:lineRule="auto"/>
              <w:ind w:left="324" w:right="14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spacing w:before="31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spacing w:before="29" w:line="19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>
            <w:pPr>
              <w:pStyle w:val="9"/>
              <w:spacing w:line="230" w:lineRule="exact"/>
              <w:ind w:firstLine="400" w:firstLineChars="200"/>
              <w:jc w:val="both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 维护职工群众的合法权益，参与劳动关系的协调处理，开展职工安全生产和劳动保护工作，参与重大伤亡事故的调查处理；开展劳动竞赛、职工文体活动；做好劳模的推荐、评选和具体负责劳模的日常管理工作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pStyle w:val="9"/>
              <w:tabs>
                <w:tab w:val="left" w:pos="619"/>
              </w:tabs>
              <w:spacing w:line="230" w:lineRule="exact"/>
              <w:ind w:firstLine="400" w:firstLineChars="20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积极推荐和参评全国、省五一劳动奖和工人先锋号，21个集体和个人获评全国、省级荣誉，首次评选市五一劳动奖状10个、市五一劳动奖章40名，评选“巴陵工匠”21名。实地慰问58名劳模和巴陵工匠，组织900多人次技术工人疗休养 132名劳模开展疗休养、慰问帮扶困难职工子女800多人；投入“冬送温暖”资金1500多万元，慰问困难职工、一线职工和农民工3万多人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9"/>
              <w:spacing w:line="360" w:lineRule="auto"/>
            </w:pPr>
          </w:p>
          <w:p>
            <w:pPr>
              <w:spacing w:before="67" w:line="217" w:lineRule="auto"/>
              <w:ind w:left="3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before="141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96" w:type="dxa"/>
            <w:vAlign w:val="center"/>
          </w:tcPr>
          <w:p>
            <w:pPr>
              <w:spacing w:before="141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15" w:type="dxa"/>
            <w:vAlign w:val="center"/>
          </w:tcPr>
          <w:p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</w:p>
          <w:p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187" w:type="dxa"/>
            <w:vAlign w:val="center"/>
          </w:tcPr>
          <w:p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  <w:p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指标值</w:t>
            </w:r>
          </w:p>
        </w:tc>
        <w:tc>
          <w:tcPr>
            <w:tcW w:w="3113" w:type="dxa"/>
            <w:vAlign w:val="center"/>
          </w:tcPr>
          <w:p>
            <w:pPr>
              <w:spacing w:before="141" w:line="219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412" w:type="dxa"/>
            <w:vAlign w:val="center"/>
          </w:tcPr>
          <w:p>
            <w:pPr>
              <w:spacing w:before="141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>
            <w:pPr>
              <w:spacing w:before="14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831" w:type="dxa"/>
            <w:vAlign w:val="center"/>
          </w:tcPr>
          <w:p>
            <w:pPr>
              <w:spacing w:before="10" w:line="207" w:lineRule="auto"/>
              <w:ind w:left="108"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272" w:lineRule="auto"/>
              <w:jc w:val="center"/>
            </w:pPr>
          </w:p>
          <w:p>
            <w:pPr>
              <w:pStyle w:val="9"/>
              <w:spacing w:line="272" w:lineRule="auto"/>
              <w:jc w:val="center"/>
            </w:pPr>
          </w:p>
          <w:p>
            <w:pPr>
              <w:pStyle w:val="9"/>
              <w:spacing w:line="273" w:lineRule="auto"/>
              <w:jc w:val="center"/>
            </w:pPr>
          </w:p>
          <w:p>
            <w:pPr>
              <w:pStyle w:val="9"/>
              <w:spacing w:line="273" w:lineRule="auto"/>
              <w:jc w:val="center"/>
            </w:pPr>
          </w:p>
          <w:p>
            <w:pPr>
              <w:spacing w:before="65" w:line="219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>
            <w:pPr>
              <w:spacing w:before="233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  <w:p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宣传教育活动次数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泛深入开展“中国梦·劳动美”主题宣传教育、举办周末课堂、职工学堂、劳模讲堂劳模工匠精神宣传活动、干部培训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工会文体活动次数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线上开展学习中国工会十八大精神有奖竞答、举办全市“中国梦·劳动美”首届职工篮球赛、举办“学习二十大 奋进新征程”全市职工演讲比赛暨全民阅读“书香工会·悦读悦美”职工阅读征文活动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tabs>
                <w:tab w:val="left" w:pos="1089"/>
              </w:tabs>
              <w:spacing w:before="145" w:line="1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工运理论研究建设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5篇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20" w:lineRule="exact"/>
              <w:jc w:val="both"/>
              <w:rPr>
                <w:sz w:val="19"/>
              </w:rPr>
            </w:pPr>
            <w:r>
              <w:rPr>
                <w:rFonts w:hint="eastAsia"/>
                <w:sz w:val="19"/>
              </w:rPr>
              <w:t>组织全市各级工会干部和广大职工积极参加大国工匠论坛征文活动，织开展工运史研讨活动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bidi w:val="0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27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预算绩效管理全面推进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完成了市总年度整体收支预算及预算金额20万元以上的12个项目的绩效自评工作。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经费返还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返还完成率≥90%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全市小微企业工会经费支持总额为4806万元，返还进度100%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活动阵地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完成东风广场移交、工会资产登记和物业化管理工作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东风广场已建成并投入使用，但未完成资产移交和登记。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28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预决算上报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预决算公开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272" w:line="219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预算安排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从紧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启用预算项目库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资金配置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资金压缩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压缩</w:t>
            </w:r>
            <w:r>
              <w:rPr>
                <w:rFonts w:hint="eastAsia" w:eastAsia="宋体"/>
                <w:sz w:val="20"/>
                <w:lang w:val="en-US" w:eastAsia="zh-CN"/>
              </w:rPr>
              <w:t>10%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line="255" w:lineRule="auto"/>
              <w:jc w:val="center"/>
            </w:pPr>
          </w:p>
          <w:p>
            <w:pPr>
              <w:pStyle w:val="9"/>
              <w:spacing w:line="256" w:lineRule="auto"/>
              <w:jc w:val="center"/>
            </w:pPr>
          </w:p>
          <w:p>
            <w:pPr>
              <w:pStyle w:val="9"/>
              <w:spacing w:line="256" w:lineRule="auto"/>
              <w:jc w:val="center"/>
            </w:pPr>
          </w:p>
          <w:p>
            <w:pPr>
              <w:pStyle w:val="9"/>
              <w:spacing w:line="256" w:lineRule="auto"/>
              <w:jc w:val="center"/>
            </w:pPr>
          </w:p>
          <w:p>
            <w:pPr>
              <w:spacing w:before="65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>
            <w:pPr>
              <w:spacing w:before="24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4" w:line="20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经济效益指标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412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3" w:line="20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社会效益指标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劳动和技能竞赛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≥10场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开展了20多项市级技能竞赛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劳模管理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提升劳模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实地慰问58名劳模和巴陵工匠，组织900多人次技术工人疗休养 132名劳模开展疗休养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19" w:lineRule="exact"/>
              <w:jc w:val="center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困难职工帮扶资金重点保障深度困难职工家庭生活、帮助建档困难职工家庭解困脱困</w:t>
            </w:r>
          </w:p>
        </w:tc>
        <w:tc>
          <w:tcPr>
            <w:tcW w:w="31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慰问帮扶困难职工子女800多人；投入“冬送温暖”资金1500多万元，慰问困难职工、一线职工和农民工3万多人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before="127" w:line="219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>
            <w:pPr>
              <w:spacing w:before="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>
            <w:pPr>
              <w:spacing w:before="1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147" w:line="212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>
            <w:pPr>
              <w:spacing w:before="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15" w:type="dxa"/>
            <w:vAlign w:val="center"/>
          </w:tcPr>
          <w:p>
            <w:pPr>
              <w:pStyle w:val="9"/>
              <w:jc w:val="center"/>
            </w:pPr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1187" w:type="dxa"/>
            <w:vAlign w:val="center"/>
          </w:tcPr>
          <w:p>
            <w:pPr>
              <w:pStyle w:val="9"/>
              <w:jc w:val="both"/>
            </w:pPr>
            <w:r>
              <w:rPr>
                <w:rFonts w:hint="eastAsia"/>
              </w:rPr>
              <w:t>社会公众或服务对象满意度100%得1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分，≥90%，得8分，≥80%得7分，≥70%得6分，60%以下得5分。</w:t>
            </w:r>
          </w:p>
        </w:tc>
        <w:tc>
          <w:tcPr>
            <w:tcW w:w="3113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412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1015" w:type="dxa"/>
            <w:vAlign w:val="top"/>
          </w:tcPr>
          <w:p>
            <w:pPr>
              <w:pStyle w:val="9"/>
            </w:pPr>
          </w:p>
        </w:tc>
        <w:tc>
          <w:tcPr>
            <w:tcW w:w="1187" w:type="dxa"/>
            <w:vAlign w:val="top"/>
          </w:tcPr>
          <w:p>
            <w:pPr>
              <w:pStyle w:val="9"/>
            </w:pPr>
          </w:p>
        </w:tc>
        <w:tc>
          <w:tcPr>
            <w:tcW w:w="3113" w:type="dxa"/>
            <w:vAlign w:val="top"/>
          </w:tcPr>
          <w:p>
            <w:pPr>
              <w:pStyle w:val="9"/>
            </w:pPr>
          </w:p>
        </w:tc>
        <w:tc>
          <w:tcPr>
            <w:tcW w:w="412" w:type="dxa"/>
            <w:vAlign w:val="top"/>
          </w:tcPr>
          <w:p>
            <w:pPr>
              <w:pStyle w:val="9"/>
            </w:pPr>
          </w:p>
        </w:tc>
        <w:tc>
          <w:tcPr>
            <w:tcW w:w="603" w:type="dxa"/>
            <w:vAlign w:val="top"/>
          </w:tcPr>
          <w:p>
            <w:pPr>
              <w:pStyle w:val="9"/>
            </w:pPr>
          </w:p>
        </w:tc>
        <w:tc>
          <w:tcPr>
            <w:tcW w:w="831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9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</w:pPr>
          </w:p>
        </w:tc>
        <w:tc>
          <w:tcPr>
            <w:tcW w:w="1015" w:type="dxa"/>
            <w:vAlign w:val="top"/>
          </w:tcPr>
          <w:p>
            <w:pPr>
              <w:pStyle w:val="9"/>
            </w:pPr>
          </w:p>
        </w:tc>
        <w:tc>
          <w:tcPr>
            <w:tcW w:w="1187" w:type="dxa"/>
            <w:vAlign w:val="top"/>
          </w:tcPr>
          <w:p>
            <w:pPr>
              <w:pStyle w:val="9"/>
            </w:pPr>
          </w:p>
        </w:tc>
        <w:tc>
          <w:tcPr>
            <w:tcW w:w="3113" w:type="dxa"/>
            <w:vAlign w:val="top"/>
          </w:tcPr>
          <w:p>
            <w:pPr>
              <w:pStyle w:val="9"/>
            </w:pPr>
          </w:p>
        </w:tc>
        <w:tc>
          <w:tcPr>
            <w:tcW w:w="412" w:type="dxa"/>
            <w:vAlign w:val="top"/>
          </w:tcPr>
          <w:p>
            <w:pPr>
              <w:pStyle w:val="9"/>
            </w:pPr>
          </w:p>
        </w:tc>
        <w:tc>
          <w:tcPr>
            <w:tcW w:w="603" w:type="dxa"/>
            <w:vAlign w:val="top"/>
          </w:tcPr>
          <w:p>
            <w:pPr>
              <w:pStyle w:val="9"/>
            </w:pPr>
          </w:p>
        </w:tc>
        <w:tc>
          <w:tcPr>
            <w:tcW w:w="831" w:type="dxa"/>
            <w:vAlign w:val="top"/>
          </w:tcPr>
          <w:p>
            <w:pPr>
              <w:pStyle w:val="9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44" w:type="dxa"/>
            <w:gridSpan w:val="6"/>
            <w:vAlign w:val="center"/>
          </w:tcPr>
          <w:p>
            <w:pPr>
              <w:spacing w:before="48" w:line="207" w:lineRule="exact"/>
              <w:jc w:val="center"/>
            </w:pPr>
            <w:r>
              <w:rPr>
                <w:position w:val="-4"/>
                <w:sz w:val="32"/>
                <w:szCs w:val="32"/>
              </w:rPr>
              <w:drawing>
                <wp:inline distT="0" distB="0" distL="0" distR="0">
                  <wp:extent cx="238760" cy="1308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84" cy="13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vAlign w:val="center"/>
          </w:tcPr>
          <w:p>
            <w:pPr>
              <w:spacing w:before="89" w:line="166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603" w:type="dxa"/>
            <w:vAlign w:val="center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  <w:tc>
          <w:tcPr>
            <w:tcW w:w="831" w:type="dxa"/>
            <w:vAlign w:val="center"/>
          </w:tcPr>
          <w:p>
            <w:pPr>
              <w:pStyle w:val="9"/>
              <w:jc w:val="center"/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18" w:lineRule="exact"/>
        <w:sectPr>
          <w:footerReference r:id="rId5" w:type="default"/>
          <w:pgSz w:w="11760" w:h="16690"/>
          <w:pgMar w:top="1418" w:right="865" w:bottom="1304" w:left="894" w:header="0" w:footer="0" w:gutter="0"/>
          <w:pgNumType w:fmt="decimal"/>
          <w:cols w:equalWidth="0" w:num="1">
            <w:col w:w="10001"/>
          </w:cols>
        </w:sectPr>
      </w:pPr>
    </w:p>
    <w:p>
      <w:pPr>
        <w:pStyle w:val="3"/>
        <w:spacing w:before="43" w:line="204" w:lineRule="auto"/>
        <w:rPr>
          <w:rFonts w:hint="eastAsia" w:eastAsia="仿宋"/>
          <w:sz w:val="21"/>
          <w:szCs w:val="21"/>
          <w:lang w:eastAsia="zh-CN"/>
        </w:rPr>
      </w:pPr>
      <w:r>
        <w:rPr>
          <w:spacing w:val="-12"/>
          <w:sz w:val="21"/>
          <w:szCs w:val="21"/>
        </w:rPr>
        <w:t>填表人：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04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pacing w:val="-6"/>
          <w:sz w:val="21"/>
          <w:szCs w:val="21"/>
        </w:rPr>
        <w:t>填报日期：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2" w:line="195" w:lineRule="auto"/>
        <w:rPr>
          <w:rFonts w:ascii="Arial"/>
          <w:sz w:val="2"/>
        </w:rPr>
      </w:pPr>
      <w:r>
        <w:rPr>
          <w:spacing w:val="6"/>
          <w:sz w:val="21"/>
          <w:szCs w:val="21"/>
        </w:rPr>
        <w:t>联系电话</w:t>
      </w:r>
      <w:r>
        <w:rPr>
          <w:rFonts w:hint="eastAsia"/>
          <w:spacing w:val="6"/>
          <w:sz w:val="21"/>
          <w:szCs w:val="21"/>
          <w:lang w:val="en-US" w:eastAsia="zh-CN"/>
        </w:rPr>
        <w:t>:</w:t>
      </w: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  <w:r>
        <w:rPr>
          <w:spacing w:val="-8"/>
          <w:sz w:val="21"/>
          <w:szCs w:val="21"/>
        </w:rPr>
        <w:t>单位负责人签字</w:t>
      </w:r>
      <w:r>
        <w:rPr>
          <w:rFonts w:hint="eastAsia"/>
          <w:spacing w:val="-8"/>
          <w:sz w:val="21"/>
          <w:szCs w:val="21"/>
          <w:lang w:val="en-US" w:eastAsia="zh-CN"/>
        </w:rPr>
        <w:t>:</w:t>
      </w:r>
    </w:p>
    <w:p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>
      <w:pPr>
        <w:pStyle w:val="3"/>
        <w:spacing w:before="58" w:line="189" w:lineRule="auto"/>
        <w:rPr>
          <w:rFonts w:hint="eastAsia"/>
          <w:spacing w:val="-8"/>
          <w:sz w:val="21"/>
          <w:szCs w:val="21"/>
          <w:lang w:val="en-US" w:eastAsia="zh-CN"/>
        </w:rPr>
      </w:pPr>
    </w:p>
    <w:p>
      <w:pPr>
        <w:pStyle w:val="3"/>
        <w:spacing w:line="240" w:lineRule="auto"/>
        <w:rPr>
          <w:rFonts w:hint="eastAsia"/>
          <w:spacing w:val="-8"/>
          <w:sz w:val="21"/>
          <w:szCs w:val="21"/>
          <w:lang w:val="en-US" w:eastAsia="zh-CN"/>
        </w:rPr>
        <w:sectPr>
          <w:type w:val="continuous"/>
          <w:pgSz w:w="11760" w:h="16690"/>
          <w:pgMar w:top="1418" w:right="865" w:bottom="400" w:left="894" w:header="0" w:footer="0" w:gutter="0"/>
          <w:pgNumType w:fmt="decimal"/>
          <w:cols w:equalWidth="0" w:num="4">
            <w:col w:w="2116" w:space="100"/>
            <w:col w:w="1941" w:space="100"/>
            <w:col w:w="2770" w:space="100"/>
            <w:col w:w="2876"/>
          </w:cols>
        </w:sectPr>
      </w:pPr>
    </w:p>
    <w:p>
      <w:pPr>
        <w:rPr>
          <w:rFonts w:ascii="Arial"/>
          <w:sz w:val="21"/>
        </w:rPr>
      </w:pPr>
    </w:p>
    <w:sectPr>
      <w:footerReference r:id="rId6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AC25CB"/>
    <w:rsid w:val="0DC932D7"/>
    <w:rsid w:val="0F3734C7"/>
    <w:rsid w:val="11071033"/>
    <w:rsid w:val="11236997"/>
    <w:rsid w:val="15643175"/>
    <w:rsid w:val="170D606C"/>
    <w:rsid w:val="17937CB8"/>
    <w:rsid w:val="1A073AEB"/>
    <w:rsid w:val="1A70486F"/>
    <w:rsid w:val="1B656D35"/>
    <w:rsid w:val="1BCC1C67"/>
    <w:rsid w:val="1E2D1660"/>
    <w:rsid w:val="1FAD49B2"/>
    <w:rsid w:val="21E34F81"/>
    <w:rsid w:val="29C44C6E"/>
    <w:rsid w:val="2B964CE9"/>
    <w:rsid w:val="34D62491"/>
    <w:rsid w:val="360E7535"/>
    <w:rsid w:val="385775AE"/>
    <w:rsid w:val="3BE41159"/>
    <w:rsid w:val="3BF556C3"/>
    <w:rsid w:val="418313D9"/>
    <w:rsid w:val="42047288"/>
    <w:rsid w:val="47295F09"/>
    <w:rsid w:val="4D5F4AE3"/>
    <w:rsid w:val="4E353A96"/>
    <w:rsid w:val="4F9678C8"/>
    <w:rsid w:val="51DD06CC"/>
    <w:rsid w:val="545E2F8C"/>
    <w:rsid w:val="5BA67D81"/>
    <w:rsid w:val="66300342"/>
    <w:rsid w:val="68A97EC3"/>
    <w:rsid w:val="69D65CD5"/>
    <w:rsid w:val="6A54262A"/>
    <w:rsid w:val="6AED777A"/>
    <w:rsid w:val="6E7F7F46"/>
    <w:rsid w:val="712B1281"/>
    <w:rsid w:val="72DA761B"/>
    <w:rsid w:val="735A34D3"/>
    <w:rsid w:val="76341492"/>
    <w:rsid w:val="7AF50EFB"/>
    <w:rsid w:val="7E4D4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1203</Words>
  <Characters>1340</Characters>
  <TotalTime>13</TotalTime>
  <ScaleCrop>false</ScaleCrop>
  <LinksUpToDate>false</LinksUpToDate>
  <CharactersWithSpaces>1353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锦瑟流年</cp:lastModifiedBy>
  <cp:lastPrinted>2024-06-24T03:06:00Z</cp:lastPrinted>
  <dcterms:modified xsi:type="dcterms:W3CDTF">2024-07-01T07:42:20Z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2052-12.1.0.16929</vt:lpwstr>
  </property>
  <property fmtid="{D5CDD505-2E9C-101B-9397-08002B2CF9AE}" pid="6" name="ICV">
    <vt:lpwstr>B3E33D91F98E40A9AFDEF535D3A743A1_13</vt:lpwstr>
  </property>
</Properties>
</file>